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8D851" w14:textId="480E21B2" w:rsidR="001B2B41" w:rsidRPr="005A3B36" w:rsidRDefault="00503CF1" w:rsidP="005A3B36">
      <w:pPr>
        <w:pStyle w:val="Ttulo"/>
      </w:pPr>
      <w:r w:rsidRPr="005A3B36">
        <w:t>EVANDRO ZACCA FERREIR</w:t>
      </w:r>
      <w:r w:rsidR="00CF761D" w:rsidRPr="005A3B36">
        <w:t>A</w:t>
      </w:r>
    </w:p>
    <w:p w14:paraId="3EDF4D67" w14:textId="77777777" w:rsidR="00231A09" w:rsidRPr="005A3B36" w:rsidRDefault="00231A09" w:rsidP="005A3B36">
      <w:pPr>
        <w:pStyle w:val="Ttulo"/>
      </w:pPr>
    </w:p>
    <w:p w14:paraId="17A9482E" w14:textId="77777777" w:rsidR="00231A09" w:rsidRPr="005A3B36" w:rsidRDefault="00231A09" w:rsidP="005A3B36">
      <w:pPr>
        <w:pStyle w:val="Ttulo"/>
      </w:pPr>
    </w:p>
    <w:p w14:paraId="5442C56E" w14:textId="77777777" w:rsidR="00231A09" w:rsidRPr="005A3B36" w:rsidRDefault="00231A09" w:rsidP="005A3B36">
      <w:pPr>
        <w:pStyle w:val="Ttulo"/>
      </w:pPr>
    </w:p>
    <w:p w14:paraId="209CFA0F" w14:textId="77777777" w:rsidR="00231A09" w:rsidRPr="005A3B36" w:rsidRDefault="00231A09" w:rsidP="005A3B36">
      <w:pPr>
        <w:pStyle w:val="Ttulo"/>
      </w:pPr>
    </w:p>
    <w:p w14:paraId="4131D6E8" w14:textId="77777777" w:rsidR="00231A09" w:rsidRPr="005A3B36" w:rsidRDefault="00231A09" w:rsidP="005A3B36">
      <w:pPr>
        <w:pStyle w:val="Ttulo"/>
      </w:pPr>
    </w:p>
    <w:p w14:paraId="300E6ABC" w14:textId="77777777" w:rsidR="00231A09" w:rsidRPr="005A3B36" w:rsidRDefault="00231A09" w:rsidP="005A3B36">
      <w:pPr>
        <w:pStyle w:val="Ttulo"/>
      </w:pPr>
    </w:p>
    <w:p w14:paraId="342169B7" w14:textId="77777777" w:rsidR="00231A09" w:rsidRPr="005A3B36" w:rsidRDefault="00231A09" w:rsidP="005A3B36">
      <w:pPr>
        <w:pStyle w:val="Ttulo"/>
      </w:pPr>
    </w:p>
    <w:p w14:paraId="084503ED" w14:textId="096E0E12" w:rsidR="001B2B41" w:rsidRPr="005A3B36" w:rsidRDefault="00503CF1" w:rsidP="005A3B36">
      <w:pPr>
        <w:pStyle w:val="Ttulo"/>
      </w:pPr>
      <w:r w:rsidRPr="005A3B36">
        <w:t xml:space="preserve">ESTRATÉGIAS DE MANEJO DE RESISTÊNCIA DE </w:t>
      </w:r>
      <w:r w:rsidRPr="00613D9E">
        <w:rPr>
          <w:i/>
        </w:rPr>
        <w:t>Phakopsora pachyrhizi</w:t>
      </w:r>
      <w:r w:rsidRPr="005A3B36">
        <w:t xml:space="preserve"> A FUNGICIDAS DO GRUPO QUÍMICO DAS CARBOXAMIDAS</w:t>
      </w:r>
    </w:p>
    <w:p w14:paraId="5AB4619B" w14:textId="77777777" w:rsidR="00231A09" w:rsidRPr="005A3B36" w:rsidRDefault="00231A09" w:rsidP="005A3B36">
      <w:pPr>
        <w:pStyle w:val="Ttulo"/>
      </w:pPr>
    </w:p>
    <w:p w14:paraId="55114E39" w14:textId="77777777" w:rsidR="00231A09" w:rsidRPr="005A3B36" w:rsidRDefault="00231A09" w:rsidP="005A3B36">
      <w:pPr>
        <w:pStyle w:val="Ttulo"/>
      </w:pPr>
    </w:p>
    <w:p w14:paraId="13F2D586" w14:textId="77777777" w:rsidR="00231A09" w:rsidRPr="005A3B36" w:rsidRDefault="00231A09" w:rsidP="005A3B36">
      <w:pPr>
        <w:pStyle w:val="Ttulo"/>
      </w:pPr>
    </w:p>
    <w:p w14:paraId="309B4970" w14:textId="77777777" w:rsidR="007939BF" w:rsidRPr="005A3B36" w:rsidRDefault="007939BF" w:rsidP="005A3B36">
      <w:pPr>
        <w:pStyle w:val="Ttulo"/>
      </w:pPr>
    </w:p>
    <w:p w14:paraId="505D0954" w14:textId="360C0A42" w:rsidR="001B2B41" w:rsidRPr="001907F5" w:rsidRDefault="001B2B41" w:rsidP="005A3B36">
      <w:pPr>
        <w:pStyle w:val="Ttulo"/>
        <w:ind w:left="5103"/>
        <w:jc w:val="both"/>
        <w:rPr>
          <w:b w:val="0"/>
          <w:sz w:val="20"/>
        </w:rPr>
      </w:pPr>
      <w:r w:rsidRPr="001907F5">
        <w:rPr>
          <w:b w:val="0"/>
          <w:sz w:val="20"/>
        </w:rPr>
        <w:t xml:space="preserve">Tese apresentada ao Programa de Pós-graduação em </w:t>
      </w:r>
      <w:r w:rsidR="00503CF1" w:rsidRPr="001907F5">
        <w:rPr>
          <w:b w:val="0"/>
          <w:sz w:val="20"/>
        </w:rPr>
        <w:t>Produção vegetal</w:t>
      </w:r>
      <w:r w:rsidR="00FC3F1A" w:rsidRPr="001907F5">
        <w:rPr>
          <w:b w:val="0"/>
          <w:sz w:val="20"/>
        </w:rPr>
        <w:t>, d</w:t>
      </w:r>
      <w:r w:rsidR="005D1E3A">
        <w:rPr>
          <w:b w:val="0"/>
          <w:sz w:val="20"/>
        </w:rPr>
        <w:t>o Centro de Ciências Agroveterinárias d</w:t>
      </w:r>
      <w:r w:rsidRPr="001907F5">
        <w:rPr>
          <w:b w:val="0"/>
          <w:sz w:val="20"/>
        </w:rPr>
        <w:t xml:space="preserve">a Universidade do Estado de Santa Catarina, como requisito parcial à obtenção do título de Doutor em </w:t>
      </w:r>
      <w:r w:rsidR="00503CF1" w:rsidRPr="001907F5">
        <w:rPr>
          <w:b w:val="0"/>
          <w:sz w:val="20"/>
        </w:rPr>
        <w:t>Produção vegetal</w:t>
      </w:r>
      <w:r w:rsidR="005D1E3A">
        <w:rPr>
          <w:b w:val="0"/>
          <w:sz w:val="20"/>
        </w:rPr>
        <w:t>.</w:t>
      </w:r>
    </w:p>
    <w:p w14:paraId="1C3BCBD6" w14:textId="77777777" w:rsidR="00D2610C" w:rsidRPr="001907F5" w:rsidRDefault="00D2610C" w:rsidP="005A3B36">
      <w:pPr>
        <w:pStyle w:val="Ttulo"/>
        <w:ind w:left="5103"/>
        <w:jc w:val="both"/>
        <w:rPr>
          <w:b w:val="0"/>
          <w:sz w:val="20"/>
        </w:rPr>
      </w:pPr>
    </w:p>
    <w:p w14:paraId="3D078EEF" w14:textId="7F4518F7" w:rsidR="001B2B41" w:rsidRPr="001907F5" w:rsidRDefault="001B2B41" w:rsidP="005A3B36">
      <w:pPr>
        <w:pStyle w:val="Ttulo"/>
        <w:ind w:left="5103"/>
        <w:jc w:val="both"/>
        <w:rPr>
          <w:b w:val="0"/>
          <w:sz w:val="20"/>
        </w:rPr>
      </w:pPr>
      <w:r w:rsidRPr="001907F5">
        <w:rPr>
          <w:b w:val="0"/>
          <w:sz w:val="20"/>
        </w:rPr>
        <w:t>Orientador:</w:t>
      </w:r>
      <w:r w:rsidR="005D1E3A">
        <w:rPr>
          <w:b w:val="0"/>
          <w:sz w:val="20"/>
        </w:rPr>
        <w:t xml:space="preserve"> Dr.</w:t>
      </w:r>
      <w:r w:rsidRPr="001907F5">
        <w:rPr>
          <w:b w:val="0"/>
          <w:sz w:val="20"/>
        </w:rPr>
        <w:t xml:space="preserve"> </w:t>
      </w:r>
      <w:r w:rsidR="00503CF1" w:rsidRPr="001907F5">
        <w:rPr>
          <w:b w:val="0"/>
          <w:sz w:val="20"/>
        </w:rPr>
        <w:t>Ricardo Trezzi Casa</w:t>
      </w:r>
    </w:p>
    <w:p w14:paraId="66033785" w14:textId="77777777" w:rsidR="001B2B41" w:rsidRPr="005A3B36" w:rsidRDefault="001B2B41" w:rsidP="005A3B36">
      <w:pPr>
        <w:pStyle w:val="Ttulo"/>
      </w:pPr>
    </w:p>
    <w:p w14:paraId="2475DB36" w14:textId="27576ECC" w:rsidR="001B2B41" w:rsidRPr="005A3B36" w:rsidRDefault="001B2B41" w:rsidP="005A3B36">
      <w:pPr>
        <w:pStyle w:val="Ttulo"/>
      </w:pPr>
    </w:p>
    <w:p w14:paraId="60425DE7" w14:textId="77777777" w:rsidR="00F122EC" w:rsidRPr="005A3B36" w:rsidRDefault="00F122EC" w:rsidP="005A3B36">
      <w:pPr>
        <w:pStyle w:val="Ttulo"/>
      </w:pPr>
    </w:p>
    <w:p w14:paraId="4EABC7CD" w14:textId="167A7B9F" w:rsidR="007939BF" w:rsidRPr="005A3B36" w:rsidRDefault="007939BF" w:rsidP="005A3B36">
      <w:pPr>
        <w:pStyle w:val="Ttulo"/>
      </w:pPr>
    </w:p>
    <w:p w14:paraId="50F4B574" w14:textId="77777777" w:rsidR="00A71F14" w:rsidRPr="005A3B36" w:rsidRDefault="00A71F14" w:rsidP="005A3B36">
      <w:pPr>
        <w:pStyle w:val="Ttulo"/>
      </w:pPr>
    </w:p>
    <w:p w14:paraId="6FB22C44" w14:textId="21591109" w:rsidR="00F122EC" w:rsidRPr="005A3B36" w:rsidRDefault="00F122EC" w:rsidP="005A3B36">
      <w:pPr>
        <w:pStyle w:val="Ttulo"/>
      </w:pPr>
    </w:p>
    <w:p w14:paraId="70EF4222" w14:textId="1A279178" w:rsidR="00F122EC" w:rsidRDefault="00F122EC" w:rsidP="005A3B36">
      <w:pPr>
        <w:pStyle w:val="Ttulo"/>
      </w:pPr>
    </w:p>
    <w:p w14:paraId="7B046B5A" w14:textId="18DBB3C5" w:rsidR="001907F5" w:rsidRDefault="001907F5" w:rsidP="001907F5"/>
    <w:p w14:paraId="3F8C3FBE" w14:textId="77777777" w:rsidR="005D1E3A" w:rsidRPr="001907F5" w:rsidRDefault="005D1E3A" w:rsidP="001907F5"/>
    <w:p w14:paraId="44B8AD6B" w14:textId="77777777" w:rsidR="005A4A6B" w:rsidRPr="005A3B36" w:rsidRDefault="005A4A6B" w:rsidP="008A132B">
      <w:pPr>
        <w:pStyle w:val="Ttulo"/>
        <w:jc w:val="both"/>
      </w:pPr>
    </w:p>
    <w:p w14:paraId="02B088BD" w14:textId="0490AD89" w:rsidR="006F2A2E" w:rsidRPr="005A3B36" w:rsidRDefault="006F2A2E" w:rsidP="005A3B36">
      <w:pPr>
        <w:pStyle w:val="Ttulo"/>
      </w:pPr>
      <w:r w:rsidRPr="005A3B36">
        <w:t>LAGES</w:t>
      </w:r>
    </w:p>
    <w:p w14:paraId="0F5EA694" w14:textId="77777777" w:rsidR="000110EC" w:rsidRPr="005A3B36" w:rsidRDefault="001B2B41" w:rsidP="005A3B36">
      <w:pPr>
        <w:pStyle w:val="Ttulo"/>
      </w:pPr>
      <w:r w:rsidRPr="005A3B36">
        <w:t>201</w:t>
      </w:r>
      <w:r w:rsidR="00503CF1" w:rsidRPr="005A3B36">
        <w:t>9</w:t>
      </w:r>
    </w:p>
    <w:p w14:paraId="376C723B" w14:textId="08F11909" w:rsidR="007F0989" w:rsidRDefault="007F0989" w:rsidP="0005468C"/>
    <w:p w14:paraId="245A2173" w14:textId="2D88DB85" w:rsidR="00A86F21" w:rsidRDefault="00A86F21" w:rsidP="0005468C"/>
    <w:p w14:paraId="765A5727" w14:textId="02CE6B35" w:rsidR="00A86F21" w:rsidRDefault="00A86F21" w:rsidP="0005468C"/>
    <w:p w14:paraId="43F3836E" w14:textId="7005EF1F" w:rsidR="00A86F21" w:rsidRDefault="00A86F21" w:rsidP="0005468C"/>
    <w:p w14:paraId="2EB37924" w14:textId="363B1DBD" w:rsidR="00A86F21" w:rsidRDefault="00A86F21" w:rsidP="0005468C"/>
    <w:p w14:paraId="14F0B654" w14:textId="718F5FBF" w:rsidR="00A86F21" w:rsidRDefault="00A86F21" w:rsidP="0005468C"/>
    <w:p w14:paraId="24591B2C" w14:textId="09743956" w:rsidR="00A86F21" w:rsidRDefault="00A86F21" w:rsidP="0005468C"/>
    <w:p w14:paraId="4AC83D42" w14:textId="7EE2DC79" w:rsidR="00A86F21" w:rsidRDefault="00A86F21" w:rsidP="0005468C"/>
    <w:p w14:paraId="580EC9B3" w14:textId="77777777" w:rsidR="00A86F21" w:rsidRDefault="00A86F21" w:rsidP="0005468C"/>
    <w:p w14:paraId="3E0EF682" w14:textId="5B09E255" w:rsidR="005D1E3A" w:rsidRPr="00B7238F" w:rsidRDefault="00B62342" w:rsidP="0005468C">
      <w:r>
        <w:t xml:space="preserve">  </w:t>
      </w:r>
      <w:r w:rsidR="00A86F21">
        <w:t xml:space="preserve">   </w:t>
      </w:r>
      <w:r>
        <w:rPr>
          <w:noProof/>
        </w:rPr>
        <w:drawing>
          <wp:inline distT="0" distB="0" distL="0" distR="0" wp14:anchorId="3D668FB5" wp14:editId="338D8C45">
            <wp:extent cx="4982581" cy="4395203"/>
            <wp:effectExtent l="0" t="0" r="8890" b="5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cha catalo.png"/>
                    <pic:cNvPicPr/>
                  </pic:nvPicPr>
                  <pic:blipFill>
                    <a:blip r:embed="rId8">
                      <a:extLst>
                        <a:ext uri="{28A0092B-C50C-407E-A947-70E740481C1C}">
                          <a14:useLocalDpi xmlns:a14="http://schemas.microsoft.com/office/drawing/2010/main" val="0"/>
                        </a:ext>
                      </a:extLst>
                    </a:blip>
                    <a:stretch>
                      <a:fillRect/>
                    </a:stretch>
                  </pic:blipFill>
                  <pic:spPr>
                    <a:xfrm>
                      <a:off x="0" y="0"/>
                      <a:ext cx="4994056" cy="4405325"/>
                    </a:xfrm>
                    <a:prstGeom prst="rect">
                      <a:avLst/>
                    </a:prstGeom>
                  </pic:spPr>
                </pic:pic>
              </a:graphicData>
            </a:graphic>
          </wp:inline>
        </w:drawing>
      </w:r>
    </w:p>
    <w:p w14:paraId="685997F5" w14:textId="26AE9351" w:rsidR="00A86F21" w:rsidRPr="00A86F21" w:rsidRDefault="00A86F21" w:rsidP="00A86F21">
      <w:pPr>
        <w:pStyle w:val="Corpodetexto"/>
        <w:spacing w:line="360" w:lineRule="auto"/>
        <w:jc w:val="center"/>
      </w:pPr>
      <w:r>
        <w:rPr>
          <w:b/>
          <w:bCs/>
        </w:rPr>
        <w:lastRenderedPageBreak/>
        <w:t>EVANDRO ZACCA FERREIRA</w:t>
      </w:r>
    </w:p>
    <w:p w14:paraId="0A63029E" w14:textId="77777777" w:rsidR="00A86F21" w:rsidRPr="00A86F21" w:rsidRDefault="00A86F21" w:rsidP="00A86F21">
      <w:pPr>
        <w:pStyle w:val="Corpodetexto"/>
        <w:spacing w:line="360" w:lineRule="auto"/>
        <w:jc w:val="center"/>
      </w:pPr>
    </w:p>
    <w:p w14:paraId="586605FF" w14:textId="77777777" w:rsidR="00A86F21" w:rsidRPr="005A3B36" w:rsidRDefault="00A86F21" w:rsidP="00A86F21">
      <w:pPr>
        <w:pStyle w:val="Ttulo"/>
      </w:pPr>
      <w:r w:rsidRPr="005A3B36">
        <w:t xml:space="preserve">ESTRATÉGIAS DE MANEJO DE RESISTÊNCIA DE </w:t>
      </w:r>
      <w:r w:rsidRPr="00613D9E">
        <w:rPr>
          <w:i/>
        </w:rPr>
        <w:t>Phakopsora pachyrhizi</w:t>
      </w:r>
      <w:r w:rsidRPr="005A3B36">
        <w:t xml:space="preserve"> A FUNGICIDAS DO GRUPO QUÍMICO DAS CARBOXAMIDAS</w:t>
      </w:r>
    </w:p>
    <w:p w14:paraId="0DDBE3D1" w14:textId="77777777" w:rsidR="00A86F21" w:rsidRPr="00A86F21" w:rsidRDefault="00A86F21" w:rsidP="00A86F21">
      <w:pPr>
        <w:pStyle w:val="Corpodetexto"/>
        <w:jc w:val="center"/>
        <w:rPr>
          <w:b/>
          <w:color w:val="000000"/>
        </w:rPr>
      </w:pPr>
    </w:p>
    <w:p w14:paraId="1AFCCB99" w14:textId="275C36E3" w:rsidR="00A86F21" w:rsidRPr="00A86F21" w:rsidRDefault="00A86F21" w:rsidP="00A86F21">
      <w:pPr>
        <w:suppressAutoHyphens/>
        <w:spacing w:before="207" w:after="0" w:line="360" w:lineRule="auto"/>
        <w:ind w:right="110" w:firstLine="0"/>
        <w:rPr>
          <w:rFonts w:eastAsia="Arial"/>
          <w:lang w:eastAsia="pt-BR" w:bidi="pt-BR"/>
        </w:rPr>
      </w:pPr>
      <w:r>
        <w:rPr>
          <w:rFonts w:eastAsia="Arial"/>
          <w:lang w:eastAsia="pt-BR" w:bidi="pt-BR"/>
        </w:rPr>
        <w:t xml:space="preserve">Tese </w:t>
      </w:r>
      <w:r w:rsidRPr="00A86F21">
        <w:rPr>
          <w:rFonts w:eastAsia="Arial"/>
          <w:lang w:eastAsia="pt-BR" w:bidi="pt-BR"/>
        </w:rPr>
        <w:t>apresentada</w:t>
      </w:r>
      <w:r w:rsidRPr="00A86F21">
        <w:rPr>
          <w:rFonts w:eastAsia="Arial"/>
          <w:spacing w:val="-7"/>
          <w:lang w:eastAsia="pt-BR" w:bidi="pt-BR"/>
        </w:rPr>
        <w:t xml:space="preserve"> </w:t>
      </w:r>
      <w:r w:rsidRPr="00A86F21">
        <w:rPr>
          <w:rFonts w:eastAsia="Arial"/>
          <w:lang w:eastAsia="pt-BR" w:bidi="pt-BR"/>
        </w:rPr>
        <w:t>ao</w:t>
      </w:r>
      <w:r w:rsidRPr="00A86F21">
        <w:rPr>
          <w:rFonts w:eastAsia="Arial"/>
          <w:spacing w:val="-7"/>
          <w:lang w:eastAsia="pt-BR" w:bidi="pt-BR"/>
        </w:rPr>
        <w:t xml:space="preserve"> </w:t>
      </w:r>
      <w:r w:rsidRPr="00A86F21">
        <w:rPr>
          <w:rFonts w:eastAsia="Arial"/>
          <w:lang w:eastAsia="pt-BR" w:bidi="pt-BR"/>
        </w:rPr>
        <w:t>Curso de</w:t>
      </w:r>
      <w:r w:rsidRPr="00A86F21">
        <w:rPr>
          <w:rFonts w:eastAsia="Arial"/>
          <w:spacing w:val="-5"/>
          <w:lang w:eastAsia="pt-BR" w:bidi="pt-BR"/>
        </w:rPr>
        <w:t xml:space="preserve"> </w:t>
      </w:r>
      <w:r w:rsidRPr="00A86F21">
        <w:rPr>
          <w:rFonts w:eastAsia="Arial"/>
          <w:lang w:eastAsia="pt-BR" w:bidi="pt-BR"/>
        </w:rPr>
        <w:t>Pós-Graduação</w:t>
      </w:r>
      <w:r w:rsidRPr="00A86F21">
        <w:rPr>
          <w:rFonts w:eastAsia="Arial"/>
          <w:spacing w:val="-7"/>
          <w:lang w:eastAsia="pt-BR" w:bidi="pt-BR"/>
        </w:rPr>
        <w:t xml:space="preserve"> </w:t>
      </w:r>
      <w:r w:rsidRPr="00A86F21">
        <w:rPr>
          <w:rFonts w:eastAsia="Arial"/>
          <w:lang w:eastAsia="pt-BR" w:bidi="pt-BR"/>
        </w:rPr>
        <w:t>em</w:t>
      </w:r>
      <w:r w:rsidRPr="00A86F21">
        <w:rPr>
          <w:rFonts w:eastAsia="Arial"/>
          <w:spacing w:val="-6"/>
          <w:lang w:eastAsia="pt-BR" w:bidi="pt-BR"/>
        </w:rPr>
        <w:t xml:space="preserve"> </w:t>
      </w:r>
      <w:r w:rsidRPr="00A86F21">
        <w:rPr>
          <w:rFonts w:eastAsia="Arial"/>
          <w:lang w:eastAsia="pt-BR" w:bidi="pt-BR"/>
        </w:rPr>
        <w:t>Produção</w:t>
      </w:r>
      <w:r w:rsidRPr="00A86F21">
        <w:rPr>
          <w:rFonts w:eastAsia="Arial"/>
          <w:spacing w:val="-7"/>
          <w:lang w:eastAsia="pt-BR" w:bidi="pt-BR"/>
        </w:rPr>
        <w:t xml:space="preserve"> </w:t>
      </w:r>
      <w:r w:rsidRPr="00A86F21">
        <w:rPr>
          <w:rFonts w:eastAsia="Arial"/>
          <w:lang w:eastAsia="pt-BR" w:bidi="pt-BR"/>
        </w:rPr>
        <w:t>Vegetal</w:t>
      </w:r>
      <w:r w:rsidRPr="00A86F21">
        <w:rPr>
          <w:rFonts w:eastAsia="Arial"/>
          <w:spacing w:val="-5"/>
          <w:lang w:eastAsia="pt-BR" w:bidi="pt-BR"/>
        </w:rPr>
        <w:t xml:space="preserve"> </w:t>
      </w:r>
      <w:r w:rsidRPr="00A86F21">
        <w:rPr>
          <w:rFonts w:eastAsia="Arial"/>
          <w:lang w:eastAsia="pt-BR" w:bidi="pt-BR"/>
        </w:rPr>
        <w:t>do Centro de Ciências Agroveterinárias, da Universidade do Estado de Santa Catarina, como requisito parcial para obtenção de título de</w:t>
      </w:r>
      <w:r w:rsidRPr="00A86F21">
        <w:rPr>
          <w:rFonts w:eastAsia="Arial"/>
          <w:spacing w:val="-7"/>
          <w:lang w:eastAsia="pt-BR" w:bidi="pt-BR"/>
        </w:rPr>
        <w:t xml:space="preserve"> </w:t>
      </w:r>
      <w:r>
        <w:rPr>
          <w:rFonts w:eastAsia="Arial"/>
          <w:lang w:eastAsia="pt-BR" w:bidi="pt-BR"/>
        </w:rPr>
        <w:t>Doutor</w:t>
      </w:r>
      <w:r w:rsidRPr="00A86F21">
        <w:rPr>
          <w:rFonts w:eastAsia="Arial"/>
          <w:lang w:eastAsia="pt-BR" w:bidi="pt-BR"/>
        </w:rPr>
        <w:t xml:space="preserve"> em Produção Vegetal.</w:t>
      </w:r>
    </w:p>
    <w:p w14:paraId="6F1B666D" w14:textId="77777777" w:rsidR="00A86F21" w:rsidRPr="00A86F21" w:rsidRDefault="00A86F21" w:rsidP="00A86F21">
      <w:pPr>
        <w:suppressAutoHyphens/>
        <w:spacing w:after="0" w:line="360" w:lineRule="auto"/>
        <w:rPr>
          <w:rFonts w:eastAsia="Arial"/>
          <w:lang w:eastAsia="pt-BR" w:bidi="pt-BR"/>
        </w:rPr>
      </w:pPr>
    </w:p>
    <w:p w14:paraId="09354622" w14:textId="77777777" w:rsidR="00A86F21" w:rsidRPr="00A86F21" w:rsidRDefault="00A86F21" w:rsidP="00A86F21">
      <w:pPr>
        <w:suppressAutoHyphens/>
        <w:spacing w:after="0" w:line="360" w:lineRule="auto"/>
        <w:ind w:firstLine="0"/>
        <w:rPr>
          <w:rFonts w:eastAsia="Arial"/>
          <w:b/>
          <w:bCs/>
          <w:lang w:eastAsia="pt-BR" w:bidi="pt-BR"/>
        </w:rPr>
      </w:pPr>
      <w:r w:rsidRPr="00A86F21">
        <w:rPr>
          <w:rFonts w:eastAsia="Arial"/>
          <w:b/>
          <w:bCs/>
          <w:lang w:eastAsia="pt-BR" w:bidi="pt-BR"/>
        </w:rPr>
        <w:t>Banca examinadora</w:t>
      </w:r>
    </w:p>
    <w:p w14:paraId="33D65F57" w14:textId="77777777" w:rsidR="00A86F21" w:rsidRPr="00A86F21" w:rsidRDefault="00A86F21" w:rsidP="00F7648C">
      <w:pPr>
        <w:suppressAutoHyphens/>
        <w:spacing w:after="0" w:line="240" w:lineRule="auto"/>
        <w:rPr>
          <w:rFonts w:eastAsia="Arial"/>
          <w:lang w:eastAsia="pt-BR" w:bidi="pt-BR"/>
        </w:rPr>
      </w:pPr>
    </w:p>
    <w:p w14:paraId="6C61B032" w14:textId="76055BFD" w:rsidR="00A86F21" w:rsidRPr="00A86F21" w:rsidRDefault="00A86F21" w:rsidP="00F7648C">
      <w:pPr>
        <w:suppressAutoHyphens/>
        <w:spacing w:after="0" w:line="240" w:lineRule="auto"/>
        <w:ind w:firstLine="0"/>
        <w:rPr>
          <w:rFonts w:eastAsia="Arial"/>
          <w:lang w:eastAsia="pt-BR" w:bidi="pt-BR"/>
        </w:rPr>
      </w:pPr>
      <w:r w:rsidRPr="00A86F21">
        <w:rPr>
          <w:rFonts w:eastAsia="Arial"/>
          <w:lang w:eastAsia="pt-BR" w:bidi="pt-BR"/>
        </w:rPr>
        <w:t xml:space="preserve">Orientador:                           </w:t>
      </w:r>
      <w:r w:rsidR="00F7648C">
        <w:rPr>
          <w:noProof/>
        </w:rPr>
        <w:t>_________________________________</w:t>
      </w:r>
    </w:p>
    <w:p w14:paraId="7AB16E23" w14:textId="0109A734" w:rsidR="00A86F21" w:rsidRPr="00A86F21" w:rsidRDefault="00A86F21" w:rsidP="00F7648C">
      <w:pPr>
        <w:suppressAutoHyphens/>
        <w:spacing w:after="0" w:line="240" w:lineRule="auto"/>
        <w:rPr>
          <w:rFonts w:eastAsia="Arial"/>
          <w:lang w:eastAsia="pt-BR" w:bidi="pt-BR"/>
        </w:rPr>
      </w:pPr>
      <w:r w:rsidRPr="00A86F21">
        <w:rPr>
          <w:rFonts w:eastAsia="Arial"/>
          <w:lang w:eastAsia="pt-BR" w:bidi="pt-BR"/>
        </w:rPr>
        <w:t xml:space="preserve">                                 </w:t>
      </w:r>
      <w:r>
        <w:rPr>
          <w:rFonts w:eastAsia="Arial"/>
          <w:lang w:eastAsia="pt-BR" w:bidi="pt-BR"/>
        </w:rPr>
        <w:t xml:space="preserve"> Prof. </w:t>
      </w:r>
      <w:r w:rsidRPr="00A86F21">
        <w:rPr>
          <w:rFonts w:eastAsia="Arial"/>
          <w:lang w:eastAsia="pt-BR" w:bidi="pt-BR"/>
        </w:rPr>
        <w:t xml:space="preserve">Dr. </w:t>
      </w:r>
      <w:r>
        <w:rPr>
          <w:rFonts w:eastAsia="Arial"/>
          <w:lang w:eastAsia="pt-BR" w:bidi="pt-BR"/>
        </w:rPr>
        <w:t>Ricardo Trezzi Casa</w:t>
      </w:r>
    </w:p>
    <w:p w14:paraId="03DB3E36" w14:textId="67952630" w:rsidR="00A86F21" w:rsidRPr="00A86F21" w:rsidRDefault="00A86F21" w:rsidP="00F7648C">
      <w:pPr>
        <w:suppressAutoHyphens/>
        <w:spacing w:after="0" w:line="240" w:lineRule="auto"/>
        <w:rPr>
          <w:rFonts w:eastAsia="Arial"/>
          <w:lang w:eastAsia="pt-BR" w:bidi="pt-BR"/>
        </w:rPr>
      </w:pPr>
      <w:r w:rsidRPr="00A86F21">
        <w:rPr>
          <w:rFonts w:eastAsia="Arial"/>
          <w:lang w:eastAsia="pt-BR" w:bidi="pt-BR"/>
        </w:rPr>
        <w:t xml:space="preserve">                                  UDESC/Lages, SC</w:t>
      </w:r>
    </w:p>
    <w:p w14:paraId="0CEE5D16" w14:textId="54409557" w:rsidR="00A86F21" w:rsidRDefault="00A86F21" w:rsidP="00F7648C">
      <w:pPr>
        <w:suppressAutoHyphens/>
        <w:spacing w:after="0" w:line="240" w:lineRule="auto"/>
        <w:rPr>
          <w:rFonts w:eastAsia="Arial"/>
          <w:lang w:eastAsia="pt-BR" w:bidi="pt-BR"/>
        </w:rPr>
      </w:pPr>
    </w:p>
    <w:p w14:paraId="4CADFEF9" w14:textId="77777777" w:rsidR="00F7648C" w:rsidRPr="00A86F21" w:rsidRDefault="00F7648C" w:rsidP="00F7648C">
      <w:pPr>
        <w:suppressAutoHyphens/>
        <w:spacing w:after="0" w:line="240" w:lineRule="auto"/>
        <w:rPr>
          <w:rFonts w:eastAsia="Arial"/>
          <w:lang w:eastAsia="pt-BR" w:bidi="pt-BR"/>
        </w:rPr>
      </w:pPr>
    </w:p>
    <w:p w14:paraId="53BB1F39" w14:textId="6147963A" w:rsidR="00A86F21" w:rsidRPr="00A86F21" w:rsidRDefault="00A86F21" w:rsidP="00F7648C">
      <w:pPr>
        <w:suppressAutoHyphens/>
        <w:spacing w:after="0" w:line="240" w:lineRule="auto"/>
        <w:ind w:firstLine="0"/>
        <w:rPr>
          <w:rFonts w:eastAsia="Arial"/>
          <w:lang w:eastAsia="pt-BR" w:bidi="pt-BR"/>
        </w:rPr>
      </w:pPr>
      <w:r w:rsidRPr="00A86F21">
        <w:rPr>
          <w:rFonts w:eastAsia="Arial"/>
          <w:lang w:eastAsia="pt-BR" w:bidi="pt-BR"/>
        </w:rPr>
        <w:t xml:space="preserve">Membro:                              </w:t>
      </w:r>
      <w:r>
        <w:rPr>
          <w:noProof/>
        </w:rPr>
        <w:t>_________________________________</w:t>
      </w:r>
    </w:p>
    <w:p w14:paraId="4CA9B183" w14:textId="0AC48FF2" w:rsidR="00A86F21" w:rsidRPr="00A2400A" w:rsidRDefault="00A86F21" w:rsidP="00F7648C">
      <w:pPr>
        <w:suppressAutoHyphens/>
        <w:spacing w:after="0" w:line="240" w:lineRule="auto"/>
        <w:rPr>
          <w:rFonts w:eastAsia="Arial"/>
          <w:lang w:eastAsia="pt-BR" w:bidi="pt-BR"/>
        </w:rPr>
      </w:pPr>
      <w:r w:rsidRPr="00A86F21">
        <w:rPr>
          <w:rFonts w:eastAsia="Arial"/>
          <w:lang w:eastAsia="pt-BR" w:bidi="pt-BR"/>
        </w:rPr>
        <w:t xml:space="preserve">                                  </w:t>
      </w:r>
      <w:r w:rsidRPr="00A2400A">
        <w:rPr>
          <w:rFonts w:eastAsia="Arial"/>
          <w:lang w:eastAsia="pt-BR" w:bidi="pt-BR"/>
        </w:rPr>
        <w:t xml:space="preserve">Dr. </w:t>
      </w:r>
      <w:r w:rsidR="00A2400A" w:rsidRPr="00A2400A">
        <w:rPr>
          <w:rFonts w:eastAsia="Arial"/>
          <w:lang w:eastAsia="pt-BR" w:bidi="pt-BR"/>
        </w:rPr>
        <w:t>Laércio Luiz Hoffmann</w:t>
      </w:r>
    </w:p>
    <w:p w14:paraId="58D1CAA1" w14:textId="7D1C61C3" w:rsidR="00F7648C" w:rsidRDefault="00A86F21" w:rsidP="00F7648C">
      <w:pPr>
        <w:suppressAutoHyphens/>
        <w:spacing w:after="0" w:line="240" w:lineRule="auto"/>
        <w:rPr>
          <w:rFonts w:eastAsia="Arial"/>
          <w:lang w:eastAsia="pt-BR" w:bidi="pt-BR"/>
        </w:rPr>
      </w:pPr>
      <w:r w:rsidRPr="00A2400A">
        <w:rPr>
          <w:rFonts w:eastAsia="Arial"/>
          <w:lang w:eastAsia="pt-BR" w:bidi="pt-BR"/>
        </w:rPr>
        <w:t xml:space="preserve">                                  </w:t>
      </w:r>
      <w:r w:rsidR="00A2400A" w:rsidRPr="00A2400A">
        <w:rPr>
          <w:rFonts w:eastAsia="Arial"/>
          <w:lang w:eastAsia="pt-BR" w:bidi="pt-BR"/>
        </w:rPr>
        <w:t>Syngenta</w:t>
      </w:r>
      <w:r w:rsidRPr="00A2400A">
        <w:rPr>
          <w:rFonts w:eastAsia="Arial"/>
          <w:lang w:eastAsia="pt-BR" w:bidi="pt-BR"/>
        </w:rPr>
        <w:t>/</w:t>
      </w:r>
      <w:r w:rsidR="00A2400A" w:rsidRPr="00A2400A">
        <w:rPr>
          <w:rFonts w:eastAsia="Arial"/>
          <w:lang w:eastAsia="pt-BR" w:bidi="pt-BR"/>
        </w:rPr>
        <w:t>Passo Fundo/RS</w:t>
      </w:r>
    </w:p>
    <w:p w14:paraId="2E87ED18" w14:textId="77777777" w:rsidR="00F7648C" w:rsidRPr="00A86F21" w:rsidRDefault="00F7648C" w:rsidP="00F7648C">
      <w:pPr>
        <w:suppressAutoHyphens/>
        <w:spacing w:after="0" w:line="240" w:lineRule="auto"/>
        <w:rPr>
          <w:rFonts w:eastAsia="Arial"/>
          <w:lang w:eastAsia="pt-BR" w:bidi="pt-BR"/>
        </w:rPr>
      </w:pPr>
    </w:p>
    <w:p w14:paraId="24E7355B" w14:textId="4A1B8487" w:rsidR="00F7648C" w:rsidRDefault="00F7648C" w:rsidP="00F7648C">
      <w:pPr>
        <w:suppressAutoHyphens/>
        <w:spacing w:after="0" w:line="240" w:lineRule="auto"/>
        <w:ind w:firstLine="0"/>
        <w:rPr>
          <w:rFonts w:eastAsia="Arial"/>
          <w:lang w:eastAsia="pt-BR" w:bidi="pt-BR"/>
        </w:rPr>
      </w:pPr>
    </w:p>
    <w:p w14:paraId="1CB8025E" w14:textId="77777777" w:rsidR="00F7648C" w:rsidRDefault="00F7648C" w:rsidP="00F7648C">
      <w:pPr>
        <w:suppressAutoHyphens/>
        <w:spacing w:after="0" w:line="240" w:lineRule="auto"/>
        <w:ind w:firstLine="0"/>
        <w:rPr>
          <w:rFonts w:eastAsia="Arial"/>
          <w:lang w:eastAsia="pt-BR" w:bidi="pt-BR"/>
        </w:rPr>
      </w:pPr>
    </w:p>
    <w:p w14:paraId="54F6A9BE" w14:textId="77777777" w:rsidR="00F7648C" w:rsidRPr="00A86F21" w:rsidRDefault="00F7648C" w:rsidP="00F7648C">
      <w:pPr>
        <w:suppressAutoHyphens/>
        <w:spacing w:after="0" w:line="240" w:lineRule="auto"/>
        <w:ind w:firstLine="0"/>
        <w:rPr>
          <w:rFonts w:eastAsia="Arial"/>
          <w:lang w:eastAsia="pt-BR" w:bidi="pt-BR"/>
        </w:rPr>
      </w:pPr>
      <w:r w:rsidRPr="00A86F21">
        <w:rPr>
          <w:rFonts w:eastAsia="Arial"/>
          <w:lang w:eastAsia="pt-BR" w:bidi="pt-BR"/>
        </w:rPr>
        <w:t xml:space="preserve">Membro:                              </w:t>
      </w:r>
      <w:r>
        <w:rPr>
          <w:noProof/>
        </w:rPr>
        <w:t>_________________________________</w:t>
      </w:r>
    </w:p>
    <w:p w14:paraId="15DAB505" w14:textId="663415F9" w:rsidR="00F7648C" w:rsidRPr="00A86F21" w:rsidRDefault="00F7648C" w:rsidP="00F7648C">
      <w:pPr>
        <w:suppressAutoHyphens/>
        <w:spacing w:after="0" w:line="240" w:lineRule="auto"/>
        <w:rPr>
          <w:rFonts w:eastAsia="Arial"/>
          <w:lang w:eastAsia="pt-BR" w:bidi="pt-BR"/>
        </w:rPr>
      </w:pPr>
      <w:r w:rsidRPr="00A86F21">
        <w:rPr>
          <w:rFonts w:eastAsia="Arial"/>
          <w:lang w:eastAsia="pt-BR" w:bidi="pt-BR"/>
        </w:rPr>
        <w:t xml:space="preserve">                                  Dr. </w:t>
      </w:r>
      <w:r w:rsidR="00A2400A">
        <w:rPr>
          <w:rFonts w:eastAsia="Arial"/>
          <w:lang w:eastAsia="pt-BR" w:bidi="pt-BR"/>
        </w:rPr>
        <w:t>Leandro Luiz Marcuzzo</w:t>
      </w:r>
    </w:p>
    <w:p w14:paraId="025F2FE0" w14:textId="1330A46D" w:rsidR="00F7648C" w:rsidRPr="00A86F21" w:rsidRDefault="00F7648C" w:rsidP="00F7648C">
      <w:pPr>
        <w:suppressAutoHyphens/>
        <w:spacing w:after="0" w:line="240" w:lineRule="auto"/>
        <w:rPr>
          <w:rFonts w:eastAsia="Arial"/>
          <w:lang w:eastAsia="pt-BR" w:bidi="pt-BR"/>
        </w:rPr>
      </w:pPr>
      <w:r w:rsidRPr="00A86F21">
        <w:rPr>
          <w:rFonts w:eastAsia="Arial"/>
          <w:lang w:eastAsia="pt-BR" w:bidi="pt-BR"/>
        </w:rPr>
        <w:t xml:space="preserve">                                  </w:t>
      </w:r>
      <w:r w:rsidRPr="00A2400A">
        <w:rPr>
          <w:rFonts w:eastAsia="Arial"/>
          <w:lang w:eastAsia="pt-BR" w:bidi="pt-BR"/>
        </w:rPr>
        <w:t>I</w:t>
      </w:r>
      <w:r w:rsidR="00A2400A" w:rsidRPr="00A2400A">
        <w:rPr>
          <w:rFonts w:eastAsia="Arial"/>
          <w:lang w:eastAsia="pt-BR" w:bidi="pt-BR"/>
        </w:rPr>
        <w:t>FC</w:t>
      </w:r>
      <w:r w:rsidRPr="00A2400A">
        <w:rPr>
          <w:rFonts w:eastAsia="Arial"/>
          <w:lang w:eastAsia="pt-BR" w:bidi="pt-BR"/>
        </w:rPr>
        <w:t>/</w:t>
      </w:r>
      <w:r w:rsidR="00A2400A" w:rsidRPr="00A2400A">
        <w:rPr>
          <w:rFonts w:eastAsia="Arial"/>
          <w:lang w:eastAsia="pt-BR" w:bidi="pt-BR"/>
        </w:rPr>
        <w:t>Rio do Sul</w:t>
      </w:r>
      <w:r w:rsidRPr="00A2400A">
        <w:rPr>
          <w:rFonts w:eastAsia="Arial"/>
          <w:lang w:eastAsia="pt-BR" w:bidi="pt-BR"/>
        </w:rPr>
        <w:t>, SC</w:t>
      </w:r>
    </w:p>
    <w:p w14:paraId="424F5012" w14:textId="2FC7F3F8" w:rsidR="00A86F21" w:rsidRPr="00A86F21" w:rsidRDefault="00A86F21" w:rsidP="00F7648C">
      <w:pPr>
        <w:suppressAutoHyphens/>
        <w:spacing w:after="0" w:line="240" w:lineRule="auto"/>
        <w:ind w:firstLine="0"/>
        <w:rPr>
          <w:rFonts w:eastAsia="Arial"/>
          <w:lang w:eastAsia="pt-BR" w:bidi="pt-BR"/>
        </w:rPr>
      </w:pPr>
      <w:r w:rsidRPr="00A86F21">
        <w:rPr>
          <w:rFonts w:eastAsia="Arial"/>
          <w:lang w:eastAsia="pt-BR" w:bidi="pt-BR"/>
        </w:rPr>
        <w:t xml:space="preserve"> </w:t>
      </w:r>
    </w:p>
    <w:p w14:paraId="69FDA41C" w14:textId="5A3F8306" w:rsidR="00A86F21" w:rsidRDefault="00A86F21" w:rsidP="00F7648C">
      <w:pPr>
        <w:suppressAutoHyphens/>
        <w:spacing w:after="0" w:line="240" w:lineRule="auto"/>
        <w:rPr>
          <w:rFonts w:eastAsia="Arial"/>
          <w:lang w:eastAsia="pt-BR" w:bidi="pt-BR"/>
        </w:rPr>
      </w:pPr>
    </w:p>
    <w:p w14:paraId="519263D5" w14:textId="77777777" w:rsidR="00F7648C" w:rsidRPr="00A86F21" w:rsidRDefault="00F7648C" w:rsidP="00F7648C">
      <w:pPr>
        <w:suppressAutoHyphens/>
        <w:spacing w:after="0" w:line="240" w:lineRule="auto"/>
        <w:rPr>
          <w:rFonts w:eastAsia="Arial"/>
          <w:lang w:eastAsia="pt-BR" w:bidi="pt-BR"/>
        </w:rPr>
      </w:pPr>
    </w:p>
    <w:p w14:paraId="18BC5A8D" w14:textId="77777777" w:rsidR="00F7648C" w:rsidRPr="00A86F21" w:rsidRDefault="00F7648C" w:rsidP="00F7648C">
      <w:pPr>
        <w:suppressAutoHyphens/>
        <w:spacing w:after="0" w:line="240" w:lineRule="auto"/>
        <w:ind w:firstLine="0"/>
        <w:rPr>
          <w:rFonts w:eastAsia="Arial"/>
          <w:lang w:eastAsia="pt-BR" w:bidi="pt-BR"/>
        </w:rPr>
      </w:pPr>
      <w:r w:rsidRPr="00A86F21">
        <w:rPr>
          <w:rFonts w:eastAsia="Arial"/>
          <w:lang w:eastAsia="pt-BR" w:bidi="pt-BR"/>
        </w:rPr>
        <w:t xml:space="preserve">Membro:                              </w:t>
      </w:r>
      <w:r>
        <w:rPr>
          <w:noProof/>
        </w:rPr>
        <w:t>_________________________________</w:t>
      </w:r>
    </w:p>
    <w:p w14:paraId="0CEA9338" w14:textId="0FA4AAB9" w:rsidR="00F7648C" w:rsidRPr="00A86F21" w:rsidRDefault="00F7648C" w:rsidP="00F7648C">
      <w:pPr>
        <w:suppressAutoHyphens/>
        <w:spacing w:after="0" w:line="240" w:lineRule="auto"/>
        <w:rPr>
          <w:rFonts w:eastAsia="Arial"/>
          <w:lang w:eastAsia="pt-BR" w:bidi="pt-BR"/>
        </w:rPr>
      </w:pPr>
      <w:r w:rsidRPr="00A86F21">
        <w:rPr>
          <w:rFonts w:eastAsia="Arial"/>
          <w:lang w:eastAsia="pt-BR" w:bidi="pt-BR"/>
        </w:rPr>
        <w:t xml:space="preserve">                                  Dr. </w:t>
      </w:r>
      <w:r w:rsidR="00A2400A">
        <w:rPr>
          <w:rFonts w:eastAsia="Arial"/>
          <w:lang w:eastAsia="pt-BR" w:bidi="pt-BR"/>
        </w:rPr>
        <w:t>Fábio Nascimento da Silva</w:t>
      </w:r>
    </w:p>
    <w:p w14:paraId="1E1E741B" w14:textId="743C320B" w:rsidR="00F7648C" w:rsidRPr="00A86F21" w:rsidRDefault="00F7648C" w:rsidP="00F7648C">
      <w:pPr>
        <w:suppressAutoHyphens/>
        <w:spacing w:after="0" w:line="240" w:lineRule="auto"/>
        <w:rPr>
          <w:rFonts w:eastAsia="Arial"/>
          <w:lang w:eastAsia="pt-BR" w:bidi="pt-BR"/>
        </w:rPr>
      </w:pPr>
      <w:r w:rsidRPr="00A86F21">
        <w:rPr>
          <w:rFonts w:eastAsia="Arial"/>
          <w:lang w:eastAsia="pt-BR" w:bidi="pt-BR"/>
        </w:rPr>
        <w:t xml:space="preserve">                                  </w:t>
      </w:r>
      <w:r w:rsidR="00A2400A" w:rsidRPr="00A86F21">
        <w:rPr>
          <w:rFonts w:eastAsia="Arial"/>
          <w:lang w:eastAsia="pt-BR" w:bidi="pt-BR"/>
        </w:rPr>
        <w:t>UDESC/Lages, SC</w:t>
      </w:r>
    </w:p>
    <w:p w14:paraId="1D314025" w14:textId="780CB65F" w:rsidR="003E054B" w:rsidRDefault="003E054B" w:rsidP="00F7648C">
      <w:pPr>
        <w:spacing w:line="240" w:lineRule="auto"/>
      </w:pPr>
    </w:p>
    <w:p w14:paraId="1ABD4C1B" w14:textId="77777777" w:rsidR="00F7648C" w:rsidRDefault="00F7648C" w:rsidP="00F7648C">
      <w:pPr>
        <w:spacing w:line="240" w:lineRule="auto"/>
      </w:pPr>
    </w:p>
    <w:p w14:paraId="474EF8B5" w14:textId="77777777" w:rsidR="00F7648C" w:rsidRPr="00A86F21" w:rsidRDefault="00F7648C" w:rsidP="00F7648C">
      <w:pPr>
        <w:suppressAutoHyphens/>
        <w:spacing w:after="0" w:line="240" w:lineRule="auto"/>
        <w:ind w:firstLine="0"/>
        <w:rPr>
          <w:rFonts w:eastAsia="Arial"/>
          <w:lang w:eastAsia="pt-BR" w:bidi="pt-BR"/>
        </w:rPr>
      </w:pPr>
      <w:r w:rsidRPr="00A86F21">
        <w:rPr>
          <w:rFonts w:eastAsia="Arial"/>
          <w:lang w:eastAsia="pt-BR" w:bidi="pt-BR"/>
        </w:rPr>
        <w:t xml:space="preserve">Membro:                              </w:t>
      </w:r>
      <w:r>
        <w:rPr>
          <w:noProof/>
        </w:rPr>
        <w:t>_________________________________</w:t>
      </w:r>
    </w:p>
    <w:p w14:paraId="3BA80861" w14:textId="116BB343" w:rsidR="00F7648C" w:rsidRPr="00A86F21" w:rsidRDefault="00F7648C" w:rsidP="00F7648C">
      <w:pPr>
        <w:suppressAutoHyphens/>
        <w:spacing w:after="0" w:line="240" w:lineRule="auto"/>
        <w:rPr>
          <w:rFonts w:eastAsia="Arial"/>
          <w:lang w:eastAsia="pt-BR" w:bidi="pt-BR"/>
        </w:rPr>
      </w:pPr>
      <w:r w:rsidRPr="00A86F21">
        <w:rPr>
          <w:rFonts w:eastAsia="Arial"/>
          <w:lang w:eastAsia="pt-BR" w:bidi="pt-BR"/>
        </w:rPr>
        <w:t xml:space="preserve">                                  Dr. </w:t>
      </w:r>
      <w:r w:rsidR="00A2400A">
        <w:rPr>
          <w:rFonts w:eastAsia="Arial"/>
          <w:lang w:eastAsia="pt-BR" w:bidi="pt-BR"/>
        </w:rPr>
        <w:t>Luis Sangoi</w:t>
      </w:r>
    </w:p>
    <w:p w14:paraId="10864524" w14:textId="77777777" w:rsidR="00A2400A" w:rsidRPr="00A86F21" w:rsidRDefault="00F7648C" w:rsidP="00A2400A">
      <w:pPr>
        <w:suppressAutoHyphens/>
        <w:spacing w:after="0" w:line="240" w:lineRule="auto"/>
        <w:rPr>
          <w:rFonts w:eastAsia="Arial"/>
          <w:lang w:eastAsia="pt-BR" w:bidi="pt-BR"/>
        </w:rPr>
      </w:pPr>
      <w:r w:rsidRPr="00A86F21">
        <w:rPr>
          <w:rFonts w:eastAsia="Arial"/>
          <w:lang w:eastAsia="pt-BR" w:bidi="pt-BR"/>
        </w:rPr>
        <w:t xml:space="preserve">                                  </w:t>
      </w:r>
      <w:r w:rsidR="00A2400A" w:rsidRPr="00A86F21">
        <w:rPr>
          <w:rFonts w:eastAsia="Arial"/>
          <w:lang w:eastAsia="pt-BR" w:bidi="pt-BR"/>
        </w:rPr>
        <w:t>UDESC/Lages, SC</w:t>
      </w:r>
    </w:p>
    <w:p w14:paraId="385635CC" w14:textId="1B1BB1F2" w:rsidR="00F7648C" w:rsidRPr="00A86F21" w:rsidRDefault="00F7648C" w:rsidP="00F7648C">
      <w:pPr>
        <w:suppressAutoHyphens/>
        <w:spacing w:after="0" w:line="240" w:lineRule="auto"/>
        <w:rPr>
          <w:rFonts w:eastAsia="Arial"/>
          <w:lang w:eastAsia="pt-BR" w:bidi="pt-BR"/>
        </w:rPr>
      </w:pPr>
    </w:p>
    <w:p w14:paraId="7BE21E01" w14:textId="77777777" w:rsidR="00F7648C" w:rsidRPr="00B7238F" w:rsidRDefault="00F7648C" w:rsidP="00F7648C">
      <w:pPr>
        <w:ind w:firstLine="0"/>
      </w:pPr>
    </w:p>
    <w:p w14:paraId="57DAE19E" w14:textId="163B262E" w:rsidR="003E054B" w:rsidRDefault="00F7648C" w:rsidP="00F7648C">
      <w:pPr>
        <w:spacing w:after="0"/>
        <w:jc w:val="center"/>
      </w:pPr>
      <w:r>
        <w:t>Lages, Santa Catarina</w:t>
      </w:r>
    </w:p>
    <w:p w14:paraId="76347659" w14:textId="25DE3960" w:rsidR="00F7648C" w:rsidRPr="00B7238F" w:rsidRDefault="00A2400A" w:rsidP="00F7648C">
      <w:pPr>
        <w:spacing w:after="0"/>
        <w:jc w:val="center"/>
      </w:pPr>
      <w:r w:rsidRPr="00A2400A">
        <w:t>23</w:t>
      </w:r>
      <w:r w:rsidR="00F7648C" w:rsidRPr="00A2400A">
        <w:t xml:space="preserve"> de </w:t>
      </w:r>
      <w:r w:rsidRPr="00A2400A">
        <w:t>Agosto</w:t>
      </w:r>
      <w:r w:rsidR="00F7648C" w:rsidRPr="00A2400A">
        <w:t xml:space="preserve"> de 2019</w:t>
      </w:r>
    </w:p>
    <w:p w14:paraId="5739D45D" w14:textId="6094D39E" w:rsidR="003E054B" w:rsidRPr="00B7238F" w:rsidRDefault="003E054B" w:rsidP="0005468C"/>
    <w:p w14:paraId="48875174" w14:textId="0A4CAF0D" w:rsidR="003E054B" w:rsidRPr="00B7238F" w:rsidRDefault="003E054B" w:rsidP="0005468C"/>
    <w:p w14:paraId="3AE44C61" w14:textId="63530A17" w:rsidR="003E054B" w:rsidRPr="00B7238F" w:rsidRDefault="003E054B" w:rsidP="0005468C"/>
    <w:p w14:paraId="03B700EE" w14:textId="1EAB6582" w:rsidR="003E054B" w:rsidRPr="00B7238F" w:rsidRDefault="003E054B" w:rsidP="0005468C"/>
    <w:p w14:paraId="3061E4CC" w14:textId="36934545" w:rsidR="003E054B" w:rsidRPr="00B7238F" w:rsidRDefault="003E054B" w:rsidP="0005468C"/>
    <w:p w14:paraId="4AD535C4" w14:textId="707C87E7" w:rsidR="003E054B" w:rsidRPr="00B7238F" w:rsidRDefault="003E054B" w:rsidP="0005468C"/>
    <w:p w14:paraId="747691BD" w14:textId="03C2045D" w:rsidR="003E054B" w:rsidRPr="00B7238F" w:rsidRDefault="003E054B" w:rsidP="0005468C"/>
    <w:p w14:paraId="452E0B46" w14:textId="12734BB5" w:rsidR="003E054B" w:rsidRPr="00B7238F" w:rsidRDefault="003E054B" w:rsidP="0005468C"/>
    <w:p w14:paraId="6C2C18F9" w14:textId="72C6E777" w:rsidR="003E054B" w:rsidRPr="00B7238F" w:rsidRDefault="003E054B" w:rsidP="0005468C"/>
    <w:p w14:paraId="53AAA65B" w14:textId="54BCE113" w:rsidR="003E054B" w:rsidRPr="00B7238F" w:rsidRDefault="003E054B" w:rsidP="0005468C"/>
    <w:p w14:paraId="6D1384F2" w14:textId="20E01919" w:rsidR="003E054B" w:rsidRPr="00B7238F" w:rsidRDefault="003E054B" w:rsidP="0005468C"/>
    <w:p w14:paraId="502F9E2F" w14:textId="4DD46390" w:rsidR="003E054B" w:rsidRPr="00B7238F" w:rsidRDefault="003E054B" w:rsidP="0005468C"/>
    <w:p w14:paraId="67FC7A21" w14:textId="5BE636A1" w:rsidR="003E054B" w:rsidRPr="00B7238F" w:rsidRDefault="003E054B" w:rsidP="0005468C"/>
    <w:p w14:paraId="326123DC" w14:textId="455B343D" w:rsidR="003E054B" w:rsidRDefault="003E054B" w:rsidP="0005468C"/>
    <w:p w14:paraId="56EFEED0" w14:textId="77777777" w:rsidR="00022480" w:rsidRDefault="00022480" w:rsidP="0005468C"/>
    <w:p w14:paraId="2D7EAD35" w14:textId="00159EC6" w:rsidR="00315449" w:rsidRPr="00B7238F" w:rsidRDefault="00315449" w:rsidP="0005468C"/>
    <w:p w14:paraId="71E86F41" w14:textId="77777777" w:rsidR="00300FEC" w:rsidRPr="00B7238F" w:rsidRDefault="00300FEC" w:rsidP="0005468C"/>
    <w:p w14:paraId="2EB3EDB6" w14:textId="77777777" w:rsidR="003B6046" w:rsidRPr="00B7238F" w:rsidRDefault="003B6046" w:rsidP="0005468C"/>
    <w:p w14:paraId="47B318BD" w14:textId="77777777" w:rsidR="003B6046" w:rsidRPr="00B7238F" w:rsidRDefault="003B6046" w:rsidP="0005468C"/>
    <w:p w14:paraId="3CC8D849" w14:textId="77777777" w:rsidR="003B6046" w:rsidRPr="00B7238F" w:rsidRDefault="003B6046" w:rsidP="0005468C"/>
    <w:p w14:paraId="73B13632" w14:textId="7079068F" w:rsidR="005F2B44" w:rsidRPr="00B7238F" w:rsidRDefault="005F2B44" w:rsidP="0005468C"/>
    <w:p w14:paraId="6DFD9974" w14:textId="34F4DA92" w:rsidR="005F2B44" w:rsidRPr="00B7238F" w:rsidRDefault="005F2B44" w:rsidP="0005468C"/>
    <w:p w14:paraId="3071EE61" w14:textId="1DD2C2D3" w:rsidR="005F2B44" w:rsidRPr="00B7238F" w:rsidRDefault="005F2B44" w:rsidP="0005468C"/>
    <w:p w14:paraId="3988EC59" w14:textId="54DFE80D" w:rsidR="005F2B44" w:rsidRPr="00B7238F" w:rsidRDefault="005F2B44" w:rsidP="0005468C"/>
    <w:p w14:paraId="2CD60CC5" w14:textId="2AB4B770" w:rsidR="005F2B44" w:rsidRPr="00B7238F" w:rsidRDefault="005F2B44" w:rsidP="0005468C"/>
    <w:p w14:paraId="71EDFD4E" w14:textId="521B8D53" w:rsidR="005F2B44" w:rsidRPr="00B7238F" w:rsidRDefault="005F2B44" w:rsidP="0005468C"/>
    <w:p w14:paraId="4FE69C4E" w14:textId="77777777" w:rsidR="00280104" w:rsidRPr="00B7238F" w:rsidRDefault="00280104" w:rsidP="006F2AF2">
      <w:pPr>
        <w:ind w:left="4536" w:firstLine="0"/>
      </w:pPr>
      <w:r w:rsidRPr="00B7238F">
        <w:t>Dedico a minha mãe, Jane Maria Maciel Zacca. Minha eterna gratidão.</w:t>
      </w:r>
    </w:p>
    <w:p w14:paraId="060989E3" w14:textId="36FB900C" w:rsidR="005F2B44" w:rsidRPr="00B7238F" w:rsidRDefault="005F2B44" w:rsidP="006F2AF2">
      <w:pPr>
        <w:ind w:left="4536" w:firstLine="0"/>
      </w:pPr>
    </w:p>
    <w:p w14:paraId="52299FAF" w14:textId="3A7DB862" w:rsidR="00315449" w:rsidRDefault="00C06202" w:rsidP="006F2AF2">
      <w:pPr>
        <w:ind w:left="4536" w:firstLine="0"/>
      </w:pPr>
      <w:r w:rsidRPr="00B7238F">
        <w:t>Ofereço à</w:t>
      </w:r>
      <w:r w:rsidR="0039203A" w:rsidRPr="00B7238F">
        <w:t xml:space="preserve"> </w:t>
      </w:r>
      <w:r w:rsidR="00766990" w:rsidRPr="00B7238F">
        <w:t>Marta Maria Casa Blum</w:t>
      </w:r>
      <w:r w:rsidRPr="00B7238F">
        <w:t xml:space="preserve">, </w:t>
      </w:r>
      <w:r w:rsidR="00766990" w:rsidRPr="00B7238F">
        <w:t>Ricardo Trezzi Casa, Fernando Gava</w:t>
      </w:r>
      <w:r w:rsidR="0039203A" w:rsidRPr="00B7238F">
        <w:t xml:space="preserve"> </w:t>
      </w:r>
      <w:r w:rsidRPr="00B7238F">
        <w:t>e àqueles que contribuíram para minha formação pessoal e profissional.</w:t>
      </w:r>
    </w:p>
    <w:p w14:paraId="5A656397" w14:textId="02C08C7B" w:rsidR="005F2B44" w:rsidRDefault="005F2B44" w:rsidP="0005468C"/>
    <w:p w14:paraId="2FD9F9D1" w14:textId="58518412" w:rsidR="003452CB" w:rsidRDefault="003452CB" w:rsidP="0005468C"/>
    <w:p w14:paraId="4A447969" w14:textId="3FF286F0" w:rsidR="003452CB" w:rsidRDefault="003452CB" w:rsidP="0005468C"/>
    <w:p w14:paraId="562F7E34" w14:textId="770962A2" w:rsidR="003452CB" w:rsidRDefault="003452CB" w:rsidP="0005468C"/>
    <w:p w14:paraId="3E19E793" w14:textId="02D5BCA9" w:rsidR="003452CB" w:rsidRDefault="003452CB" w:rsidP="0005468C"/>
    <w:p w14:paraId="5CB35318" w14:textId="6687A64C" w:rsidR="003452CB" w:rsidRDefault="003452CB" w:rsidP="0005468C"/>
    <w:p w14:paraId="7D0395A3" w14:textId="0D907ADD" w:rsidR="003452CB" w:rsidRDefault="003452CB" w:rsidP="0005468C"/>
    <w:p w14:paraId="7AC63272" w14:textId="208A282B" w:rsidR="003452CB" w:rsidRDefault="003452CB" w:rsidP="0005468C"/>
    <w:p w14:paraId="6F33AAB2" w14:textId="2C286DE5" w:rsidR="003452CB" w:rsidRDefault="003452CB" w:rsidP="0005468C"/>
    <w:p w14:paraId="260CAE27" w14:textId="4F81DE57" w:rsidR="003452CB" w:rsidRDefault="003452CB" w:rsidP="0005468C"/>
    <w:p w14:paraId="443B9715" w14:textId="3D1FD48D" w:rsidR="003452CB" w:rsidRDefault="003452CB" w:rsidP="0005468C"/>
    <w:p w14:paraId="0929E97C" w14:textId="27EEFFBB" w:rsidR="003452CB" w:rsidRDefault="003452CB" w:rsidP="0005468C"/>
    <w:p w14:paraId="16D57FEE" w14:textId="17997C85" w:rsidR="003452CB" w:rsidRDefault="003452CB" w:rsidP="0005468C"/>
    <w:p w14:paraId="764AB07D" w14:textId="2A6191C4" w:rsidR="003452CB" w:rsidRDefault="003452CB" w:rsidP="0005468C"/>
    <w:p w14:paraId="7C21C479" w14:textId="367B3F9B" w:rsidR="003452CB" w:rsidRDefault="003452CB" w:rsidP="0005468C"/>
    <w:p w14:paraId="3143FBA5" w14:textId="1819B6B8" w:rsidR="003452CB" w:rsidRDefault="003452CB" w:rsidP="0005468C"/>
    <w:p w14:paraId="2D837927" w14:textId="27CB8B83" w:rsidR="003452CB" w:rsidRDefault="003452CB" w:rsidP="0005468C"/>
    <w:p w14:paraId="46B3D8DC" w14:textId="7C935991" w:rsidR="003452CB" w:rsidRDefault="003452CB" w:rsidP="0005468C"/>
    <w:p w14:paraId="3BE01439" w14:textId="1E74B4FD" w:rsidR="003452CB" w:rsidRDefault="003452CB" w:rsidP="0005468C"/>
    <w:p w14:paraId="7E4FFF0F" w14:textId="5DF8E8A5" w:rsidR="003452CB" w:rsidRDefault="003452CB" w:rsidP="0005468C"/>
    <w:p w14:paraId="3101E812" w14:textId="0AF33F25" w:rsidR="003452CB" w:rsidRDefault="003452CB" w:rsidP="0005468C"/>
    <w:p w14:paraId="30CA1F25" w14:textId="5519AAD4" w:rsidR="00A3606A" w:rsidRDefault="00A3606A" w:rsidP="0005468C"/>
    <w:p w14:paraId="54BB5F6E" w14:textId="3348E5B0" w:rsidR="00A3606A" w:rsidRDefault="00A3606A" w:rsidP="0005468C"/>
    <w:p w14:paraId="0EA06BE7" w14:textId="3B584407" w:rsidR="00A3606A" w:rsidRDefault="00A3606A" w:rsidP="0005468C"/>
    <w:p w14:paraId="4436827B" w14:textId="77777777" w:rsidR="00A3606A" w:rsidRDefault="00A3606A" w:rsidP="0005468C"/>
    <w:p w14:paraId="7A34DF1F" w14:textId="77777777" w:rsidR="00FA3150" w:rsidRDefault="00FA3150" w:rsidP="001A039E">
      <w:pPr>
        <w:spacing w:line="240" w:lineRule="auto"/>
      </w:pPr>
    </w:p>
    <w:p w14:paraId="698B0D3D" w14:textId="77777777" w:rsidR="00FA3150" w:rsidRDefault="00FA3150" w:rsidP="001A039E">
      <w:pPr>
        <w:spacing w:line="240" w:lineRule="auto"/>
      </w:pPr>
    </w:p>
    <w:p w14:paraId="7147985D" w14:textId="77777777" w:rsidR="00FA3150" w:rsidRDefault="00FA3150" w:rsidP="001A039E">
      <w:pPr>
        <w:spacing w:line="240" w:lineRule="auto"/>
      </w:pPr>
    </w:p>
    <w:p w14:paraId="2898FE96" w14:textId="77777777" w:rsidR="00FA3150" w:rsidRDefault="00FA3150" w:rsidP="001A039E">
      <w:pPr>
        <w:spacing w:line="240" w:lineRule="auto"/>
      </w:pPr>
    </w:p>
    <w:p w14:paraId="488FADE7" w14:textId="62AD2CB5" w:rsidR="003B6046" w:rsidRPr="001A039E" w:rsidRDefault="00C06202" w:rsidP="00FA3150">
      <w:pPr>
        <w:spacing w:line="240" w:lineRule="auto"/>
        <w:ind w:firstLine="0"/>
        <w:rPr>
          <w:b/>
        </w:rPr>
      </w:pPr>
      <w:r w:rsidRPr="001A039E">
        <w:rPr>
          <w:b/>
        </w:rPr>
        <w:t>AGRADECIMENTOS</w:t>
      </w:r>
    </w:p>
    <w:p w14:paraId="4D1795CC" w14:textId="77777777" w:rsidR="001A039E" w:rsidRDefault="001A039E" w:rsidP="00022480">
      <w:pPr>
        <w:spacing w:line="240" w:lineRule="auto"/>
      </w:pPr>
    </w:p>
    <w:p w14:paraId="6F3C8D7C" w14:textId="1CC1AD07" w:rsidR="00D276CC" w:rsidRPr="00DE7076" w:rsidRDefault="00C06202" w:rsidP="00022480">
      <w:pPr>
        <w:spacing w:line="360" w:lineRule="auto"/>
        <w:rPr>
          <w:highlight w:val="yellow"/>
        </w:rPr>
      </w:pPr>
      <w:r w:rsidRPr="00DE7076">
        <w:t>Aos m</w:t>
      </w:r>
      <w:r w:rsidR="00766990" w:rsidRPr="00DE7076">
        <w:t>inha mãe e irmã</w:t>
      </w:r>
      <w:r w:rsidRPr="00DE7076">
        <w:t>,</w:t>
      </w:r>
      <w:r w:rsidR="00766990" w:rsidRPr="00DE7076">
        <w:t xml:space="preserve"> Jane Maria Zacca Ferreira e Rosane Maria Dias Figueira</w:t>
      </w:r>
      <w:r w:rsidRPr="00DE7076">
        <w:t>,</w:t>
      </w:r>
      <w:r w:rsidR="00CB3F28" w:rsidRPr="00DE7076">
        <w:t xml:space="preserve"> pela </w:t>
      </w:r>
      <w:r w:rsidR="00BB734B" w:rsidRPr="00DE7076">
        <w:t>entrega</w:t>
      </w:r>
      <w:r w:rsidR="00CB3F28" w:rsidRPr="00DE7076">
        <w:t xml:space="preserve"> absoluta e incondicional </w:t>
      </w:r>
      <w:r w:rsidR="001F3D2E" w:rsidRPr="00DE7076">
        <w:t>para</w:t>
      </w:r>
      <w:r w:rsidR="00CB3F28" w:rsidRPr="00DE7076">
        <w:t xml:space="preserve"> minha formação pessoal e profissional.</w:t>
      </w:r>
      <w:r w:rsidR="00D276CC" w:rsidRPr="00DE7076">
        <w:rPr>
          <w:highlight w:val="yellow"/>
        </w:rPr>
        <w:t xml:space="preserve"> </w:t>
      </w:r>
    </w:p>
    <w:p w14:paraId="010CB12E" w14:textId="6699B56B" w:rsidR="00C06202" w:rsidRPr="00DE7076" w:rsidRDefault="002907C8" w:rsidP="00022480">
      <w:pPr>
        <w:spacing w:line="360" w:lineRule="auto"/>
      </w:pPr>
      <w:r w:rsidRPr="00DE7076">
        <w:t>À</w:t>
      </w:r>
      <w:r w:rsidR="0039203A" w:rsidRPr="00DE7076">
        <w:t xml:space="preserve"> </w:t>
      </w:r>
      <w:r w:rsidR="00766990" w:rsidRPr="00DE7076">
        <w:t>minha família</w:t>
      </w:r>
      <w:r w:rsidR="00D276CC" w:rsidRPr="00DE7076">
        <w:t>, por terem me</w:t>
      </w:r>
      <w:r w:rsidR="00766990" w:rsidRPr="00DE7076">
        <w:t xml:space="preserve"> apoiado sempre nesta jornada</w:t>
      </w:r>
      <w:r w:rsidR="00D276CC" w:rsidRPr="00DE7076">
        <w:t>.</w:t>
      </w:r>
    </w:p>
    <w:p w14:paraId="5EF5F12C" w14:textId="2A3D0B78" w:rsidR="00CB3F28" w:rsidRPr="00DE7076" w:rsidRDefault="00D276CC" w:rsidP="00022480">
      <w:pPr>
        <w:spacing w:line="360" w:lineRule="auto"/>
      </w:pPr>
      <w:r w:rsidRPr="00DE7076">
        <w:t>Ao</w:t>
      </w:r>
      <w:r w:rsidR="00CB3F28" w:rsidRPr="00DE7076">
        <w:t xml:space="preserve"> professor</w:t>
      </w:r>
      <w:r w:rsidR="0039203A" w:rsidRPr="00DE7076">
        <w:t xml:space="preserve"> </w:t>
      </w:r>
      <w:r w:rsidR="00766990" w:rsidRPr="00DE7076">
        <w:t>Ricardo Trezzi Casa</w:t>
      </w:r>
      <w:r w:rsidRPr="00DE7076">
        <w:t>, pela</w:t>
      </w:r>
      <w:r w:rsidR="00975F70" w:rsidRPr="00DE7076">
        <w:t xml:space="preserve"> oportunidade conced</w:t>
      </w:r>
      <w:r w:rsidR="00CB3F28" w:rsidRPr="00DE7076">
        <w:t>ida, pela orientação e p</w:t>
      </w:r>
      <w:r w:rsidR="00766990" w:rsidRPr="00DE7076">
        <w:t>or todos os conhecimentos técnicos transmitidos</w:t>
      </w:r>
      <w:r w:rsidR="00CB3F28" w:rsidRPr="00DE7076">
        <w:t>.</w:t>
      </w:r>
    </w:p>
    <w:p w14:paraId="02EDC933" w14:textId="4CD05BE7" w:rsidR="00766990" w:rsidRPr="00DE7076" w:rsidRDefault="001F3D2E" w:rsidP="00022480">
      <w:pPr>
        <w:spacing w:line="360" w:lineRule="auto"/>
      </w:pPr>
      <w:r w:rsidRPr="00DE7076">
        <w:t xml:space="preserve">A coorientadora </w:t>
      </w:r>
      <w:r w:rsidR="00766990" w:rsidRPr="00DE7076">
        <w:t xml:space="preserve">Marta </w:t>
      </w:r>
      <w:r w:rsidRPr="00DE7076">
        <w:t>Maria Casa Blum por todo apoio técnico, confiança,</w:t>
      </w:r>
      <w:r w:rsidR="005B04DA" w:rsidRPr="00DE7076">
        <w:t xml:space="preserve"> motivação</w:t>
      </w:r>
      <w:r w:rsidRPr="00DE7076">
        <w:t xml:space="preserve"> e ensinamentos como pessoa transmitidos durante todo trabalho.</w:t>
      </w:r>
    </w:p>
    <w:p w14:paraId="3D19D5C3" w14:textId="7A49C968" w:rsidR="00766990" w:rsidRPr="00DE7076" w:rsidRDefault="001F3D2E" w:rsidP="00022480">
      <w:pPr>
        <w:spacing w:line="360" w:lineRule="auto"/>
      </w:pPr>
      <w:r w:rsidRPr="00DE7076">
        <w:t xml:space="preserve">A </w:t>
      </w:r>
      <w:r w:rsidR="00766990" w:rsidRPr="00DE7076">
        <w:t>Fernando Gava</w:t>
      </w:r>
      <w:r w:rsidRPr="00DE7076">
        <w:t xml:space="preserve"> pela amizade, parceria no desenvolvimento do trabalho, acreditando no meu potencial como futuro pesquisador na área, sendo em muitos momentos este apoio </w:t>
      </w:r>
      <w:r w:rsidR="005B04DA" w:rsidRPr="00DE7076">
        <w:t xml:space="preserve">e </w:t>
      </w:r>
      <w:r w:rsidRPr="00DE7076">
        <w:t xml:space="preserve">motivação </w:t>
      </w:r>
      <w:r w:rsidR="005B04DA" w:rsidRPr="00DE7076">
        <w:t xml:space="preserve">essencial </w:t>
      </w:r>
      <w:r w:rsidRPr="00DE7076">
        <w:t xml:space="preserve">para continuidade do </w:t>
      </w:r>
      <w:r w:rsidR="005B04DA" w:rsidRPr="00DE7076">
        <w:t>trabalho</w:t>
      </w:r>
      <w:r w:rsidRPr="00DE7076">
        <w:t>.</w:t>
      </w:r>
    </w:p>
    <w:p w14:paraId="55DE8474" w14:textId="57627656" w:rsidR="00766990" w:rsidRPr="00DE7076" w:rsidRDefault="001F3D2E" w:rsidP="00022480">
      <w:pPr>
        <w:spacing w:line="360" w:lineRule="auto"/>
      </w:pPr>
      <w:r w:rsidRPr="00DE7076">
        <w:t xml:space="preserve">Ao professor </w:t>
      </w:r>
      <w:r w:rsidR="00766990" w:rsidRPr="00DE7076">
        <w:t>Fábio</w:t>
      </w:r>
      <w:r w:rsidRPr="00DE7076">
        <w:t xml:space="preserve"> Nascimento, pelos ensinamentos e auxílio em todas as questões da parte de genética e biotecnologia.</w:t>
      </w:r>
    </w:p>
    <w:p w14:paraId="7762A3D8" w14:textId="42161EA9" w:rsidR="001F3D2E" w:rsidRPr="00DE7076" w:rsidRDefault="001F3D2E" w:rsidP="00022480">
      <w:pPr>
        <w:spacing w:line="360" w:lineRule="auto"/>
      </w:pPr>
      <w:r w:rsidRPr="00DE7076">
        <w:t>A</w:t>
      </w:r>
      <w:r w:rsidR="005B04DA" w:rsidRPr="00DE7076">
        <w:t xml:space="preserve"> Guilherme Pelleti Bueno, André Ludwig, Flávio Schupel Martins, Diego Bevilaqua e Marina Bortoluzzi por toda a ajuda para realização dos experimentos.</w:t>
      </w:r>
    </w:p>
    <w:p w14:paraId="011CCBAD" w14:textId="1F27670C" w:rsidR="00766990" w:rsidRPr="00DE7076" w:rsidRDefault="005B04DA" w:rsidP="00022480">
      <w:pPr>
        <w:spacing w:line="360" w:lineRule="auto"/>
      </w:pPr>
      <w:r w:rsidRPr="00DE7076">
        <w:t>Aos demais integrantes do laboratório que de alguma contribuíram na elaboração, construção e/ou condução do trabalho.</w:t>
      </w:r>
    </w:p>
    <w:p w14:paraId="2842B912" w14:textId="6B507748" w:rsidR="005B04DA" w:rsidRPr="00DE7076" w:rsidRDefault="005B04DA" w:rsidP="00022480">
      <w:pPr>
        <w:spacing w:line="360" w:lineRule="auto"/>
      </w:pPr>
      <w:r w:rsidRPr="00DE7076">
        <w:t>A Tiago Miqueloto por ser este grande amigo, e estar apoiando em todos os momentos.</w:t>
      </w:r>
    </w:p>
    <w:p w14:paraId="49EC2988" w14:textId="02ED9E9E" w:rsidR="00CB3F28" w:rsidRPr="00DE7076" w:rsidRDefault="005B04DA" w:rsidP="00022480">
      <w:pPr>
        <w:spacing w:line="360" w:lineRule="auto"/>
      </w:pPr>
      <w:r w:rsidRPr="00DE7076">
        <w:t>Aos amigos da república arapuca</w:t>
      </w:r>
      <w:r w:rsidR="002907C8" w:rsidRPr="00DE7076">
        <w:t xml:space="preserve"> pelos momentos de </w:t>
      </w:r>
      <w:r w:rsidR="00F75943" w:rsidRPr="00DE7076">
        <w:t>descontração e</w:t>
      </w:r>
      <w:r w:rsidRPr="00DE7076">
        <w:t xml:space="preserve"> diversos, sendo estes de suma importância para conseguir enfrentar as adversidades</w:t>
      </w:r>
      <w:r w:rsidR="00F75943" w:rsidRPr="00DE7076">
        <w:t>.</w:t>
      </w:r>
    </w:p>
    <w:p w14:paraId="04022233" w14:textId="77777777" w:rsidR="00CB3F28" w:rsidRPr="00DE7076" w:rsidRDefault="00CB3F28" w:rsidP="00022480">
      <w:pPr>
        <w:spacing w:line="360" w:lineRule="auto"/>
      </w:pPr>
      <w:r w:rsidRPr="00DE7076">
        <w:t>À UDESC, pelo ensino de qualidade e estrutura disponíveis desde a minha graduação até o desenvolvimento dessa Tese.</w:t>
      </w:r>
    </w:p>
    <w:p w14:paraId="60E69F32" w14:textId="48BE5F9F" w:rsidR="00CB3F28" w:rsidRPr="00DE7076" w:rsidRDefault="002907C8" w:rsidP="00022480">
      <w:pPr>
        <w:spacing w:line="360" w:lineRule="auto"/>
      </w:pPr>
      <w:r w:rsidRPr="00DE7076">
        <w:t>À</w:t>
      </w:r>
      <w:r w:rsidR="00CB3F28" w:rsidRPr="00DE7076">
        <w:t xml:space="preserve"> F</w:t>
      </w:r>
      <w:r w:rsidR="0039203A" w:rsidRPr="00DE7076">
        <w:t>UMDES</w:t>
      </w:r>
      <w:r w:rsidR="00CB3F28" w:rsidRPr="00DE7076">
        <w:t xml:space="preserve"> pela concessão de bolsa de estudo.</w:t>
      </w:r>
    </w:p>
    <w:p w14:paraId="4A67444F" w14:textId="59910A0F" w:rsidR="00766990" w:rsidRPr="00DE7076" w:rsidRDefault="00766990" w:rsidP="00022480">
      <w:pPr>
        <w:spacing w:line="360" w:lineRule="auto"/>
      </w:pPr>
      <w:r w:rsidRPr="00DE7076">
        <w:t>A BASF pela parceria, disponibilização da estrutura e custeio das análises.</w:t>
      </w:r>
    </w:p>
    <w:p w14:paraId="0A762280" w14:textId="77777777" w:rsidR="00E3152D" w:rsidRPr="00DE7076" w:rsidRDefault="00E3152D" w:rsidP="00022480">
      <w:pPr>
        <w:spacing w:line="360" w:lineRule="auto"/>
      </w:pPr>
      <w:r w:rsidRPr="00DE7076">
        <w:t>A todos os funcionários terceirizados da UDESC pela cooperação e amizade</w:t>
      </w:r>
      <w:r w:rsidR="009F6C9C" w:rsidRPr="00DE7076">
        <w:t>.</w:t>
      </w:r>
    </w:p>
    <w:p w14:paraId="713409D5" w14:textId="77777777" w:rsidR="00B9075C" w:rsidRDefault="00CB3F28" w:rsidP="00022480">
      <w:pPr>
        <w:spacing w:line="360" w:lineRule="auto"/>
      </w:pPr>
      <w:r w:rsidRPr="00DE7076">
        <w:t>A todos os professores e colegas do curso de pós-graduação</w:t>
      </w:r>
      <w:r w:rsidR="00093530" w:rsidRPr="00DE7076">
        <w:t>.</w:t>
      </w:r>
    </w:p>
    <w:p w14:paraId="33B69B6F" w14:textId="7793DE24" w:rsidR="005F2B44" w:rsidRPr="00B7238F" w:rsidRDefault="00CB3F28" w:rsidP="00022480">
      <w:pPr>
        <w:spacing w:line="360" w:lineRule="auto"/>
        <w:rPr>
          <w:b/>
        </w:rPr>
      </w:pPr>
      <w:r w:rsidRPr="00DE7076">
        <w:t>A todos que</w:t>
      </w:r>
      <w:r w:rsidR="00E0093A" w:rsidRPr="00DE7076">
        <w:t xml:space="preserve"> de alguma forma</w:t>
      </w:r>
      <w:r w:rsidR="0062237D" w:rsidRPr="00DE7076">
        <w:t xml:space="preserve"> contribuíram</w:t>
      </w:r>
      <w:r w:rsidR="00E0093A" w:rsidRPr="00DE7076">
        <w:t xml:space="preserve"> </w:t>
      </w:r>
      <w:r w:rsidRPr="00DE7076">
        <w:t>na construção deste trabalho.</w:t>
      </w:r>
    </w:p>
    <w:p w14:paraId="65C912E0" w14:textId="6DE60732" w:rsidR="005F2B44" w:rsidRPr="00B7238F" w:rsidRDefault="005F2B44" w:rsidP="0005468C"/>
    <w:p w14:paraId="2CAEF19E" w14:textId="4E77F5F7" w:rsidR="005F2B44" w:rsidRPr="00B7238F" w:rsidRDefault="005F2B44" w:rsidP="0005468C"/>
    <w:p w14:paraId="6B23EE14" w14:textId="5C715DF0" w:rsidR="005F2B44" w:rsidRPr="00B7238F" w:rsidRDefault="005F2B44" w:rsidP="0005468C"/>
    <w:p w14:paraId="042DB6F4" w14:textId="68D05E4B" w:rsidR="005F2B44" w:rsidRPr="00B7238F" w:rsidRDefault="005F2B44" w:rsidP="0005468C"/>
    <w:p w14:paraId="1CBE512B" w14:textId="4C3CA401" w:rsidR="005F2B44" w:rsidRPr="00B7238F" w:rsidRDefault="005F2B44" w:rsidP="0005468C"/>
    <w:p w14:paraId="4D6C9BD8" w14:textId="5AA3935F" w:rsidR="005F2B44" w:rsidRPr="00B7238F" w:rsidRDefault="005F2B44" w:rsidP="0005468C"/>
    <w:p w14:paraId="50597E8D" w14:textId="1458B54D" w:rsidR="005F2B44" w:rsidRPr="00B7238F" w:rsidRDefault="005F2B44" w:rsidP="0005468C"/>
    <w:p w14:paraId="2A3008CA" w14:textId="0BD347D5" w:rsidR="005F2B44" w:rsidRPr="00B7238F" w:rsidRDefault="005F2B44" w:rsidP="0005468C"/>
    <w:p w14:paraId="437768A8" w14:textId="56F6CA4C" w:rsidR="005F2B44" w:rsidRPr="00B7238F" w:rsidRDefault="005F2B44" w:rsidP="0005468C"/>
    <w:p w14:paraId="54BBBA92" w14:textId="40F161A2" w:rsidR="005F2B44" w:rsidRPr="00B7238F" w:rsidRDefault="005F2B44" w:rsidP="0005468C"/>
    <w:p w14:paraId="073B6197" w14:textId="0C1B9A40" w:rsidR="005F2B44" w:rsidRPr="00B7238F" w:rsidRDefault="005F2B44" w:rsidP="0005468C"/>
    <w:p w14:paraId="19F94C2A" w14:textId="0BEBA29B" w:rsidR="005F2B44" w:rsidRPr="00B7238F" w:rsidRDefault="005F2B44" w:rsidP="0005468C"/>
    <w:p w14:paraId="69C9C263" w14:textId="7C334500" w:rsidR="005F2B44" w:rsidRPr="00B7238F" w:rsidRDefault="005F2B44" w:rsidP="0005468C"/>
    <w:p w14:paraId="55EB0690" w14:textId="34679C01" w:rsidR="005F2B44" w:rsidRPr="00B7238F" w:rsidRDefault="005F2B44" w:rsidP="0005468C"/>
    <w:p w14:paraId="05D8961A" w14:textId="61031EB6" w:rsidR="005F2B44" w:rsidRPr="00B7238F" w:rsidRDefault="005F2B44" w:rsidP="0005468C"/>
    <w:p w14:paraId="4FBE1FF5" w14:textId="4BDCCCCD" w:rsidR="005F2B44" w:rsidRPr="00B7238F" w:rsidRDefault="005F2B44" w:rsidP="0005468C"/>
    <w:p w14:paraId="70A9A34B" w14:textId="36EA77BF" w:rsidR="005F2B44" w:rsidRPr="00B7238F" w:rsidRDefault="005F2B44" w:rsidP="0005468C"/>
    <w:p w14:paraId="5C00ABD5" w14:textId="20CCF53B" w:rsidR="005F2B44" w:rsidRPr="00B7238F" w:rsidRDefault="005F2B44" w:rsidP="0005468C"/>
    <w:p w14:paraId="71E88CA8" w14:textId="77777777" w:rsidR="005F2B44" w:rsidRPr="00B7238F" w:rsidRDefault="005F2B44" w:rsidP="0005468C"/>
    <w:p w14:paraId="1A3C157F" w14:textId="77777777" w:rsidR="003B6046" w:rsidRPr="00B7238F" w:rsidRDefault="003B6046" w:rsidP="0005468C"/>
    <w:p w14:paraId="7B685095" w14:textId="77777777" w:rsidR="00F07595" w:rsidRPr="00B7238F" w:rsidRDefault="00F07595" w:rsidP="0005468C"/>
    <w:p w14:paraId="6BE86B86" w14:textId="77777777" w:rsidR="0070074B" w:rsidRPr="00B7238F" w:rsidRDefault="0070074B" w:rsidP="0005468C"/>
    <w:p w14:paraId="4E71D636" w14:textId="77777777" w:rsidR="0070074B" w:rsidRPr="00B7238F" w:rsidRDefault="0070074B" w:rsidP="0005468C"/>
    <w:p w14:paraId="0033AA11" w14:textId="77777777" w:rsidR="0070074B" w:rsidRPr="00B7238F" w:rsidRDefault="0070074B" w:rsidP="0005468C">
      <w:r w:rsidRPr="00B7238F">
        <w:tab/>
      </w:r>
      <w:r w:rsidRPr="00B7238F">
        <w:tab/>
      </w:r>
      <w:r w:rsidRPr="00B7238F">
        <w:tab/>
      </w:r>
      <w:r w:rsidRPr="00B7238F">
        <w:tab/>
      </w:r>
      <w:r w:rsidRPr="00B7238F">
        <w:tab/>
      </w:r>
      <w:r w:rsidRPr="00B7238F">
        <w:tab/>
      </w:r>
      <w:r w:rsidRPr="00B7238F">
        <w:tab/>
      </w:r>
      <w:r w:rsidRPr="00B7238F">
        <w:tab/>
      </w:r>
      <w:r w:rsidRPr="00B7238F">
        <w:tab/>
      </w:r>
    </w:p>
    <w:p w14:paraId="334C8EB9" w14:textId="77777777" w:rsidR="005F2B44" w:rsidRPr="00B7238F" w:rsidRDefault="005F2B44" w:rsidP="0005468C"/>
    <w:p w14:paraId="3B61BC1D" w14:textId="77777777" w:rsidR="005F2B44" w:rsidRPr="00B7238F" w:rsidRDefault="005F2B44" w:rsidP="0005468C"/>
    <w:p w14:paraId="074B01BA" w14:textId="77777777" w:rsidR="005F2B44" w:rsidRPr="00B7238F" w:rsidRDefault="005F2B44" w:rsidP="0005468C"/>
    <w:p w14:paraId="58474222" w14:textId="77777777" w:rsidR="005F2B44" w:rsidRPr="00B7238F" w:rsidRDefault="005F2B44" w:rsidP="0005468C"/>
    <w:p w14:paraId="44CD1E7D" w14:textId="77777777" w:rsidR="005F2B44" w:rsidRPr="00B7238F" w:rsidRDefault="005F2B44" w:rsidP="0005468C"/>
    <w:p w14:paraId="7CF40B81" w14:textId="77777777" w:rsidR="005F2B44" w:rsidRPr="00B7238F" w:rsidRDefault="005F2B44" w:rsidP="0005468C"/>
    <w:p w14:paraId="3D4AB764" w14:textId="77777777" w:rsidR="005F2B44" w:rsidRPr="00B7238F" w:rsidRDefault="005F2B44" w:rsidP="0005468C"/>
    <w:p w14:paraId="67BB9029" w14:textId="77777777" w:rsidR="005F2B44" w:rsidRPr="00B7238F" w:rsidRDefault="005F2B44" w:rsidP="0005468C"/>
    <w:p w14:paraId="236A9984" w14:textId="0088B806" w:rsidR="005F2B44" w:rsidRPr="00B7238F" w:rsidRDefault="005F2B44" w:rsidP="0005468C"/>
    <w:p w14:paraId="05A9C0E7" w14:textId="36882DFE" w:rsidR="0039203A" w:rsidRPr="00B7238F" w:rsidRDefault="0039203A" w:rsidP="0005468C"/>
    <w:p w14:paraId="735140EB" w14:textId="77777777" w:rsidR="005F2B44" w:rsidRPr="00B7238F" w:rsidRDefault="005F2B44" w:rsidP="0005468C"/>
    <w:p w14:paraId="7BFBF6BD" w14:textId="7609196F" w:rsidR="00050288" w:rsidRPr="00022480" w:rsidRDefault="00F07595" w:rsidP="00022480">
      <w:pPr>
        <w:ind w:left="4026" w:firstLine="0"/>
        <w:rPr>
          <w:sz w:val="20"/>
        </w:rPr>
      </w:pPr>
      <w:r w:rsidRPr="00022480">
        <w:rPr>
          <w:sz w:val="20"/>
        </w:rPr>
        <w:t>“</w:t>
      </w:r>
      <w:r w:rsidR="002F0AB7" w:rsidRPr="00022480">
        <w:rPr>
          <w:sz w:val="20"/>
        </w:rPr>
        <w:t>Aqueles que não podem mudar de idéia, não podem mudar nada</w:t>
      </w:r>
      <w:r w:rsidR="00050288" w:rsidRPr="00022480">
        <w:rPr>
          <w:sz w:val="20"/>
        </w:rPr>
        <w:t>”.</w:t>
      </w:r>
      <w:r w:rsidR="00166AFF" w:rsidRPr="00022480">
        <w:rPr>
          <w:sz w:val="20"/>
        </w:rPr>
        <w:t xml:space="preserve"> (</w:t>
      </w:r>
      <w:r w:rsidR="00050288" w:rsidRPr="00022480">
        <w:rPr>
          <w:sz w:val="20"/>
        </w:rPr>
        <w:t>George Bernard Shaw</w:t>
      </w:r>
      <w:r w:rsidR="00166AFF" w:rsidRPr="00022480">
        <w:rPr>
          <w:sz w:val="20"/>
        </w:rPr>
        <w:t>)</w:t>
      </w:r>
    </w:p>
    <w:p w14:paraId="546FE89C" w14:textId="77777777" w:rsidR="003B6046" w:rsidRPr="00B7238F" w:rsidRDefault="003B6046" w:rsidP="0005468C"/>
    <w:p w14:paraId="643B90AC" w14:textId="77777777" w:rsidR="003B6046" w:rsidRPr="00B7238F" w:rsidRDefault="003B6046" w:rsidP="0005468C"/>
    <w:p w14:paraId="5C29F4D1" w14:textId="77777777" w:rsidR="003B6046" w:rsidRPr="00B7238F" w:rsidRDefault="003B6046" w:rsidP="0005468C"/>
    <w:p w14:paraId="21733231" w14:textId="06816971" w:rsidR="005F2B44" w:rsidRDefault="005F2B44" w:rsidP="0005468C"/>
    <w:p w14:paraId="2DB6BA57" w14:textId="77777777" w:rsidR="00FD5F8D" w:rsidRPr="00B7238F" w:rsidRDefault="00FD5F8D" w:rsidP="0005468C"/>
    <w:p w14:paraId="0AADDBD4" w14:textId="77777777" w:rsidR="005F2B44" w:rsidRPr="00B7238F" w:rsidRDefault="005F2B44" w:rsidP="0005468C"/>
    <w:p w14:paraId="357847C2" w14:textId="77777777" w:rsidR="005F2B44" w:rsidRPr="00B7238F" w:rsidRDefault="005F2B44" w:rsidP="0005468C"/>
    <w:p w14:paraId="719E4276" w14:textId="77777777" w:rsidR="005F2B44" w:rsidRPr="00B7238F" w:rsidRDefault="005F2B44" w:rsidP="0005468C"/>
    <w:p w14:paraId="48CF9B77" w14:textId="77777777" w:rsidR="005F2B44" w:rsidRPr="00B7238F" w:rsidRDefault="005F2B44" w:rsidP="0005468C"/>
    <w:p w14:paraId="17C1742C" w14:textId="77777777" w:rsidR="005F2B44" w:rsidRPr="00B7238F" w:rsidRDefault="005F2B44" w:rsidP="0005468C"/>
    <w:p w14:paraId="748235E9" w14:textId="77777777" w:rsidR="005F2B44" w:rsidRPr="00B7238F" w:rsidRDefault="005F2B44" w:rsidP="0005468C"/>
    <w:p w14:paraId="0A31526E" w14:textId="77777777" w:rsidR="005F2B44" w:rsidRPr="00B7238F" w:rsidRDefault="005F2B44" w:rsidP="0005468C"/>
    <w:p w14:paraId="28BDE949" w14:textId="77777777" w:rsidR="005F2B44" w:rsidRPr="00B7238F" w:rsidRDefault="005F2B44" w:rsidP="0005468C"/>
    <w:p w14:paraId="23B8F9A9" w14:textId="77777777" w:rsidR="005F2B44" w:rsidRPr="00B7238F" w:rsidRDefault="005F2B44" w:rsidP="0005468C"/>
    <w:p w14:paraId="045C98DD" w14:textId="77777777" w:rsidR="005F2B44" w:rsidRPr="00B7238F" w:rsidRDefault="005F2B44" w:rsidP="0005468C"/>
    <w:p w14:paraId="776FFEA4" w14:textId="77777777" w:rsidR="005F2B44" w:rsidRPr="00B7238F" w:rsidRDefault="005F2B44" w:rsidP="0005468C"/>
    <w:p w14:paraId="008DFCA3" w14:textId="77777777" w:rsidR="005F2B44" w:rsidRPr="00B7238F" w:rsidRDefault="005F2B44" w:rsidP="0005468C"/>
    <w:p w14:paraId="3DBD5893" w14:textId="77777777" w:rsidR="005F2B44" w:rsidRPr="00B7238F" w:rsidRDefault="005F2B44" w:rsidP="0005468C"/>
    <w:p w14:paraId="0DFE05E4" w14:textId="77777777" w:rsidR="005F2B44" w:rsidRPr="00B7238F" w:rsidRDefault="005F2B44" w:rsidP="0005468C"/>
    <w:p w14:paraId="3238C95F" w14:textId="77777777" w:rsidR="005F2B44" w:rsidRPr="00B7238F" w:rsidRDefault="005F2B44" w:rsidP="0005468C"/>
    <w:p w14:paraId="3B61F157" w14:textId="0D36B055" w:rsidR="00022480" w:rsidRDefault="00022480" w:rsidP="0005468C"/>
    <w:p w14:paraId="06176262" w14:textId="4A25F13D" w:rsidR="00FA3150" w:rsidRDefault="00FA3150" w:rsidP="0005468C"/>
    <w:p w14:paraId="2CA48E5F" w14:textId="77777777" w:rsidR="00FA3150" w:rsidRDefault="00FA3150" w:rsidP="0005468C"/>
    <w:p w14:paraId="155C5742" w14:textId="66B7FC96" w:rsidR="00325617" w:rsidRDefault="00325617" w:rsidP="00BB1D23">
      <w:pPr>
        <w:spacing w:after="0" w:line="240" w:lineRule="auto"/>
        <w:ind w:firstLine="0"/>
        <w:jc w:val="center"/>
      </w:pPr>
      <w:r w:rsidRPr="00FA3150">
        <w:rPr>
          <w:b/>
        </w:rPr>
        <w:t>RESUMO</w:t>
      </w:r>
    </w:p>
    <w:p w14:paraId="0E4C9C85" w14:textId="77777777" w:rsidR="00C50C35" w:rsidRPr="00B7238F" w:rsidRDefault="00C50C35" w:rsidP="00A3606A">
      <w:pPr>
        <w:spacing w:after="0" w:line="360" w:lineRule="auto"/>
      </w:pPr>
    </w:p>
    <w:p w14:paraId="65A68FA4" w14:textId="2573299E" w:rsidR="00A3606A" w:rsidRPr="00A3606A" w:rsidRDefault="00A3606A" w:rsidP="00A3606A">
      <w:pPr>
        <w:suppressAutoHyphens/>
        <w:spacing w:after="0" w:line="240" w:lineRule="auto"/>
        <w:ind w:firstLine="0"/>
        <w:rPr>
          <w:rFonts w:eastAsia="Arial"/>
          <w:color w:val="000000" w:themeColor="text1"/>
          <w:lang w:eastAsia="pt-BR" w:bidi="pt-BR"/>
        </w:rPr>
      </w:pPr>
      <w:r w:rsidRPr="00A3606A">
        <w:rPr>
          <w:rFonts w:eastAsia="Arial"/>
          <w:lang w:eastAsia="pt-BR" w:bidi="pt-BR"/>
        </w:rPr>
        <w:t xml:space="preserve">FERREIRA, Evandro Zacca. </w:t>
      </w:r>
      <w:r w:rsidRPr="00A3606A">
        <w:rPr>
          <w:rFonts w:eastAsia="Arial"/>
          <w:b/>
          <w:bCs/>
          <w:lang w:eastAsia="pt-BR" w:bidi="pt-BR"/>
        </w:rPr>
        <w:t xml:space="preserve">Estratégias de manejo de resistência de </w:t>
      </w:r>
      <w:r w:rsidRPr="00A3606A">
        <w:rPr>
          <w:rFonts w:eastAsia="Arial"/>
          <w:b/>
          <w:bCs/>
          <w:i/>
          <w:lang w:eastAsia="pt-BR" w:bidi="pt-BR"/>
        </w:rPr>
        <w:t xml:space="preserve">Phakopsora pachyrhizi </w:t>
      </w:r>
      <w:r w:rsidRPr="00A3606A">
        <w:rPr>
          <w:rFonts w:eastAsia="Arial"/>
          <w:b/>
          <w:bCs/>
          <w:lang w:eastAsia="pt-BR" w:bidi="pt-BR"/>
        </w:rPr>
        <w:t>a fungicidas do grupo químico das carboxamidas</w:t>
      </w:r>
      <w:r w:rsidRPr="00A3606A">
        <w:rPr>
          <w:rFonts w:eastAsia="Arial"/>
          <w:b/>
          <w:bCs/>
          <w:color w:val="000000" w:themeColor="text1"/>
          <w:lang w:eastAsia="pt-BR" w:bidi="pt-BR"/>
        </w:rPr>
        <w:t>)</w:t>
      </w:r>
      <w:r w:rsidRPr="00A3606A">
        <w:rPr>
          <w:rFonts w:eastAsia="Arial"/>
          <w:color w:val="000000" w:themeColor="text1"/>
          <w:lang w:eastAsia="pt-BR" w:bidi="pt-BR"/>
        </w:rPr>
        <w:t>. 2019. 14</w:t>
      </w:r>
      <w:r w:rsidR="00CC288A">
        <w:rPr>
          <w:rFonts w:eastAsia="Arial"/>
          <w:color w:val="000000" w:themeColor="text1"/>
          <w:lang w:eastAsia="pt-BR" w:bidi="pt-BR"/>
        </w:rPr>
        <w:t>8</w:t>
      </w:r>
      <w:r w:rsidRPr="00A3606A">
        <w:rPr>
          <w:rFonts w:eastAsia="Arial"/>
          <w:color w:val="000000" w:themeColor="text1"/>
          <w:lang w:eastAsia="pt-BR" w:bidi="pt-BR"/>
        </w:rPr>
        <w:t xml:space="preserve">p. Tese (Doutorado em Produção Vegetal) - Universidade do Estado de Santa Catarina - UDESC, Centro de Ciências Agro-veterinárias - CAV. </w:t>
      </w:r>
      <w:r w:rsidRPr="00A3606A">
        <w:rPr>
          <w:rFonts w:eastAsia="Arial"/>
          <w:color w:val="000000" w:themeColor="text1"/>
          <w:lang w:val="en-US" w:eastAsia="pt-BR" w:bidi="pt-BR"/>
        </w:rPr>
        <w:t xml:space="preserve">Programa de Pós-graduação em Produção Vegetal. </w:t>
      </w:r>
      <w:r w:rsidRPr="00A3606A">
        <w:rPr>
          <w:rFonts w:eastAsia="Arial"/>
          <w:color w:val="000000" w:themeColor="text1"/>
          <w:lang w:eastAsia="pt-BR" w:bidi="pt-BR"/>
        </w:rPr>
        <w:t>Lages, 2019.</w:t>
      </w:r>
    </w:p>
    <w:p w14:paraId="6F64CDD0" w14:textId="77777777" w:rsidR="00A3606A" w:rsidRDefault="00A3606A" w:rsidP="00A3606A">
      <w:pPr>
        <w:spacing w:after="0" w:line="240" w:lineRule="auto"/>
        <w:ind w:firstLine="0"/>
      </w:pPr>
    </w:p>
    <w:p w14:paraId="44EA3F4C" w14:textId="0DC6EDF8" w:rsidR="00FA3150" w:rsidRDefault="009B3F5A" w:rsidP="00A3606A">
      <w:pPr>
        <w:spacing w:after="0" w:line="240" w:lineRule="auto"/>
        <w:ind w:firstLine="0"/>
      </w:pPr>
      <w:r w:rsidRPr="00B7238F">
        <w:t xml:space="preserve">A redução de sensibilidade de </w:t>
      </w:r>
      <w:r w:rsidR="00482039" w:rsidRPr="00B7238F">
        <w:t>populações</w:t>
      </w:r>
      <w:r w:rsidRPr="00B7238F">
        <w:t xml:space="preserve"> de </w:t>
      </w:r>
      <w:r w:rsidRPr="00B7238F">
        <w:rPr>
          <w:i/>
        </w:rPr>
        <w:t>P. pachyrhizi</w:t>
      </w:r>
      <w:r w:rsidR="00B27BDF" w:rsidRPr="00B7238F">
        <w:rPr>
          <w:i/>
        </w:rPr>
        <w:t xml:space="preserve"> </w:t>
      </w:r>
      <w:r w:rsidR="00B27BDF" w:rsidRPr="00B7238F">
        <w:t>a fungicidas,</w:t>
      </w:r>
      <w:r w:rsidRPr="00B7238F">
        <w:rPr>
          <w:i/>
        </w:rPr>
        <w:t xml:space="preserve"> </w:t>
      </w:r>
      <w:r w:rsidR="00B27BDF" w:rsidRPr="00B7238F">
        <w:t>e consequentemente redução de eficiência de controle da doença a nível de campo tem sido um grande desafio para produtores, agrônomos e pesquisadores.</w:t>
      </w:r>
      <w:r w:rsidR="00276291" w:rsidRPr="00B7238F">
        <w:t xml:space="preserve"> Não há informações sobre o efeito de diferentes estratégias de manejo de resistência de </w:t>
      </w:r>
      <w:r w:rsidR="00276291" w:rsidRPr="00B7238F">
        <w:rPr>
          <w:i/>
        </w:rPr>
        <w:t>P. pachyrhizi</w:t>
      </w:r>
      <w:r w:rsidR="00276291" w:rsidRPr="00B7238F">
        <w:t xml:space="preserve"> a fungicidas do grupo químico das carboxamidas.</w:t>
      </w:r>
      <w:r w:rsidR="00B27BDF" w:rsidRPr="00B7238F">
        <w:t xml:space="preserve"> </w:t>
      </w:r>
      <w:r w:rsidR="00482039" w:rsidRPr="00B7238F">
        <w:t>Os objetivos dest</w:t>
      </w:r>
      <w:r w:rsidR="00451B2C" w:rsidRPr="00B7238F">
        <w:t>a</w:t>
      </w:r>
      <w:r w:rsidR="00482039" w:rsidRPr="00B7238F">
        <w:t xml:space="preserve"> t</w:t>
      </w:r>
      <w:r w:rsidR="00451B2C" w:rsidRPr="00B7238F">
        <w:t>ese</w:t>
      </w:r>
      <w:r w:rsidR="00482039" w:rsidRPr="00B7238F">
        <w:t xml:space="preserve"> foram: 1) Quantificar a eficiência de carboxamidas aplicadas isoladas e/ou em mistura no controle de isolados de </w:t>
      </w:r>
      <w:r w:rsidR="00482039" w:rsidRPr="00B7238F">
        <w:rPr>
          <w:i/>
          <w:iCs/>
        </w:rPr>
        <w:t xml:space="preserve">P. pachyrhizi </w:t>
      </w:r>
      <w:r w:rsidR="00482039" w:rsidRPr="00B7238F">
        <w:rPr>
          <w:iCs/>
        </w:rPr>
        <w:t>com a mutação I86F</w:t>
      </w:r>
      <w:r w:rsidR="00482039" w:rsidRPr="00B7238F">
        <w:t>, em diferentes fases do processo de infecção do fungo; 2) Monitorar a ocorrência e distribuição da mutação I86F em populações do patógeno no estado de Santa Catarina; 3) quantificar o efeito de diferentes programas de aplicação de fungicidas na  evolução da mutação I86F; 4) verificar o efeito de da utilização de cultivares com resistência genética na frequência da mutação I86F.</w:t>
      </w:r>
      <w:r w:rsidR="00451B2C" w:rsidRPr="00B7238F">
        <w:t xml:space="preserve"> Foram conduzidos experimentos de avaliação de fungicidas em casa de vegetação, levantamento de populações de </w:t>
      </w:r>
      <w:r w:rsidR="00451B2C" w:rsidRPr="00B7238F">
        <w:rPr>
          <w:i/>
        </w:rPr>
        <w:t>P. pachyrhizi</w:t>
      </w:r>
      <w:r w:rsidR="00451B2C" w:rsidRPr="00B7238F">
        <w:t xml:space="preserve"> no estado de Santa Catarina e avaliação de estratégias de manejo de resistência em condições de campo. As avaliações de severidade da doença e quantificação da</w:t>
      </w:r>
      <w:r w:rsidR="00D3308D" w:rsidRPr="00B7238F">
        <w:t xml:space="preserve"> mutação I86F foram realizadas, nos laboratórios da UDESC/CAV e estação experimental da BASF em Santo Antônio de Posse. Os fungicidas do grupo químico das carboxamidas apresentaram redução de eficiência de controle da ferrugem asiática com o aumento do número de horas após a inoculação. A adição de fungicidas triazóis a carboxamidas aumenta o controle da doença em pulverizações realizadas após a infecção do patógeno. Aplicações de azoxistrobina + benzovindiflupir resultam em maiores frequências da mutação I86F em populações de </w:t>
      </w:r>
      <w:r w:rsidR="00D3308D" w:rsidRPr="00B7238F">
        <w:rPr>
          <w:i/>
        </w:rPr>
        <w:t xml:space="preserve">P. pachyrhizi, </w:t>
      </w:r>
      <w:r w:rsidR="00D3308D" w:rsidRPr="00B7238F">
        <w:t xml:space="preserve">quando comparadas a pulverizações de piraclostrobina + fluxapiroxada. </w:t>
      </w:r>
      <w:r w:rsidR="00D3308D" w:rsidRPr="00C5591D">
        <w:t xml:space="preserve">O uso de cultivares de soja com </w:t>
      </w:r>
      <w:r w:rsidR="00C5591D" w:rsidRPr="00C5591D">
        <w:t>a tecnologia Inox</w:t>
      </w:r>
      <w:r w:rsidR="00D3308D" w:rsidRPr="00B7238F">
        <w:t xml:space="preserve"> reduz a frequência da mutação I86F em populações do patógeno.</w:t>
      </w:r>
      <w:r w:rsidR="005B026E" w:rsidRPr="00B7238F">
        <w:t xml:space="preserve"> A mistura do fungicida fenpropimorfo a piraclostrobina + fluxapiroxada reduz a frequência da mutação I86F.</w:t>
      </w:r>
      <w:r w:rsidR="00D3308D" w:rsidRPr="00B7238F">
        <w:t xml:space="preserve"> A</w:t>
      </w:r>
      <w:r w:rsidR="005B026E" w:rsidRPr="00B7238F">
        <w:t xml:space="preserve"> </w:t>
      </w:r>
      <w:r w:rsidR="00D3308D" w:rsidRPr="00B7238F">
        <w:t xml:space="preserve">utilização de cultivares com genes de resistência a </w:t>
      </w:r>
      <w:r w:rsidR="00D3308D" w:rsidRPr="00B7238F">
        <w:rPr>
          <w:i/>
        </w:rPr>
        <w:t>P. pachyrhizi</w:t>
      </w:r>
      <w:r w:rsidR="005B026E" w:rsidRPr="00B7238F">
        <w:t xml:space="preserve"> e mistura de morfolina a fungicidas do grupo químico das carboxamidas são estratégias de manejo que permitem reduzir a frequência da mutação I86F.</w:t>
      </w:r>
    </w:p>
    <w:p w14:paraId="19462F01" w14:textId="77777777" w:rsidR="00FA3150" w:rsidRDefault="00FA3150" w:rsidP="00FA3150">
      <w:pPr>
        <w:spacing w:line="240" w:lineRule="auto"/>
        <w:ind w:firstLine="0"/>
      </w:pPr>
    </w:p>
    <w:p w14:paraId="6C9D45E0" w14:textId="698B1F8C" w:rsidR="00D33599" w:rsidRPr="00B7238F" w:rsidRDefault="00444F53" w:rsidP="00FA3150">
      <w:pPr>
        <w:spacing w:line="240" w:lineRule="auto"/>
        <w:ind w:firstLine="0"/>
        <w:rPr>
          <w:lang w:val="en-US"/>
        </w:rPr>
      </w:pPr>
      <w:r w:rsidRPr="00B7238F">
        <w:rPr>
          <w:b/>
        </w:rPr>
        <w:t xml:space="preserve">Palavras </w:t>
      </w:r>
      <w:r w:rsidR="00483925" w:rsidRPr="00B7238F">
        <w:rPr>
          <w:b/>
        </w:rPr>
        <w:t xml:space="preserve">chave: </w:t>
      </w:r>
      <w:r w:rsidR="008C490E" w:rsidRPr="00B7238F">
        <w:t>Ferrugem asiática</w:t>
      </w:r>
      <w:r w:rsidR="00C54672" w:rsidRPr="00B7238F">
        <w:t>.</w:t>
      </w:r>
      <w:r w:rsidR="00483925" w:rsidRPr="00B7238F">
        <w:t xml:space="preserve"> </w:t>
      </w:r>
      <w:r w:rsidR="008C490E" w:rsidRPr="00B7238F">
        <w:t>Controle químico. Inibidores da succinato desidrogenase</w:t>
      </w:r>
      <w:r w:rsidR="00C54672" w:rsidRPr="00B7238F">
        <w:t xml:space="preserve">. </w:t>
      </w:r>
      <w:r w:rsidR="008C490E" w:rsidRPr="00B7238F">
        <w:t>Redução de sensibilidade</w:t>
      </w:r>
      <w:r w:rsidR="00C54672" w:rsidRPr="00B7238F">
        <w:t>.</w:t>
      </w:r>
      <w:r w:rsidR="00483925" w:rsidRPr="00B7238F">
        <w:t xml:space="preserve"> </w:t>
      </w:r>
      <w:r w:rsidR="008C490E" w:rsidRPr="00B7238F">
        <w:rPr>
          <w:lang w:val="en-US"/>
        </w:rPr>
        <w:t>Mutações</w:t>
      </w:r>
      <w:r w:rsidR="00F55466" w:rsidRPr="00B7238F">
        <w:rPr>
          <w:lang w:val="en-US"/>
        </w:rPr>
        <w:t>.</w:t>
      </w:r>
    </w:p>
    <w:p w14:paraId="65EA33C9" w14:textId="353820AA" w:rsidR="001C3AF6" w:rsidRDefault="00D33599" w:rsidP="00FA3150">
      <w:pPr>
        <w:spacing w:line="240" w:lineRule="auto"/>
        <w:rPr>
          <w:lang w:val="en-US"/>
        </w:rPr>
      </w:pPr>
      <w:r w:rsidRPr="00B7238F">
        <w:rPr>
          <w:lang w:val="en-US"/>
        </w:rPr>
        <w:br w:type="page"/>
      </w:r>
    </w:p>
    <w:p w14:paraId="4549D7A6" w14:textId="3CE2D67E" w:rsidR="002733FE" w:rsidRDefault="002733FE" w:rsidP="0005468C">
      <w:pPr>
        <w:rPr>
          <w:lang w:val="en-US"/>
        </w:rPr>
      </w:pPr>
    </w:p>
    <w:p w14:paraId="654B7BC9" w14:textId="1BD8A9F6" w:rsidR="002733FE" w:rsidRDefault="002733FE" w:rsidP="0005468C">
      <w:pPr>
        <w:rPr>
          <w:lang w:val="en-US"/>
        </w:rPr>
      </w:pPr>
    </w:p>
    <w:p w14:paraId="61FCF0F9" w14:textId="3FB5598C" w:rsidR="002733FE" w:rsidRDefault="002733FE" w:rsidP="0005468C">
      <w:pPr>
        <w:rPr>
          <w:lang w:val="en-US"/>
        </w:rPr>
      </w:pPr>
    </w:p>
    <w:p w14:paraId="2B392893" w14:textId="4AD66BA4" w:rsidR="002733FE" w:rsidRDefault="002733FE" w:rsidP="0005468C">
      <w:pPr>
        <w:rPr>
          <w:lang w:val="en-US"/>
        </w:rPr>
      </w:pPr>
    </w:p>
    <w:p w14:paraId="1EEC3D0F" w14:textId="67EF310D" w:rsidR="002733FE" w:rsidRDefault="002733FE" w:rsidP="0005468C">
      <w:pPr>
        <w:rPr>
          <w:lang w:val="en-US"/>
        </w:rPr>
      </w:pPr>
    </w:p>
    <w:p w14:paraId="5E39C04C" w14:textId="6893181F" w:rsidR="002733FE" w:rsidRDefault="002733FE" w:rsidP="0005468C">
      <w:pPr>
        <w:rPr>
          <w:lang w:val="en-US"/>
        </w:rPr>
      </w:pPr>
    </w:p>
    <w:p w14:paraId="6E114868" w14:textId="2813B43F" w:rsidR="002733FE" w:rsidRDefault="002733FE" w:rsidP="0005468C">
      <w:pPr>
        <w:rPr>
          <w:lang w:val="en-US"/>
        </w:rPr>
      </w:pPr>
    </w:p>
    <w:p w14:paraId="16F68F1C" w14:textId="0BDCDDD2" w:rsidR="002733FE" w:rsidRDefault="002733FE" w:rsidP="0005468C">
      <w:pPr>
        <w:rPr>
          <w:lang w:val="en-US"/>
        </w:rPr>
      </w:pPr>
    </w:p>
    <w:p w14:paraId="3336810E" w14:textId="4D01BFAA" w:rsidR="002733FE" w:rsidRDefault="002733FE" w:rsidP="0005468C">
      <w:pPr>
        <w:rPr>
          <w:lang w:val="en-US"/>
        </w:rPr>
      </w:pPr>
    </w:p>
    <w:p w14:paraId="5722C4D5" w14:textId="6BE604AE" w:rsidR="002733FE" w:rsidRDefault="002733FE" w:rsidP="0005468C">
      <w:pPr>
        <w:rPr>
          <w:lang w:val="en-US"/>
        </w:rPr>
      </w:pPr>
    </w:p>
    <w:p w14:paraId="724E773A" w14:textId="4740DB30" w:rsidR="002733FE" w:rsidRDefault="002733FE" w:rsidP="0005468C">
      <w:pPr>
        <w:rPr>
          <w:lang w:val="en-US"/>
        </w:rPr>
      </w:pPr>
    </w:p>
    <w:p w14:paraId="1E25A8AA" w14:textId="25C44EA3" w:rsidR="002733FE" w:rsidRDefault="002733FE" w:rsidP="0005468C">
      <w:pPr>
        <w:rPr>
          <w:lang w:val="en-US"/>
        </w:rPr>
      </w:pPr>
    </w:p>
    <w:p w14:paraId="770984A0" w14:textId="4331DDEB" w:rsidR="002733FE" w:rsidRDefault="002733FE" w:rsidP="0005468C">
      <w:pPr>
        <w:rPr>
          <w:lang w:val="en-US"/>
        </w:rPr>
      </w:pPr>
    </w:p>
    <w:p w14:paraId="6B1B5A82" w14:textId="136C1AC6" w:rsidR="002733FE" w:rsidRDefault="002733FE" w:rsidP="0005468C">
      <w:pPr>
        <w:rPr>
          <w:lang w:val="en-US"/>
        </w:rPr>
      </w:pPr>
    </w:p>
    <w:p w14:paraId="354BE6FC" w14:textId="3BE92F35" w:rsidR="002733FE" w:rsidRDefault="002733FE" w:rsidP="0005468C">
      <w:pPr>
        <w:rPr>
          <w:lang w:val="en-US"/>
        </w:rPr>
      </w:pPr>
    </w:p>
    <w:p w14:paraId="7BC4E00A" w14:textId="4AD3CD07" w:rsidR="002733FE" w:rsidRDefault="002733FE" w:rsidP="0005468C">
      <w:pPr>
        <w:rPr>
          <w:lang w:val="en-US"/>
        </w:rPr>
      </w:pPr>
    </w:p>
    <w:p w14:paraId="3A6D66E0" w14:textId="12107758" w:rsidR="002733FE" w:rsidRDefault="002733FE" w:rsidP="0005468C">
      <w:pPr>
        <w:rPr>
          <w:lang w:val="en-US"/>
        </w:rPr>
      </w:pPr>
    </w:p>
    <w:p w14:paraId="1CBF27E3" w14:textId="6C69FCCA" w:rsidR="002733FE" w:rsidRDefault="002733FE" w:rsidP="0005468C">
      <w:pPr>
        <w:rPr>
          <w:lang w:val="en-US"/>
        </w:rPr>
      </w:pPr>
    </w:p>
    <w:p w14:paraId="3913BC9B" w14:textId="45375D73" w:rsidR="002733FE" w:rsidRDefault="002733FE" w:rsidP="0005468C">
      <w:pPr>
        <w:rPr>
          <w:lang w:val="en-US"/>
        </w:rPr>
      </w:pPr>
    </w:p>
    <w:p w14:paraId="7B38E2FB" w14:textId="77777777" w:rsidR="00FA3150" w:rsidRDefault="00FA3150" w:rsidP="0005468C">
      <w:pPr>
        <w:rPr>
          <w:lang w:val="en-US"/>
        </w:rPr>
      </w:pPr>
    </w:p>
    <w:p w14:paraId="4B562C33" w14:textId="7A71CFAC" w:rsidR="00307025" w:rsidRPr="00B7238F" w:rsidRDefault="00307025" w:rsidP="001F1971">
      <w:pPr>
        <w:spacing w:after="0" w:line="240" w:lineRule="auto"/>
        <w:ind w:firstLine="0"/>
        <w:jc w:val="center"/>
        <w:rPr>
          <w:lang w:val="en-US"/>
        </w:rPr>
      </w:pPr>
      <w:r w:rsidRPr="00FA3150">
        <w:rPr>
          <w:b/>
          <w:lang w:val="en-US"/>
        </w:rPr>
        <w:t>ABSTRACT</w:t>
      </w:r>
    </w:p>
    <w:p w14:paraId="43EA71F9" w14:textId="2F55FA33" w:rsidR="00307025" w:rsidRDefault="00307025" w:rsidP="00A3606A">
      <w:pPr>
        <w:spacing w:after="0" w:line="360" w:lineRule="auto"/>
        <w:rPr>
          <w:lang w:val="en-US"/>
        </w:rPr>
      </w:pPr>
    </w:p>
    <w:p w14:paraId="3FD47CFA" w14:textId="4ABA11C5" w:rsidR="00A3606A" w:rsidRDefault="00A3606A" w:rsidP="00A3606A">
      <w:pPr>
        <w:suppressAutoHyphens/>
        <w:spacing w:after="0" w:line="240" w:lineRule="auto"/>
        <w:ind w:firstLine="0"/>
        <w:rPr>
          <w:rFonts w:eastAsia="Arial"/>
          <w:color w:val="000000" w:themeColor="text1"/>
          <w:lang w:eastAsia="pt-BR" w:bidi="pt-BR"/>
        </w:rPr>
      </w:pPr>
      <w:r w:rsidRPr="00A3606A">
        <w:rPr>
          <w:rFonts w:eastAsia="Arial"/>
          <w:lang w:eastAsia="pt-BR" w:bidi="pt-BR"/>
        </w:rPr>
        <w:t xml:space="preserve">FERREIRA, Evandro Zacca. </w:t>
      </w:r>
      <w:r w:rsidRPr="00A3606A">
        <w:rPr>
          <w:rFonts w:eastAsia="Arial"/>
          <w:b/>
          <w:bCs/>
          <w:lang w:eastAsia="pt-BR" w:bidi="pt-BR"/>
        </w:rPr>
        <w:t xml:space="preserve">Resistance management strategies of </w:t>
      </w:r>
      <w:r w:rsidRPr="00A3606A">
        <w:rPr>
          <w:rFonts w:eastAsia="Arial"/>
          <w:b/>
          <w:bCs/>
          <w:i/>
          <w:lang w:eastAsia="pt-BR" w:bidi="pt-BR"/>
        </w:rPr>
        <w:t xml:space="preserve">Phakopsora pachyrhizi </w:t>
      </w:r>
      <w:r w:rsidRPr="00A3606A">
        <w:rPr>
          <w:rFonts w:eastAsia="Arial"/>
          <w:b/>
          <w:bCs/>
          <w:lang w:eastAsia="pt-BR" w:bidi="pt-BR"/>
        </w:rPr>
        <w:t>the carboxamide chemical group fungicides</w:t>
      </w:r>
      <w:r w:rsidRPr="00A3606A">
        <w:rPr>
          <w:rFonts w:eastAsia="Arial"/>
          <w:b/>
          <w:bCs/>
          <w:color w:val="000000" w:themeColor="text1"/>
          <w:lang w:eastAsia="pt-BR" w:bidi="pt-BR"/>
        </w:rPr>
        <w:t>)</w:t>
      </w:r>
      <w:r w:rsidRPr="00A3606A">
        <w:rPr>
          <w:rFonts w:eastAsia="Arial"/>
          <w:color w:val="000000" w:themeColor="text1"/>
          <w:lang w:eastAsia="pt-BR" w:bidi="pt-BR"/>
        </w:rPr>
        <w:t>. 2019. 1</w:t>
      </w:r>
      <w:r w:rsidR="00CC288A">
        <w:rPr>
          <w:rFonts w:eastAsia="Arial"/>
          <w:color w:val="000000" w:themeColor="text1"/>
          <w:lang w:eastAsia="pt-BR" w:bidi="pt-BR"/>
        </w:rPr>
        <w:t>48</w:t>
      </w:r>
      <w:r w:rsidRPr="00A3606A">
        <w:rPr>
          <w:rFonts w:eastAsia="Arial"/>
          <w:color w:val="000000" w:themeColor="text1"/>
          <w:lang w:eastAsia="pt-BR" w:bidi="pt-BR"/>
        </w:rPr>
        <w:t>p. Tes</w:t>
      </w:r>
      <w:r>
        <w:rPr>
          <w:rFonts w:eastAsia="Arial"/>
          <w:color w:val="000000" w:themeColor="text1"/>
          <w:lang w:eastAsia="pt-BR" w:bidi="pt-BR"/>
        </w:rPr>
        <w:t>his</w:t>
      </w:r>
      <w:r w:rsidRPr="00A3606A">
        <w:rPr>
          <w:rFonts w:eastAsia="Arial"/>
          <w:color w:val="000000" w:themeColor="text1"/>
          <w:lang w:eastAsia="pt-BR" w:bidi="pt-BR"/>
        </w:rPr>
        <w:t xml:space="preserve"> (</w:t>
      </w:r>
      <w:r>
        <w:rPr>
          <w:rFonts w:eastAsia="Arial"/>
          <w:color w:val="000000" w:themeColor="text1"/>
          <w:lang w:eastAsia="pt-BR" w:bidi="pt-BR"/>
        </w:rPr>
        <w:t>Doctorate</w:t>
      </w:r>
      <w:r w:rsidRPr="00A3606A">
        <w:rPr>
          <w:rFonts w:eastAsia="Arial"/>
          <w:color w:val="000000" w:themeColor="text1"/>
          <w:lang w:eastAsia="pt-BR" w:bidi="pt-BR"/>
        </w:rPr>
        <w:t xml:space="preserve">’s Degree in Plant Science) - Santa Catarina State University - UDESC, Center of Agroveterinarian Science - CAV. Postgraduete Program in Plant </w:t>
      </w:r>
      <w:r>
        <w:rPr>
          <w:rFonts w:eastAsia="Arial"/>
          <w:color w:val="000000" w:themeColor="text1"/>
          <w:lang w:eastAsia="pt-BR" w:bidi="pt-BR"/>
        </w:rPr>
        <w:t>Production</w:t>
      </w:r>
      <w:r w:rsidRPr="00A3606A">
        <w:rPr>
          <w:rFonts w:eastAsia="Arial"/>
          <w:color w:val="000000" w:themeColor="text1"/>
          <w:lang w:eastAsia="pt-BR" w:bidi="pt-BR"/>
        </w:rPr>
        <w:t>, Lages, 2019.</w:t>
      </w:r>
    </w:p>
    <w:p w14:paraId="735B8BD6" w14:textId="77777777" w:rsidR="00A3606A" w:rsidRDefault="00A3606A" w:rsidP="00A3606A">
      <w:pPr>
        <w:suppressAutoHyphens/>
        <w:spacing w:after="0" w:line="240" w:lineRule="auto"/>
        <w:ind w:firstLine="0"/>
        <w:rPr>
          <w:rFonts w:eastAsia="Arial"/>
          <w:color w:val="000000" w:themeColor="text1"/>
          <w:lang w:eastAsia="pt-BR" w:bidi="pt-BR"/>
        </w:rPr>
      </w:pPr>
    </w:p>
    <w:p w14:paraId="4113DE81" w14:textId="1B3B83B3" w:rsidR="00B7055C" w:rsidRPr="00B7238F" w:rsidRDefault="00B7055C" w:rsidP="00A3606A">
      <w:pPr>
        <w:suppressAutoHyphens/>
        <w:spacing w:after="0" w:line="240" w:lineRule="auto"/>
        <w:ind w:firstLine="0"/>
        <w:rPr>
          <w:lang w:val="en-US"/>
        </w:rPr>
      </w:pPr>
      <w:r w:rsidRPr="00B7238F">
        <w:rPr>
          <w:lang w:val="en-US"/>
        </w:rPr>
        <w:t xml:space="preserve">Reducing the sensitivity of </w:t>
      </w:r>
      <w:r w:rsidRPr="00B7238F">
        <w:rPr>
          <w:i/>
          <w:lang w:val="en-US"/>
        </w:rPr>
        <w:t xml:space="preserve">P. pachyrhizi </w:t>
      </w:r>
      <w:r w:rsidRPr="00B7238F">
        <w:rPr>
          <w:lang w:val="en-US"/>
        </w:rPr>
        <w:t xml:space="preserve">populations to fungicides, and consequently reducing disease control efficiency at field level, has been a major challenge for producers, agronomist engineers and researchers. There is no information on the effect of different resistance management strategies of </w:t>
      </w:r>
      <w:r w:rsidRPr="00B7238F">
        <w:rPr>
          <w:i/>
          <w:lang w:val="en-US"/>
        </w:rPr>
        <w:t>P. pachyrhizi</w:t>
      </w:r>
      <w:r w:rsidRPr="00B7238F">
        <w:rPr>
          <w:lang w:val="en-US"/>
        </w:rPr>
        <w:t xml:space="preserve"> on carboxamide chemical fungicides. This thesis aimed: 1) to quantify the efficiency of applied and/or mixed applied carboxamides in the control of </w:t>
      </w:r>
      <w:r w:rsidRPr="00B7238F">
        <w:rPr>
          <w:i/>
          <w:lang w:val="en-US"/>
        </w:rPr>
        <w:t>P. pachyrhizi</w:t>
      </w:r>
      <w:r w:rsidRPr="00B7238F">
        <w:rPr>
          <w:lang w:val="en-US"/>
        </w:rPr>
        <w:t xml:space="preserve"> isolates with the I86F mutation at different stages of the fungal infection process; 2) to monitor occurrence and distribution of the I86F mutation in pathogen populations in Santa Catarina state, Brazil; 3) to quantify the effect of different fungicide application programs on the evolution of the I86F mutation; and 4) to verify the effect of using genetically resistant cultivars on the frequency of the I86F mutation. Experiments were carried out to evaluate fungicides in greenhouse, survey of </w:t>
      </w:r>
      <w:r w:rsidRPr="00B7238F">
        <w:rPr>
          <w:i/>
          <w:lang w:val="en-US"/>
        </w:rPr>
        <w:t xml:space="preserve">P. pachyrhizi </w:t>
      </w:r>
      <w:r w:rsidRPr="00B7238F">
        <w:rPr>
          <w:lang w:val="en-US"/>
        </w:rPr>
        <w:t xml:space="preserve">populations in Santa Catarina state and evaluation of resistance management strategies under field conditions. Disease severity assessments and I86F mutation quantification were performed at the UDESC/CAV laboratories and BASF experimental station in Santo Antônio de Posse, São Paulo state, Brazil. The fungicides of the carboxamide chemical group showed reduction of control efficiency of Soybean Asian Rust by increasing the number of hours after inoculation. The addition of triazole fungicides to carboxamides increases disease control in sprays after pathogen infection. Applications of azoxystrobin + benzovindiflupyr result in higher frequencies of I86F mutation in </w:t>
      </w:r>
      <w:r w:rsidRPr="00B7238F">
        <w:rPr>
          <w:i/>
          <w:lang w:val="en-US"/>
        </w:rPr>
        <w:t>P. pachyrhizi</w:t>
      </w:r>
      <w:r w:rsidRPr="00B7238F">
        <w:rPr>
          <w:lang w:val="en-US"/>
        </w:rPr>
        <w:t xml:space="preserve"> populations when compared to pyraclostrobin + fluxapyroxad sprays. The use of </w:t>
      </w:r>
      <w:r w:rsidR="00C5591D">
        <w:rPr>
          <w:lang w:val="en-US"/>
        </w:rPr>
        <w:t xml:space="preserve">technology Inox </w:t>
      </w:r>
      <w:r w:rsidRPr="00B7238F">
        <w:rPr>
          <w:lang w:val="en-US"/>
        </w:rPr>
        <w:t xml:space="preserve">soybean cultivars reduces the frequency of the I86F mutation in pathogen populations. Mixing the fenpropimorph fungicide with pyraclostrobin + </w:t>
      </w:r>
      <w:hyperlink r:id="rId9" w:history="1">
        <w:r w:rsidRPr="00B7238F">
          <w:rPr>
            <w:rStyle w:val="Hyperlink"/>
            <w:color w:val="auto"/>
            <w:u w:val="none"/>
            <w:lang w:val="en-US"/>
          </w:rPr>
          <w:t>fluxapyroxad</w:t>
        </w:r>
      </w:hyperlink>
      <w:r w:rsidRPr="00B7238F">
        <w:rPr>
          <w:lang w:val="en-US"/>
        </w:rPr>
        <w:t xml:space="preserve"> reduces the frequency of the I86F mutation. The use of cultivars with resistance genes to </w:t>
      </w:r>
      <w:r w:rsidRPr="00B7238F">
        <w:rPr>
          <w:i/>
          <w:lang w:val="en-US"/>
        </w:rPr>
        <w:t>P. pachyrhizi</w:t>
      </w:r>
      <w:r w:rsidRPr="00B7238F">
        <w:rPr>
          <w:lang w:val="en-US"/>
        </w:rPr>
        <w:t xml:space="preserve"> and morpholine mixture to fungicides of the carboxamide chemical group are very important and significative management strategies to reduce the frequency of I86F mutation.</w:t>
      </w:r>
    </w:p>
    <w:p w14:paraId="4179C35D" w14:textId="77777777" w:rsidR="00B7055C" w:rsidRPr="00B7238F" w:rsidRDefault="00B7055C" w:rsidP="00FA3150">
      <w:pPr>
        <w:spacing w:line="240" w:lineRule="auto"/>
        <w:rPr>
          <w:lang w:val="en-US"/>
        </w:rPr>
      </w:pPr>
    </w:p>
    <w:p w14:paraId="324BD84D" w14:textId="1CA080BD" w:rsidR="00B7055C" w:rsidRPr="00B7238F" w:rsidRDefault="00B7055C" w:rsidP="00FA3150">
      <w:pPr>
        <w:spacing w:line="240" w:lineRule="auto"/>
        <w:ind w:firstLine="0"/>
      </w:pPr>
      <w:r w:rsidRPr="00007F52">
        <w:rPr>
          <w:b/>
          <w:lang w:val="en-US"/>
        </w:rPr>
        <w:t>Keywords</w:t>
      </w:r>
      <w:r w:rsidRPr="00B7238F">
        <w:rPr>
          <w:lang w:val="en-US"/>
        </w:rPr>
        <w:t>: Asian</w:t>
      </w:r>
      <w:r w:rsidR="00D74DA1">
        <w:rPr>
          <w:lang w:val="en-US"/>
        </w:rPr>
        <w:t xml:space="preserve"> soybean</w:t>
      </w:r>
      <w:r w:rsidRPr="00B7238F">
        <w:rPr>
          <w:lang w:val="en-US"/>
        </w:rPr>
        <w:t xml:space="preserve"> rust. </w:t>
      </w:r>
      <w:r w:rsidR="00B67B1B">
        <w:rPr>
          <w:lang w:val="en-US"/>
        </w:rPr>
        <w:t>C</w:t>
      </w:r>
      <w:r w:rsidRPr="00B7238F">
        <w:rPr>
          <w:lang w:val="en-US"/>
        </w:rPr>
        <w:t xml:space="preserve">hemical control. Succinate dehydrogenase inhibitors. Sensitivity reduction. </w:t>
      </w:r>
      <w:r w:rsidRPr="00B7238F">
        <w:t>Mutations.</w:t>
      </w:r>
    </w:p>
    <w:p w14:paraId="72E74A20" w14:textId="77777777" w:rsidR="00307025" w:rsidRPr="00C659D5" w:rsidRDefault="00307025" w:rsidP="0005468C"/>
    <w:p w14:paraId="2E1391BB" w14:textId="77777777" w:rsidR="009316C1" w:rsidRPr="00C659D5" w:rsidRDefault="009316C1" w:rsidP="0005468C"/>
    <w:p w14:paraId="3FCA802F" w14:textId="77777777" w:rsidR="009316C1" w:rsidRPr="00C659D5" w:rsidRDefault="009316C1" w:rsidP="0005468C"/>
    <w:p w14:paraId="56A46F54" w14:textId="77777777" w:rsidR="009316C1" w:rsidRPr="00C659D5" w:rsidRDefault="009316C1" w:rsidP="0005468C"/>
    <w:p w14:paraId="7D4FC4B3" w14:textId="77777777" w:rsidR="009316C1" w:rsidRPr="00C659D5" w:rsidRDefault="009316C1" w:rsidP="0005468C"/>
    <w:p w14:paraId="783A0966" w14:textId="77777777" w:rsidR="009316C1" w:rsidRPr="00C659D5" w:rsidRDefault="009316C1" w:rsidP="0005468C"/>
    <w:p w14:paraId="6587905A" w14:textId="77777777" w:rsidR="009316C1" w:rsidRPr="00C659D5" w:rsidRDefault="009316C1" w:rsidP="0005468C"/>
    <w:p w14:paraId="1CB9C81B" w14:textId="57C67BD6" w:rsidR="001C3AF6" w:rsidRPr="00C659D5" w:rsidRDefault="001C3AF6" w:rsidP="0005468C"/>
    <w:p w14:paraId="26127BE9" w14:textId="77777777" w:rsidR="00D33599" w:rsidRPr="00C659D5" w:rsidRDefault="00D33599" w:rsidP="0005468C">
      <w:r w:rsidRPr="00C659D5">
        <w:br w:type="page"/>
      </w:r>
    </w:p>
    <w:p w14:paraId="107DBB46" w14:textId="145C74EE" w:rsidR="009316C1" w:rsidRDefault="009316C1" w:rsidP="001F1971">
      <w:pPr>
        <w:spacing w:after="0"/>
        <w:jc w:val="center"/>
        <w:rPr>
          <w:b/>
        </w:rPr>
      </w:pPr>
      <w:r w:rsidRPr="00475AAF">
        <w:rPr>
          <w:b/>
        </w:rPr>
        <w:t>LISTA DE FIGURAS</w:t>
      </w:r>
    </w:p>
    <w:p w14:paraId="39FE84DC" w14:textId="3360E40C" w:rsidR="001F1971" w:rsidRDefault="001F1971" w:rsidP="001F1971">
      <w:pPr>
        <w:spacing w:after="0" w:line="360" w:lineRule="auto"/>
        <w:jc w:val="center"/>
        <w:rPr>
          <w:b/>
        </w:rPr>
      </w:pPr>
    </w:p>
    <w:p w14:paraId="2F7227B9" w14:textId="453AD8F5" w:rsidR="00B750BE" w:rsidRDefault="00475AAF" w:rsidP="001F1971">
      <w:pPr>
        <w:pStyle w:val="ndicedeilustraes"/>
        <w:tabs>
          <w:tab w:val="right" w:leader="dot" w:pos="9061"/>
        </w:tabs>
        <w:spacing w:line="240" w:lineRule="auto"/>
        <w:ind w:left="1560" w:hanging="1560"/>
        <w:rPr>
          <w:noProof/>
        </w:rPr>
      </w:pPr>
      <w:r>
        <w:rPr>
          <w:b/>
        </w:rPr>
        <w:fldChar w:fldCharType="begin"/>
      </w:r>
      <w:r>
        <w:rPr>
          <w:b/>
        </w:rPr>
        <w:instrText xml:space="preserve"> TOC \h \z \c "Figura" </w:instrText>
      </w:r>
      <w:r>
        <w:rPr>
          <w:b/>
        </w:rPr>
        <w:fldChar w:fldCharType="separate"/>
      </w:r>
      <w:hyperlink w:anchor="_Toc16173058" w:history="1">
        <w:r w:rsidR="00B750BE" w:rsidRPr="00221A67">
          <w:rPr>
            <w:rStyle w:val="Hyperlink"/>
            <w:noProof/>
          </w:rPr>
          <w:t>Figura 1</w:t>
        </w:r>
        <w:r w:rsidR="001F1971">
          <w:rPr>
            <w:rStyle w:val="Hyperlink"/>
            <w:noProof/>
          </w:rPr>
          <w:t xml:space="preserve"> -</w:t>
        </w:r>
        <w:r w:rsidR="0024040C">
          <w:rPr>
            <w:noProof/>
          </w:rPr>
          <w:tab/>
        </w:r>
        <w:r w:rsidR="00B750BE" w:rsidRPr="00221A67">
          <w:rPr>
            <w:rStyle w:val="Hyperlink"/>
            <w:noProof/>
          </w:rPr>
          <w:t>Mapa do estado de Santa Catarina identificando os locais de coleta de populações de</w:t>
        </w:r>
        <w:r w:rsidR="001F1971">
          <w:rPr>
            <w:rStyle w:val="Hyperlink"/>
            <w:noProof/>
          </w:rPr>
          <w:t xml:space="preserve"> </w:t>
        </w:r>
        <w:r w:rsidR="00B750BE" w:rsidRPr="001C6ED3">
          <w:rPr>
            <w:rStyle w:val="Hyperlink"/>
            <w:i/>
            <w:noProof/>
          </w:rPr>
          <w:t>Phakopsora pachyrhizi</w:t>
        </w:r>
        <w:r w:rsidR="00B750BE" w:rsidRPr="00221A67">
          <w:rPr>
            <w:rStyle w:val="Hyperlink"/>
            <w:noProof/>
          </w:rPr>
          <w:t>. Lages, 2018</w:t>
        </w:r>
        <w:r w:rsidR="001F1971">
          <w:rPr>
            <w:rStyle w:val="Hyperlink"/>
            <w:noProof/>
          </w:rPr>
          <w:t>.......</w:t>
        </w:r>
        <w:r w:rsidR="00B750BE" w:rsidRPr="00221A67">
          <w:rPr>
            <w:rStyle w:val="Hyperlink"/>
            <w:noProof/>
          </w:rPr>
          <w:t>.</w:t>
        </w:r>
        <w:r w:rsidR="00B750BE">
          <w:rPr>
            <w:noProof/>
            <w:webHidden/>
          </w:rPr>
          <w:tab/>
        </w:r>
        <w:r w:rsidR="00B750BE">
          <w:rPr>
            <w:noProof/>
            <w:webHidden/>
          </w:rPr>
          <w:fldChar w:fldCharType="begin"/>
        </w:r>
        <w:r w:rsidR="00B750BE">
          <w:rPr>
            <w:noProof/>
            <w:webHidden/>
          </w:rPr>
          <w:instrText xml:space="preserve"> PAGEREF _Toc16173058 \h </w:instrText>
        </w:r>
        <w:r w:rsidR="00B750BE">
          <w:rPr>
            <w:noProof/>
            <w:webHidden/>
          </w:rPr>
        </w:r>
        <w:r w:rsidR="00B750BE">
          <w:rPr>
            <w:noProof/>
            <w:webHidden/>
          </w:rPr>
          <w:fldChar w:fldCharType="separate"/>
        </w:r>
        <w:r w:rsidR="00B828CE">
          <w:rPr>
            <w:noProof/>
            <w:webHidden/>
          </w:rPr>
          <w:t>91</w:t>
        </w:r>
        <w:r w:rsidR="00B750BE">
          <w:rPr>
            <w:noProof/>
            <w:webHidden/>
          </w:rPr>
          <w:fldChar w:fldCharType="end"/>
        </w:r>
      </w:hyperlink>
    </w:p>
    <w:p w14:paraId="60F0B6E3" w14:textId="77777777" w:rsidR="0024040C" w:rsidRPr="0024040C" w:rsidRDefault="0024040C" w:rsidP="0024040C">
      <w:pPr>
        <w:spacing w:after="0" w:line="240" w:lineRule="auto"/>
        <w:rPr>
          <w:noProof/>
        </w:rPr>
      </w:pPr>
    </w:p>
    <w:p w14:paraId="496AC3E4" w14:textId="4DFE7671" w:rsidR="00B750BE" w:rsidRDefault="00D00510" w:rsidP="0024040C">
      <w:pPr>
        <w:pStyle w:val="ndicedeilustraes"/>
        <w:tabs>
          <w:tab w:val="right" w:leader="dot" w:pos="9061"/>
        </w:tabs>
        <w:spacing w:line="240" w:lineRule="auto"/>
        <w:ind w:left="1560" w:hanging="1560"/>
        <w:rPr>
          <w:rFonts w:asciiTheme="minorHAnsi" w:eastAsiaTheme="minorEastAsia" w:hAnsiTheme="minorHAnsi" w:cstheme="minorBidi"/>
          <w:noProof/>
          <w:sz w:val="22"/>
          <w:szCs w:val="22"/>
          <w:lang w:eastAsia="pt-BR"/>
        </w:rPr>
      </w:pPr>
      <w:hyperlink w:anchor="_Toc16173059" w:history="1">
        <w:r w:rsidR="00B750BE" w:rsidRPr="00221A67">
          <w:rPr>
            <w:rStyle w:val="Hyperlink"/>
            <w:noProof/>
          </w:rPr>
          <w:t>Figura 2</w:t>
        </w:r>
        <w:r w:rsidR="001F1971">
          <w:rPr>
            <w:rStyle w:val="Hyperlink"/>
            <w:noProof/>
          </w:rPr>
          <w:t xml:space="preserve"> -</w:t>
        </w:r>
        <w:r w:rsidR="0024040C">
          <w:rPr>
            <w:noProof/>
          </w:rPr>
          <w:tab/>
        </w:r>
        <w:r w:rsidR="00B750BE" w:rsidRPr="00221A67">
          <w:rPr>
            <w:rStyle w:val="Hyperlink"/>
            <w:noProof/>
          </w:rPr>
          <w:t xml:space="preserve">Mapa do estado de Santa Catarina identificando os locais de coleta de populações de </w:t>
        </w:r>
        <w:r w:rsidR="00B750BE" w:rsidRPr="001C6ED3">
          <w:rPr>
            <w:rStyle w:val="Hyperlink"/>
            <w:i/>
            <w:noProof/>
          </w:rPr>
          <w:t xml:space="preserve">Phakopsora pachyrhizi </w:t>
        </w:r>
        <w:r w:rsidR="00B750BE" w:rsidRPr="00221A67">
          <w:rPr>
            <w:rStyle w:val="Hyperlink"/>
            <w:noProof/>
          </w:rPr>
          <w:t>nas quais foi quantificado a mutação I86F na subunidade C da enzima succinato desidrogenase. Lages, 2018.</w:t>
        </w:r>
        <w:r w:rsidR="00B750BE">
          <w:rPr>
            <w:noProof/>
            <w:webHidden/>
          </w:rPr>
          <w:tab/>
        </w:r>
        <w:r w:rsidR="00B750BE">
          <w:rPr>
            <w:noProof/>
            <w:webHidden/>
          </w:rPr>
          <w:fldChar w:fldCharType="begin"/>
        </w:r>
        <w:r w:rsidR="00B750BE">
          <w:rPr>
            <w:noProof/>
            <w:webHidden/>
          </w:rPr>
          <w:instrText xml:space="preserve"> PAGEREF _Toc16173059 \h </w:instrText>
        </w:r>
        <w:r w:rsidR="00B750BE">
          <w:rPr>
            <w:noProof/>
            <w:webHidden/>
          </w:rPr>
        </w:r>
        <w:r w:rsidR="00B750BE">
          <w:rPr>
            <w:noProof/>
            <w:webHidden/>
          </w:rPr>
          <w:fldChar w:fldCharType="separate"/>
        </w:r>
        <w:r w:rsidR="00B828CE">
          <w:rPr>
            <w:noProof/>
            <w:webHidden/>
          </w:rPr>
          <w:t>92</w:t>
        </w:r>
        <w:r w:rsidR="00B750BE">
          <w:rPr>
            <w:noProof/>
            <w:webHidden/>
          </w:rPr>
          <w:fldChar w:fldCharType="end"/>
        </w:r>
      </w:hyperlink>
    </w:p>
    <w:p w14:paraId="57573E35" w14:textId="41E3FD2E" w:rsidR="00475AAF" w:rsidRPr="00475AAF" w:rsidRDefault="00475AAF" w:rsidP="00475AAF">
      <w:pPr>
        <w:rPr>
          <w:b/>
        </w:rPr>
      </w:pPr>
      <w:r>
        <w:rPr>
          <w:b/>
        </w:rPr>
        <w:fldChar w:fldCharType="end"/>
      </w:r>
    </w:p>
    <w:p w14:paraId="2BC228A0" w14:textId="77777777" w:rsidR="005F2B44" w:rsidRPr="00B7238F" w:rsidRDefault="005F2B44" w:rsidP="0005468C">
      <w:pPr>
        <w:rPr>
          <w:highlight w:val="yellow"/>
        </w:rPr>
      </w:pPr>
    </w:p>
    <w:p w14:paraId="0A642921" w14:textId="77777777" w:rsidR="00262248" w:rsidRPr="00B7238F" w:rsidRDefault="00262248" w:rsidP="0005468C"/>
    <w:p w14:paraId="56CC9B9F" w14:textId="05DC992E" w:rsidR="001C3AF6" w:rsidRPr="00B7238F" w:rsidRDefault="001C3AF6" w:rsidP="0005468C"/>
    <w:p w14:paraId="7AED3B1F" w14:textId="27459123" w:rsidR="001C3AF6" w:rsidRDefault="001C3AF6" w:rsidP="0005468C">
      <w:r w:rsidRPr="00B7238F">
        <w:br w:type="page"/>
      </w:r>
    </w:p>
    <w:p w14:paraId="32DDAD21" w14:textId="7D47946A" w:rsidR="00A617C2" w:rsidRDefault="00A617C2" w:rsidP="0005468C"/>
    <w:p w14:paraId="3E15A703" w14:textId="5FB4E558" w:rsidR="00A617C2" w:rsidRDefault="00A617C2" w:rsidP="0005468C"/>
    <w:p w14:paraId="39CF5735" w14:textId="625157DB" w:rsidR="00A617C2" w:rsidRDefault="00A617C2" w:rsidP="0005468C"/>
    <w:p w14:paraId="65A450F6" w14:textId="6BC2D67D" w:rsidR="00A617C2" w:rsidRDefault="00A617C2" w:rsidP="0005468C"/>
    <w:p w14:paraId="2CAB738B" w14:textId="487C7855" w:rsidR="00A617C2" w:rsidRDefault="00A617C2" w:rsidP="0005468C"/>
    <w:p w14:paraId="6A2130BD" w14:textId="1657B707" w:rsidR="00A617C2" w:rsidRDefault="00A617C2" w:rsidP="0005468C"/>
    <w:p w14:paraId="3E153E64" w14:textId="50075AAB" w:rsidR="00A617C2" w:rsidRDefault="00A617C2" w:rsidP="0005468C"/>
    <w:p w14:paraId="452E31E1" w14:textId="183C63D3" w:rsidR="00A617C2" w:rsidRDefault="00A617C2" w:rsidP="0005468C"/>
    <w:p w14:paraId="5FCE5C62" w14:textId="0ABB076D" w:rsidR="00A617C2" w:rsidRDefault="00A617C2" w:rsidP="0005468C"/>
    <w:p w14:paraId="4418A2AF" w14:textId="0025F55C" w:rsidR="00A617C2" w:rsidRDefault="00A617C2" w:rsidP="0005468C"/>
    <w:p w14:paraId="4B427F79" w14:textId="51210F83" w:rsidR="00A617C2" w:rsidRDefault="00A617C2" w:rsidP="0005468C"/>
    <w:p w14:paraId="7C5CF28C" w14:textId="14D1DC86" w:rsidR="00A617C2" w:rsidRDefault="00A617C2" w:rsidP="0005468C"/>
    <w:p w14:paraId="5205B74D" w14:textId="4055EEC6" w:rsidR="00A617C2" w:rsidRDefault="00A617C2" w:rsidP="0005468C"/>
    <w:p w14:paraId="3BB5E7B0" w14:textId="4C8628E6" w:rsidR="00A617C2" w:rsidRDefault="00A617C2" w:rsidP="0005468C"/>
    <w:p w14:paraId="51DBD0DA" w14:textId="78E8181A" w:rsidR="00A617C2" w:rsidRDefault="00A617C2" w:rsidP="0005468C"/>
    <w:p w14:paraId="7AF1A6A3" w14:textId="2392AB89" w:rsidR="00A617C2" w:rsidRDefault="00A617C2" w:rsidP="0005468C"/>
    <w:p w14:paraId="4CCB6509" w14:textId="31EFE1F0" w:rsidR="00A617C2" w:rsidRDefault="00A617C2" w:rsidP="0005468C"/>
    <w:p w14:paraId="5ABB7B98" w14:textId="65815407" w:rsidR="00A617C2" w:rsidRDefault="00A617C2" w:rsidP="0005468C"/>
    <w:p w14:paraId="2D817A45" w14:textId="5B3C67DB" w:rsidR="00A617C2" w:rsidRDefault="00A617C2" w:rsidP="0005468C"/>
    <w:p w14:paraId="37691EA4" w14:textId="56C94A80" w:rsidR="00A617C2" w:rsidRDefault="00A617C2" w:rsidP="0005468C"/>
    <w:p w14:paraId="056EA89E" w14:textId="45CE5D0D" w:rsidR="00E33AC6" w:rsidRDefault="008F253A" w:rsidP="00DF2404">
      <w:pPr>
        <w:spacing w:line="240" w:lineRule="auto"/>
        <w:jc w:val="center"/>
        <w:rPr>
          <w:b/>
        </w:rPr>
      </w:pPr>
      <w:r w:rsidRPr="00475AAF">
        <w:rPr>
          <w:b/>
        </w:rPr>
        <w:t>LISTA DE TABELAS</w:t>
      </w:r>
    </w:p>
    <w:p w14:paraId="18D4A47A" w14:textId="77777777" w:rsidR="00DF2404" w:rsidRDefault="00DF2404" w:rsidP="00DF2404">
      <w:pPr>
        <w:spacing w:after="0" w:line="360" w:lineRule="auto"/>
        <w:jc w:val="center"/>
        <w:rPr>
          <w:b/>
        </w:rPr>
      </w:pPr>
    </w:p>
    <w:p w14:paraId="3FB48AA5" w14:textId="0348F9A3" w:rsidR="00211F14" w:rsidRDefault="00475AAF" w:rsidP="00DF2404">
      <w:pPr>
        <w:pStyle w:val="ndicedeilustraes"/>
        <w:tabs>
          <w:tab w:val="right" w:leader="dot" w:pos="9061"/>
        </w:tabs>
        <w:spacing w:line="240" w:lineRule="auto"/>
        <w:ind w:left="1276" w:hanging="1276"/>
        <w:rPr>
          <w:noProof/>
        </w:rPr>
      </w:pPr>
      <w:r>
        <w:rPr>
          <w:b/>
        </w:rPr>
        <w:fldChar w:fldCharType="begin"/>
      </w:r>
      <w:r>
        <w:rPr>
          <w:b/>
        </w:rPr>
        <w:instrText xml:space="preserve"> TOC \h \z \c "Tabela" </w:instrText>
      </w:r>
      <w:r>
        <w:rPr>
          <w:b/>
        </w:rPr>
        <w:fldChar w:fldCharType="separate"/>
      </w:r>
      <w:hyperlink w:anchor="_Toc16173037" w:history="1">
        <w:r w:rsidR="00211F14" w:rsidRPr="00C90930">
          <w:rPr>
            <w:rStyle w:val="Hyperlink"/>
            <w:noProof/>
          </w:rPr>
          <w:t>Tabela 1</w:t>
        </w:r>
        <w:r w:rsidR="00884479">
          <w:rPr>
            <w:rStyle w:val="Hyperlink"/>
            <w:noProof/>
          </w:rPr>
          <w:t xml:space="preserve"> -</w:t>
        </w:r>
        <w:r w:rsidR="00884479">
          <w:rPr>
            <w:noProof/>
          </w:rPr>
          <w:t xml:space="preserve"> </w:t>
        </w:r>
        <w:r w:rsidR="00884479">
          <w:rPr>
            <w:noProof/>
          </w:rPr>
          <w:tab/>
        </w:r>
        <w:r w:rsidR="00211F14" w:rsidRPr="00C90930">
          <w:rPr>
            <w:rStyle w:val="Hyperlink"/>
            <w:noProof/>
          </w:rPr>
          <w:t>Produto comercial, ingrediente ativo e dose de fungicidas aplicados em diferentes fases do processo de infecção do fungo Phakopsora pachyrhizi em plantas de soja. Lages, SC. 2019.</w:t>
        </w:r>
        <w:r w:rsidR="00211F14">
          <w:rPr>
            <w:noProof/>
            <w:webHidden/>
          </w:rPr>
          <w:tab/>
        </w:r>
        <w:r w:rsidR="00211F14">
          <w:rPr>
            <w:noProof/>
            <w:webHidden/>
          </w:rPr>
          <w:fldChar w:fldCharType="begin"/>
        </w:r>
        <w:r w:rsidR="00211F14">
          <w:rPr>
            <w:noProof/>
            <w:webHidden/>
          </w:rPr>
          <w:instrText xml:space="preserve"> PAGEREF _Toc16173037 \h </w:instrText>
        </w:r>
        <w:r w:rsidR="00211F14">
          <w:rPr>
            <w:noProof/>
            <w:webHidden/>
          </w:rPr>
        </w:r>
        <w:r w:rsidR="00211F14">
          <w:rPr>
            <w:noProof/>
            <w:webHidden/>
          </w:rPr>
          <w:fldChar w:fldCharType="separate"/>
        </w:r>
        <w:r w:rsidR="00B828CE">
          <w:rPr>
            <w:noProof/>
            <w:webHidden/>
          </w:rPr>
          <w:t>64</w:t>
        </w:r>
        <w:r w:rsidR="00211F14">
          <w:rPr>
            <w:noProof/>
            <w:webHidden/>
          </w:rPr>
          <w:fldChar w:fldCharType="end"/>
        </w:r>
      </w:hyperlink>
    </w:p>
    <w:p w14:paraId="498749F2" w14:textId="77777777" w:rsidR="00DF2404" w:rsidRPr="00DF2404" w:rsidRDefault="00DF2404" w:rsidP="00DF2404">
      <w:pPr>
        <w:spacing w:after="0" w:line="240" w:lineRule="auto"/>
        <w:rPr>
          <w:noProof/>
        </w:rPr>
      </w:pPr>
    </w:p>
    <w:p w14:paraId="0C37C465" w14:textId="32F7F655" w:rsidR="00211F14" w:rsidRDefault="00D00510" w:rsidP="00DF2404">
      <w:pPr>
        <w:pStyle w:val="ndicedeilustraes"/>
        <w:tabs>
          <w:tab w:val="right" w:leader="dot" w:pos="9061"/>
        </w:tabs>
        <w:spacing w:line="240" w:lineRule="auto"/>
        <w:ind w:left="1276" w:hanging="1276"/>
        <w:rPr>
          <w:noProof/>
        </w:rPr>
      </w:pPr>
      <w:hyperlink w:anchor="_Toc16173038" w:history="1">
        <w:r w:rsidR="00211F14" w:rsidRPr="00C90930">
          <w:rPr>
            <w:rStyle w:val="Hyperlink"/>
            <w:noProof/>
          </w:rPr>
          <w:t>Tabela 2</w:t>
        </w:r>
        <w:r w:rsidR="00855735">
          <w:rPr>
            <w:rStyle w:val="Hyperlink"/>
            <w:noProof/>
          </w:rPr>
          <w:t xml:space="preserve"> -</w:t>
        </w:r>
        <w:r w:rsidR="00884479">
          <w:rPr>
            <w:noProof/>
          </w:rPr>
          <w:tab/>
        </w:r>
        <w:r w:rsidR="00211F14" w:rsidRPr="00C90930">
          <w:rPr>
            <w:rStyle w:val="Hyperlink"/>
            <w:noProof/>
          </w:rPr>
          <w:t>Número de lesões.cm-2 de ferrugem asiática da soja em folíolos trifoliolados com diferentes momentos de aplicação de carboxamidas isoladas. Lages, SC. 2017.</w:t>
        </w:r>
        <w:r w:rsidR="00211F14">
          <w:rPr>
            <w:noProof/>
            <w:webHidden/>
          </w:rPr>
          <w:tab/>
        </w:r>
        <w:r w:rsidR="00211F14">
          <w:rPr>
            <w:noProof/>
            <w:webHidden/>
          </w:rPr>
          <w:fldChar w:fldCharType="begin"/>
        </w:r>
        <w:r w:rsidR="00211F14">
          <w:rPr>
            <w:noProof/>
            <w:webHidden/>
          </w:rPr>
          <w:instrText xml:space="preserve"> PAGEREF _Toc16173038 \h </w:instrText>
        </w:r>
        <w:r w:rsidR="00211F14">
          <w:rPr>
            <w:noProof/>
            <w:webHidden/>
          </w:rPr>
        </w:r>
        <w:r w:rsidR="00211F14">
          <w:rPr>
            <w:noProof/>
            <w:webHidden/>
          </w:rPr>
          <w:fldChar w:fldCharType="separate"/>
        </w:r>
        <w:r w:rsidR="00B828CE">
          <w:rPr>
            <w:noProof/>
            <w:webHidden/>
          </w:rPr>
          <w:t>66</w:t>
        </w:r>
        <w:r w:rsidR="00211F14">
          <w:rPr>
            <w:noProof/>
            <w:webHidden/>
          </w:rPr>
          <w:fldChar w:fldCharType="end"/>
        </w:r>
      </w:hyperlink>
    </w:p>
    <w:p w14:paraId="24443906" w14:textId="77777777" w:rsidR="00DF2404" w:rsidRPr="00DF2404" w:rsidRDefault="00DF2404" w:rsidP="00DF2404">
      <w:pPr>
        <w:spacing w:after="0" w:line="240" w:lineRule="auto"/>
        <w:rPr>
          <w:noProof/>
        </w:rPr>
      </w:pPr>
    </w:p>
    <w:p w14:paraId="5276121C" w14:textId="5EDDCA53" w:rsidR="00211F14" w:rsidRDefault="00D00510" w:rsidP="00DF2404">
      <w:pPr>
        <w:pStyle w:val="ndicedeilustraes"/>
        <w:tabs>
          <w:tab w:val="right" w:leader="dot" w:pos="9061"/>
        </w:tabs>
        <w:spacing w:line="240" w:lineRule="auto"/>
        <w:ind w:left="1276" w:hanging="1276"/>
        <w:rPr>
          <w:noProof/>
        </w:rPr>
      </w:pPr>
      <w:hyperlink w:anchor="_Toc16173039" w:history="1">
        <w:r w:rsidR="00211F14" w:rsidRPr="00C90930">
          <w:rPr>
            <w:rStyle w:val="Hyperlink"/>
            <w:noProof/>
          </w:rPr>
          <w:t>Tabela 3</w:t>
        </w:r>
        <w:r w:rsidR="00855735">
          <w:rPr>
            <w:rStyle w:val="Hyperlink"/>
            <w:noProof/>
          </w:rPr>
          <w:t xml:space="preserve"> -</w:t>
        </w:r>
        <w:r w:rsidR="00884479">
          <w:rPr>
            <w:noProof/>
          </w:rPr>
          <w:tab/>
        </w:r>
        <w:r w:rsidR="00211F14" w:rsidRPr="00C90930">
          <w:rPr>
            <w:rStyle w:val="Hyperlink"/>
            <w:noProof/>
          </w:rPr>
          <w:t>Eficiência de controle da ferrugem asiática da soja em folíolos trifoliolados com diferentes momentos de aplicação de carboxamidas isoladas. Lages, SC. 2017.</w:t>
        </w:r>
        <w:r w:rsidR="00211F14">
          <w:rPr>
            <w:noProof/>
            <w:webHidden/>
          </w:rPr>
          <w:tab/>
        </w:r>
        <w:r w:rsidR="00211F14">
          <w:rPr>
            <w:noProof/>
            <w:webHidden/>
          </w:rPr>
          <w:fldChar w:fldCharType="begin"/>
        </w:r>
        <w:r w:rsidR="00211F14">
          <w:rPr>
            <w:noProof/>
            <w:webHidden/>
          </w:rPr>
          <w:instrText xml:space="preserve"> PAGEREF _Toc16173039 \h </w:instrText>
        </w:r>
        <w:r w:rsidR="00211F14">
          <w:rPr>
            <w:noProof/>
            <w:webHidden/>
          </w:rPr>
        </w:r>
        <w:r w:rsidR="00211F14">
          <w:rPr>
            <w:noProof/>
            <w:webHidden/>
          </w:rPr>
          <w:fldChar w:fldCharType="separate"/>
        </w:r>
        <w:r w:rsidR="00B828CE">
          <w:rPr>
            <w:noProof/>
            <w:webHidden/>
          </w:rPr>
          <w:t>66</w:t>
        </w:r>
        <w:r w:rsidR="00211F14">
          <w:rPr>
            <w:noProof/>
            <w:webHidden/>
          </w:rPr>
          <w:fldChar w:fldCharType="end"/>
        </w:r>
      </w:hyperlink>
    </w:p>
    <w:p w14:paraId="7CCD258E" w14:textId="77777777" w:rsidR="00DF2404" w:rsidRPr="00DF2404" w:rsidRDefault="00DF2404" w:rsidP="00DF2404">
      <w:pPr>
        <w:spacing w:after="0" w:line="240" w:lineRule="auto"/>
        <w:rPr>
          <w:noProof/>
        </w:rPr>
      </w:pPr>
    </w:p>
    <w:p w14:paraId="16A19796" w14:textId="2752605B" w:rsidR="00211F14" w:rsidRDefault="00D00510" w:rsidP="00DF2404">
      <w:pPr>
        <w:pStyle w:val="ndicedeilustraes"/>
        <w:tabs>
          <w:tab w:val="right" w:leader="dot" w:pos="9061"/>
        </w:tabs>
        <w:spacing w:line="240" w:lineRule="auto"/>
        <w:ind w:left="1276" w:hanging="1276"/>
        <w:rPr>
          <w:noProof/>
        </w:rPr>
      </w:pPr>
      <w:hyperlink w:anchor="_Toc16173040" w:history="1">
        <w:r w:rsidR="00211F14" w:rsidRPr="00C90930">
          <w:rPr>
            <w:rStyle w:val="Hyperlink"/>
            <w:noProof/>
          </w:rPr>
          <w:t>Tabela 4</w:t>
        </w:r>
        <w:r w:rsidR="00855735">
          <w:rPr>
            <w:rStyle w:val="Hyperlink"/>
            <w:noProof/>
          </w:rPr>
          <w:t xml:space="preserve"> -</w:t>
        </w:r>
        <w:r w:rsidR="00884479">
          <w:rPr>
            <w:noProof/>
          </w:rPr>
          <w:t xml:space="preserve"> </w:t>
        </w:r>
        <w:r w:rsidR="00884479">
          <w:rPr>
            <w:noProof/>
          </w:rPr>
          <w:tab/>
        </w:r>
        <w:r w:rsidR="00211F14" w:rsidRPr="00C90930">
          <w:rPr>
            <w:rStyle w:val="Hyperlink"/>
            <w:noProof/>
          </w:rPr>
          <w:t>Redução de eficiência de controle da ferrugem asiática da soja por hora e dia de atraso da aplicação após a inoculação do patógeno, e número de horas após a inoculação que a aplicação de carboxamidas isoladas proporciona controle de 50 e 80 %. Lages, SC. 2017.</w:t>
        </w:r>
        <w:r w:rsidR="00211F14">
          <w:rPr>
            <w:noProof/>
            <w:webHidden/>
          </w:rPr>
          <w:tab/>
        </w:r>
        <w:r w:rsidR="00211F14">
          <w:rPr>
            <w:noProof/>
            <w:webHidden/>
          </w:rPr>
          <w:fldChar w:fldCharType="begin"/>
        </w:r>
        <w:r w:rsidR="00211F14">
          <w:rPr>
            <w:noProof/>
            <w:webHidden/>
          </w:rPr>
          <w:instrText xml:space="preserve"> PAGEREF _Toc16173040 \h </w:instrText>
        </w:r>
        <w:r w:rsidR="00211F14">
          <w:rPr>
            <w:noProof/>
            <w:webHidden/>
          </w:rPr>
        </w:r>
        <w:r w:rsidR="00211F14">
          <w:rPr>
            <w:noProof/>
            <w:webHidden/>
          </w:rPr>
          <w:fldChar w:fldCharType="separate"/>
        </w:r>
        <w:r w:rsidR="00B828CE">
          <w:rPr>
            <w:noProof/>
            <w:webHidden/>
          </w:rPr>
          <w:t>67</w:t>
        </w:r>
        <w:r w:rsidR="00211F14">
          <w:rPr>
            <w:noProof/>
            <w:webHidden/>
          </w:rPr>
          <w:fldChar w:fldCharType="end"/>
        </w:r>
      </w:hyperlink>
    </w:p>
    <w:p w14:paraId="3D918EF5" w14:textId="77777777" w:rsidR="00DF2404" w:rsidRPr="00DF2404" w:rsidRDefault="00DF2404" w:rsidP="00DF2404">
      <w:pPr>
        <w:spacing w:after="0" w:line="240" w:lineRule="auto"/>
        <w:rPr>
          <w:noProof/>
        </w:rPr>
      </w:pPr>
    </w:p>
    <w:p w14:paraId="5041200C" w14:textId="3250BA67" w:rsidR="00211F14" w:rsidRDefault="00D00510" w:rsidP="00DF2404">
      <w:pPr>
        <w:pStyle w:val="ndicedeilustraes"/>
        <w:tabs>
          <w:tab w:val="right" w:leader="dot" w:pos="9061"/>
        </w:tabs>
        <w:spacing w:line="240" w:lineRule="auto"/>
        <w:ind w:left="1276" w:hanging="1276"/>
        <w:rPr>
          <w:noProof/>
        </w:rPr>
      </w:pPr>
      <w:hyperlink w:anchor="_Toc16173041" w:history="1">
        <w:r w:rsidR="00211F14" w:rsidRPr="00C90930">
          <w:rPr>
            <w:rStyle w:val="Hyperlink"/>
            <w:noProof/>
          </w:rPr>
          <w:t>Tabela 5</w:t>
        </w:r>
        <w:r w:rsidR="00855735">
          <w:rPr>
            <w:rStyle w:val="Hyperlink"/>
            <w:noProof/>
          </w:rPr>
          <w:t xml:space="preserve"> </w:t>
        </w:r>
        <w:r w:rsidR="00884479">
          <w:rPr>
            <w:rStyle w:val="Hyperlink"/>
            <w:noProof/>
          </w:rPr>
          <w:t xml:space="preserve">- </w:t>
        </w:r>
        <w:r w:rsidR="00884479">
          <w:rPr>
            <w:noProof/>
          </w:rPr>
          <w:t xml:space="preserve"> </w:t>
        </w:r>
        <w:r w:rsidR="00884479">
          <w:rPr>
            <w:noProof/>
          </w:rPr>
          <w:tab/>
        </w:r>
        <w:r w:rsidR="00211F14" w:rsidRPr="00C90930">
          <w:rPr>
            <w:rStyle w:val="Hyperlink"/>
            <w:noProof/>
          </w:rPr>
          <w:t>Número de lesões.cm-2 de ferrugem asiática da soja em folíolos trifoliolados com diferentes momentos de aplicação de carboxamidas em mistura com estrobilurinas, triazóis, triazolinthione e ditiocarbamato. Lages, SC. 2017.</w:t>
        </w:r>
        <w:r w:rsidR="00211F14">
          <w:rPr>
            <w:noProof/>
            <w:webHidden/>
          </w:rPr>
          <w:tab/>
        </w:r>
        <w:r w:rsidR="00211F14">
          <w:rPr>
            <w:noProof/>
            <w:webHidden/>
          </w:rPr>
          <w:fldChar w:fldCharType="begin"/>
        </w:r>
        <w:r w:rsidR="00211F14">
          <w:rPr>
            <w:noProof/>
            <w:webHidden/>
          </w:rPr>
          <w:instrText xml:space="preserve"> PAGEREF _Toc16173041 \h </w:instrText>
        </w:r>
        <w:r w:rsidR="00211F14">
          <w:rPr>
            <w:noProof/>
            <w:webHidden/>
          </w:rPr>
        </w:r>
        <w:r w:rsidR="00211F14">
          <w:rPr>
            <w:noProof/>
            <w:webHidden/>
          </w:rPr>
          <w:fldChar w:fldCharType="separate"/>
        </w:r>
        <w:r w:rsidR="00B828CE">
          <w:rPr>
            <w:noProof/>
            <w:webHidden/>
          </w:rPr>
          <w:t>68</w:t>
        </w:r>
        <w:r w:rsidR="00211F14">
          <w:rPr>
            <w:noProof/>
            <w:webHidden/>
          </w:rPr>
          <w:fldChar w:fldCharType="end"/>
        </w:r>
      </w:hyperlink>
    </w:p>
    <w:p w14:paraId="572E37CC" w14:textId="77777777" w:rsidR="00DF2404" w:rsidRPr="00DF2404" w:rsidRDefault="00DF2404" w:rsidP="00DF2404">
      <w:pPr>
        <w:spacing w:after="0" w:line="240" w:lineRule="auto"/>
        <w:rPr>
          <w:noProof/>
        </w:rPr>
      </w:pPr>
    </w:p>
    <w:p w14:paraId="6D773BEE" w14:textId="03CB33FC" w:rsidR="00211F14" w:rsidRDefault="00D00510" w:rsidP="00DF2404">
      <w:pPr>
        <w:pStyle w:val="ndicedeilustraes"/>
        <w:tabs>
          <w:tab w:val="right" w:leader="dot" w:pos="9061"/>
        </w:tabs>
        <w:spacing w:line="240" w:lineRule="auto"/>
        <w:ind w:left="1276" w:hanging="1276"/>
        <w:rPr>
          <w:noProof/>
        </w:rPr>
      </w:pPr>
      <w:hyperlink w:anchor="_Toc16173042" w:history="1">
        <w:r w:rsidR="00211F14" w:rsidRPr="00C90930">
          <w:rPr>
            <w:rStyle w:val="Hyperlink"/>
            <w:noProof/>
          </w:rPr>
          <w:t>Tabela 6</w:t>
        </w:r>
        <w:r w:rsidR="00DF2404">
          <w:rPr>
            <w:rStyle w:val="Hyperlink"/>
            <w:noProof/>
          </w:rPr>
          <w:t xml:space="preserve"> </w:t>
        </w:r>
        <w:r w:rsidR="00DF2404" w:rsidRPr="00DF2404">
          <w:rPr>
            <w:rStyle w:val="Hyperlink"/>
            <w:noProof/>
          </w:rPr>
          <w:t xml:space="preserve">-  </w:t>
        </w:r>
        <w:r w:rsidR="00DF2404" w:rsidRPr="00DF2404">
          <w:rPr>
            <w:rStyle w:val="Hyperlink"/>
            <w:noProof/>
          </w:rPr>
          <w:tab/>
        </w:r>
        <w:r w:rsidR="00211F14" w:rsidRPr="00C90930">
          <w:rPr>
            <w:rStyle w:val="Hyperlink"/>
            <w:noProof/>
          </w:rPr>
          <w:t>Controle de ferrugem asiática da soja em folíolos trifoliolados com diferentes     momentos de aplicação de carboxamidas em mistura com estrobilurinas, triazóis, triazolinthione e ditiocarbamato. Lages, SC. 2017.</w:t>
        </w:r>
        <w:r w:rsidR="00211F14">
          <w:rPr>
            <w:noProof/>
            <w:webHidden/>
          </w:rPr>
          <w:tab/>
        </w:r>
        <w:r w:rsidR="00211F14">
          <w:rPr>
            <w:noProof/>
            <w:webHidden/>
          </w:rPr>
          <w:fldChar w:fldCharType="begin"/>
        </w:r>
        <w:r w:rsidR="00211F14">
          <w:rPr>
            <w:noProof/>
            <w:webHidden/>
          </w:rPr>
          <w:instrText xml:space="preserve"> PAGEREF _Toc16173042 \h </w:instrText>
        </w:r>
        <w:r w:rsidR="00211F14">
          <w:rPr>
            <w:noProof/>
            <w:webHidden/>
          </w:rPr>
        </w:r>
        <w:r w:rsidR="00211F14">
          <w:rPr>
            <w:noProof/>
            <w:webHidden/>
          </w:rPr>
          <w:fldChar w:fldCharType="separate"/>
        </w:r>
        <w:r w:rsidR="00B828CE">
          <w:rPr>
            <w:noProof/>
            <w:webHidden/>
          </w:rPr>
          <w:t>69</w:t>
        </w:r>
        <w:r w:rsidR="00211F14">
          <w:rPr>
            <w:noProof/>
            <w:webHidden/>
          </w:rPr>
          <w:fldChar w:fldCharType="end"/>
        </w:r>
      </w:hyperlink>
    </w:p>
    <w:p w14:paraId="4387604A" w14:textId="77777777" w:rsidR="00DF2404" w:rsidRPr="00DF2404" w:rsidRDefault="00DF2404" w:rsidP="00DF2404">
      <w:pPr>
        <w:spacing w:after="0" w:line="240" w:lineRule="auto"/>
        <w:rPr>
          <w:noProof/>
        </w:rPr>
      </w:pPr>
    </w:p>
    <w:p w14:paraId="124315EC" w14:textId="07FF69AE" w:rsidR="00211F14" w:rsidRDefault="00D00510" w:rsidP="00DF2404">
      <w:pPr>
        <w:pStyle w:val="ndicedeilustraes"/>
        <w:tabs>
          <w:tab w:val="right" w:leader="dot" w:pos="9061"/>
        </w:tabs>
        <w:spacing w:line="240" w:lineRule="auto"/>
        <w:ind w:left="1276" w:hanging="1276"/>
        <w:rPr>
          <w:noProof/>
        </w:rPr>
      </w:pPr>
      <w:hyperlink w:anchor="_Toc16173043" w:history="1">
        <w:r w:rsidR="00211F14" w:rsidRPr="00C90930">
          <w:rPr>
            <w:rStyle w:val="Hyperlink"/>
            <w:noProof/>
          </w:rPr>
          <w:t>Tabela 7</w:t>
        </w:r>
        <w:r w:rsidR="00855735">
          <w:rPr>
            <w:rStyle w:val="Hyperlink"/>
            <w:noProof/>
          </w:rPr>
          <w:t xml:space="preserve"> -</w:t>
        </w:r>
        <w:r w:rsidR="00884479">
          <w:rPr>
            <w:noProof/>
          </w:rPr>
          <w:tab/>
        </w:r>
        <w:r w:rsidR="00211F14" w:rsidRPr="00C90930">
          <w:rPr>
            <w:rStyle w:val="Hyperlink"/>
            <w:noProof/>
          </w:rPr>
          <w:t>Redução de eficiência de controle da ferrugem asiática da soja por hora e dia de atraso da aplicação após a inoculação do patógeno, e número de horas após a inoculação que a aplicação de carboxamidas em mistura com estrobilurinas, triazóis, triazolinthione e ditiocarbamato. proporciona controle de 50 e 80 %. Lages, SC. 2017.</w:t>
        </w:r>
        <w:r w:rsidR="00211F14">
          <w:rPr>
            <w:noProof/>
            <w:webHidden/>
          </w:rPr>
          <w:tab/>
        </w:r>
        <w:r w:rsidR="00211F14">
          <w:rPr>
            <w:noProof/>
            <w:webHidden/>
          </w:rPr>
          <w:fldChar w:fldCharType="begin"/>
        </w:r>
        <w:r w:rsidR="00211F14">
          <w:rPr>
            <w:noProof/>
            <w:webHidden/>
          </w:rPr>
          <w:instrText xml:space="preserve"> PAGEREF _Toc16173043 \h </w:instrText>
        </w:r>
        <w:r w:rsidR="00211F14">
          <w:rPr>
            <w:noProof/>
            <w:webHidden/>
          </w:rPr>
        </w:r>
        <w:r w:rsidR="00211F14">
          <w:rPr>
            <w:noProof/>
            <w:webHidden/>
          </w:rPr>
          <w:fldChar w:fldCharType="separate"/>
        </w:r>
        <w:r w:rsidR="00B828CE">
          <w:rPr>
            <w:noProof/>
            <w:webHidden/>
          </w:rPr>
          <w:t>72</w:t>
        </w:r>
        <w:r w:rsidR="00211F14">
          <w:rPr>
            <w:noProof/>
            <w:webHidden/>
          </w:rPr>
          <w:fldChar w:fldCharType="end"/>
        </w:r>
      </w:hyperlink>
    </w:p>
    <w:p w14:paraId="17FE9B56" w14:textId="77777777" w:rsidR="00A9406B" w:rsidRPr="00A9406B" w:rsidRDefault="00A9406B" w:rsidP="00A9406B">
      <w:pPr>
        <w:spacing w:after="0" w:line="240" w:lineRule="auto"/>
        <w:rPr>
          <w:noProof/>
        </w:rPr>
      </w:pPr>
    </w:p>
    <w:p w14:paraId="32ACA6F9" w14:textId="6A02C159" w:rsidR="00211F14" w:rsidRDefault="00D00510" w:rsidP="00A9406B">
      <w:pPr>
        <w:pStyle w:val="ndicedeilustraes"/>
        <w:tabs>
          <w:tab w:val="right" w:leader="dot" w:pos="9061"/>
        </w:tabs>
        <w:spacing w:line="240" w:lineRule="auto"/>
        <w:ind w:left="1276" w:hanging="1276"/>
        <w:rPr>
          <w:noProof/>
        </w:rPr>
      </w:pPr>
      <w:hyperlink w:anchor="_Toc16173044" w:history="1">
        <w:r w:rsidR="00211F14" w:rsidRPr="00C90930">
          <w:rPr>
            <w:rStyle w:val="Hyperlink"/>
            <w:noProof/>
          </w:rPr>
          <w:t>Tabela 8</w:t>
        </w:r>
        <w:r w:rsidR="009A0979">
          <w:rPr>
            <w:rStyle w:val="Hyperlink"/>
            <w:noProof/>
          </w:rPr>
          <w:t xml:space="preserve"> -</w:t>
        </w:r>
        <w:r w:rsidR="00884479">
          <w:rPr>
            <w:noProof/>
          </w:rPr>
          <w:t xml:space="preserve"> </w:t>
        </w:r>
        <w:r w:rsidR="00884479">
          <w:rPr>
            <w:noProof/>
          </w:rPr>
          <w:tab/>
        </w:r>
        <w:r w:rsidR="00211F14" w:rsidRPr="00C90930">
          <w:rPr>
            <w:rStyle w:val="Hyperlink"/>
            <w:noProof/>
          </w:rPr>
          <w:t>Redução de eficiência de controle da ferrugem asiática da soja por hora e dia de atraso da aplicação após a inoculação do patógeno, e número de horas após a inoculação que a aplicação de carboxamidas, carboxamidas + estrobilurinas, carboxamidas + estrobilurinas + triazóis/triazolinthione e carboxamidas + estrobilurinas + ditiocarbamato proporciona controle de 50 e 80 %. Lages, SC. 2017.</w:t>
        </w:r>
        <w:r w:rsidR="00211F14">
          <w:rPr>
            <w:noProof/>
            <w:webHidden/>
          </w:rPr>
          <w:tab/>
        </w:r>
        <w:r w:rsidR="00211F14">
          <w:rPr>
            <w:noProof/>
            <w:webHidden/>
          </w:rPr>
          <w:fldChar w:fldCharType="begin"/>
        </w:r>
        <w:r w:rsidR="00211F14">
          <w:rPr>
            <w:noProof/>
            <w:webHidden/>
          </w:rPr>
          <w:instrText xml:space="preserve"> PAGEREF _Toc16173044 \h </w:instrText>
        </w:r>
        <w:r w:rsidR="00211F14">
          <w:rPr>
            <w:noProof/>
            <w:webHidden/>
          </w:rPr>
        </w:r>
        <w:r w:rsidR="00211F14">
          <w:rPr>
            <w:noProof/>
            <w:webHidden/>
          </w:rPr>
          <w:fldChar w:fldCharType="separate"/>
        </w:r>
        <w:r w:rsidR="00B828CE">
          <w:rPr>
            <w:noProof/>
            <w:webHidden/>
          </w:rPr>
          <w:t>73</w:t>
        </w:r>
        <w:r w:rsidR="00211F14">
          <w:rPr>
            <w:noProof/>
            <w:webHidden/>
          </w:rPr>
          <w:fldChar w:fldCharType="end"/>
        </w:r>
      </w:hyperlink>
    </w:p>
    <w:p w14:paraId="05ED9C90" w14:textId="77777777" w:rsidR="00A9406B" w:rsidRPr="00A9406B" w:rsidRDefault="00A9406B" w:rsidP="00A9406B">
      <w:pPr>
        <w:spacing w:after="0" w:line="240" w:lineRule="auto"/>
        <w:rPr>
          <w:noProof/>
        </w:rPr>
      </w:pPr>
    </w:p>
    <w:p w14:paraId="248E66B1" w14:textId="1C294DF7" w:rsidR="00211F14" w:rsidRDefault="00D00510" w:rsidP="00DF2404">
      <w:pPr>
        <w:pStyle w:val="ndicedeilustraes"/>
        <w:tabs>
          <w:tab w:val="right" w:leader="dot" w:pos="9061"/>
        </w:tabs>
        <w:spacing w:line="240" w:lineRule="auto"/>
        <w:ind w:left="1276" w:hanging="1276"/>
        <w:rPr>
          <w:noProof/>
        </w:rPr>
      </w:pPr>
      <w:hyperlink w:anchor="_Toc16173045" w:history="1">
        <w:r w:rsidR="00211F14" w:rsidRPr="00C90930">
          <w:rPr>
            <w:rStyle w:val="Hyperlink"/>
            <w:noProof/>
          </w:rPr>
          <w:t>Tabela 9</w:t>
        </w:r>
        <w:r w:rsidR="009A0979">
          <w:rPr>
            <w:rStyle w:val="Hyperlink"/>
            <w:noProof/>
          </w:rPr>
          <w:t xml:space="preserve"> -</w:t>
        </w:r>
        <w:r w:rsidR="00884479">
          <w:rPr>
            <w:noProof/>
          </w:rPr>
          <w:t xml:space="preserve"> </w:t>
        </w:r>
        <w:r w:rsidR="00884479">
          <w:rPr>
            <w:noProof/>
          </w:rPr>
          <w:tab/>
        </w:r>
        <w:r w:rsidR="00211F14" w:rsidRPr="00C90930">
          <w:rPr>
            <w:rStyle w:val="Hyperlink"/>
            <w:noProof/>
          </w:rPr>
          <w:t>Lista de locais de coleta de amostras de folhas de soja infectadas por P. pachyrhzi no estado de Santa Catarina.</w:t>
        </w:r>
        <w:r w:rsidR="00211F14">
          <w:rPr>
            <w:noProof/>
            <w:webHidden/>
          </w:rPr>
          <w:tab/>
        </w:r>
        <w:r w:rsidR="00211F14">
          <w:rPr>
            <w:noProof/>
            <w:webHidden/>
          </w:rPr>
          <w:fldChar w:fldCharType="begin"/>
        </w:r>
        <w:r w:rsidR="00211F14">
          <w:rPr>
            <w:noProof/>
            <w:webHidden/>
          </w:rPr>
          <w:instrText xml:space="preserve"> PAGEREF _Toc16173045 \h </w:instrText>
        </w:r>
        <w:r w:rsidR="00211F14">
          <w:rPr>
            <w:noProof/>
            <w:webHidden/>
          </w:rPr>
        </w:r>
        <w:r w:rsidR="00211F14">
          <w:rPr>
            <w:noProof/>
            <w:webHidden/>
          </w:rPr>
          <w:fldChar w:fldCharType="separate"/>
        </w:r>
        <w:r w:rsidR="00B828CE">
          <w:rPr>
            <w:noProof/>
            <w:webHidden/>
          </w:rPr>
          <w:t>88</w:t>
        </w:r>
        <w:r w:rsidR="00211F14">
          <w:rPr>
            <w:noProof/>
            <w:webHidden/>
          </w:rPr>
          <w:fldChar w:fldCharType="end"/>
        </w:r>
      </w:hyperlink>
    </w:p>
    <w:p w14:paraId="2A640AFA" w14:textId="77777777" w:rsidR="00A9406B" w:rsidRPr="00A9406B" w:rsidRDefault="00A9406B" w:rsidP="00A9406B">
      <w:pPr>
        <w:spacing w:after="0" w:line="240" w:lineRule="auto"/>
        <w:rPr>
          <w:noProof/>
        </w:rPr>
      </w:pPr>
    </w:p>
    <w:p w14:paraId="06064BAD" w14:textId="6F2F3DE6" w:rsidR="00211F14" w:rsidRDefault="00D00510" w:rsidP="00A9406B">
      <w:pPr>
        <w:pStyle w:val="ndicedeilustraes"/>
        <w:tabs>
          <w:tab w:val="right" w:leader="dot" w:pos="9061"/>
        </w:tabs>
        <w:spacing w:after="0" w:line="240" w:lineRule="auto"/>
        <w:ind w:left="1276" w:hanging="1276"/>
        <w:rPr>
          <w:rFonts w:asciiTheme="minorHAnsi" w:eastAsiaTheme="minorEastAsia" w:hAnsiTheme="minorHAnsi" w:cstheme="minorBidi"/>
          <w:noProof/>
          <w:sz w:val="22"/>
          <w:szCs w:val="22"/>
          <w:lang w:eastAsia="pt-BR"/>
        </w:rPr>
      </w:pPr>
      <w:hyperlink w:anchor="_Toc16173046" w:history="1">
        <w:r w:rsidR="00211F14" w:rsidRPr="00C90930">
          <w:rPr>
            <w:rStyle w:val="Hyperlink"/>
            <w:noProof/>
          </w:rPr>
          <w:t>Tabela 10</w:t>
        </w:r>
        <w:r w:rsidR="009A0979">
          <w:rPr>
            <w:rStyle w:val="Hyperlink"/>
            <w:noProof/>
          </w:rPr>
          <w:t xml:space="preserve"> -</w:t>
        </w:r>
        <w:r w:rsidR="00884479">
          <w:rPr>
            <w:noProof/>
          </w:rPr>
          <w:t xml:space="preserve"> </w:t>
        </w:r>
        <w:r w:rsidR="00884479">
          <w:rPr>
            <w:noProof/>
          </w:rPr>
          <w:tab/>
        </w:r>
        <w:r w:rsidR="00211F14" w:rsidRPr="00C90930">
          <w:rPr>
            <w:rStyle w:val="Hyperlink"/>
            <w:noProof/>
          </w:rPr>
          <w:t>Porcentagem de amostras por faixa de valores de frequência da mutação I86F na subunidade C da enzima succinato desidrogenase em populações de P. pachyrhizi. Lages, 2018.</w:t>
        </w:r>
        <w:r w:rsidR="00211F14">
          <w:rPr>
            <w:noProof/>
            <w:webHidden/>
          </w:rPr>
          <w:tab/>
        </w:r>
        <w:r w:rsidR="00211F14">
          <w:rPr>
            <w:noProof/>
            <w:webHidden/>
          </w:rPr>
          <w:fldChar w:fldCharType="begin"/>
        </w:r>
        <w:r w:rsidR="00211F14">
          <w:rPr>
            <w:noProof/>
            <w:webHidden/>
          </w:rPr>
          <w:instrText xml:space="preserve"> PAGEREF _Toc16173046 \h </w:instrText>
        </w:r>
        <w:r w:rsidR="00211F14">
          <w:rPr>
            <w:noProof/>
            <w:webHidden/>
          </w:rPr>
        </w:r>
        <w:r w:rsidR="00211F14">
          <w:rPr>
            <w:noProof/>
            <w:webHidden/>
          </w:rPr>
          <w:fldChar w:fldCharType="separate"/>
        </w:r>
        <w:r w:rsidR="00B828CE">
          <w:rPr>
            <w:noProof/>
            <w:webHidden/>
          </w:rPr>
          <w:t>92</w:t>
        </w:r>
        <w:r w:rsidR="00211F14">
          <w:rPr>
            <w:noProof/>
            <w:webHidden/>
          </w:rPr>
          <w:fldChar w:fldCharType="end"/>
        </w:r>
      </w:hyperlink>
    </w:p>
    <w:p w14:paraId="3A91E83E" w14:textId="35E187D8" w:rsidR="00211F14" w:rsidRDefault="00D00510" w:rsidP="00A9406B">
      <w:pPr>
        <w:pStyle w:val="ndicedeilustraes"/>
        <w:tabs>
          <w:tab w:val="right" w:leader="dot" w:pos="9061"/>
        </w:tabs>
        <w:spacing w:after="0" w:line="240" w:lineRule="auto"/>
        <w:ind w:left="1276" w:hanging="1276"/>
        <w:rPr>
          <w:noProof/>
        </w:rPr>
      </w:pPr>
      <w:hyperlink w:anchor="_Toc16173047" w:history="1">
        <w:r w:rsidR="00211F14" w:rsidRPr="00C90930">
          <w:rPr>
            <w:rStyle w:val="Hyperlink"/>
            <w:noProof/>
          </w:rPr>
          <w:t>Tabela 11</w:t>
        </w:r>
        <w:r w:rsidR="009A0979">
          <w:rPr>
            <w:rStyle w:val="Hyperlink"/>
            <w:noProof/>
          </w:rPr>
          <w:t xml:space="preserve"> -</w:t>
        </w:r>
        <w:r w:rsidR="00884479">
          <w:rPr>
            <w:noProof/>
          </w:rPr>
          <w:t xml:space="preserve"> </w:t>
        </w:r>
        <w:r w:rsidR="00884479">
          <w:rPr>
            <w:noProof/>
          </w:rPr>
          <w:tab/>
        </w:r>
        <w:r w:rsidR="00211F14" w:rsidRPr="00C90930">
          <w:rPr>
            <w:rStyle w:val="Hyperlink"/>
            <w:noProof/>
          </w:rPr>
          <w:t xml:space="preserve">Frequências da mutação I86F na subunidade C da enzima succinato desidrogenase em populações de </w:t>
        </w:r>
        <w:r w:rsidR="00211F14" w:rsidRPr="004B0A23">
          <w:rPr>
            <w:rStyle w:val="Hyperlink"/>
            <w:i/>
            <w:noProof/>
          </w:rPr>
          <w:t xml:space="preserve">P. pachyrhizi </w:t>
        </w:r>
        <w:r w:rsidR="00211F14" w:rsidRPr="00C90930">
          <w:rPr>
            <w:rStyle w:val="Hyperlink"/>
            <w:noProof/>
          </w:rPr>
          <w:t>coletadas em locais com altitude entre 401 e 600 m. Lages, 2018.</w:t>
        </w:r>
        <w:r w:rsidR="00211F14">
          <w:rPr>
            <w:noProof/>
            <w:webHidden/>
          </w:rPr>
          <w:tab/>
        </w:r>
        <w:r w:rsidR="00211F14">
          <w:rPr>
            <w:noProof/>
            <w:webHidden/>
          </w:rPr>
          <w:fldChar w:fldCharType="begin"/>
        </w:r>
        <w:r w:rsidR="00211F14">
          <w:rPr>
            <w:noProof/>
            <w:webHidden/>
          </w:rPr>
          <w:instrText xml:space="preserve"> PAGEREF _Toc16173047 \h </w:instrText>
        </w:r>
        <w:r w:rsidR="00211F14">
          <w:rPr>
            <w:noProof/>
            <w:webHidden/>
          </w:rPr>
        </w:r>
        <w:r w:rsidR="00211F14">
          <w:rPr>
            <w:noProof/>
            <w:webHidden/>
          </w:rPr>
          <w:fldChar w:fldCharType="separate"/>
        </w:r>
        <w:r w:rsidR="00B828CE">
          <w:rPr>
            <w:noProof/>
            <w:webHidden/>
          </w:rPr>
          <w:t>93</w:t>
        </w:r>
        <w:r w:rsidR="00211F14">
          <w:rPr>
            <w:noProof/>
            <w:webHidden/>
          </w:rPr>
          <w:fldChar w:fldCharType="end"/>
        </w:r>
      </w:hyperlink>
    </w:p>
    <w:p w14:paraId="0FECFF32" w14:textId="77777777" w:rsidR="00A9406B" w:rsidRPr="00A9406B" w:rsidRDefault="00A9406B" w:rsidP="00A9406B">
      <w:pPr>
        <w:spacing w:after="0" w:line="240" w:lineRule="auto"/>
        <w:rPr>
          <w:noProof/>
        </w:rPr>
      </w:pPr>
    </w:p>
    <w:p w14:paraId="0A875570" w14:textId="3999AA9B" w:rsidR="00211F14" w:rsidRDefault="00D00510" w:rsidP="00DF2404">
      <w:pPr>
        <w:pStyle w:val="ndicedeilustraes"/>
        <w:tabs>
          <w:tab w:val="right" w:leader="dot" w:pos="9061"/>
        </w:tabs>
        <w:spacing w:line="240" w:lineRule="auto"/>
        <w:ind w:left="1276" w:hanging="1276"/>
        <w:rPr>
          <w:noProof/>
        </w:rPr>
      </w:pPr>
      <w:hyperlink w:anchor="_Toc16173048" w:history="1">
        <w:r w:rsidR="00211F14" w:rsidRPr="00C90930">
          <w:rPr>
            <w:rStyle w:val="Hyperlink"/>
            <w:noProof/>
          </w:rPr>
          <w:t>Tabela 12</w:t>
        </w:r>
        <w:r w:rsidR="000F1E7D">
          <w:rPr>
            <w:rStyle w:val="Hyperlink"/>
            <w:noProof/>
          </w:rPr>
          <w:t xml:space="preserve"> -</w:t>
        </w:r>
        <w:r w:rsidR="000F1E7D">
          <w:rPr>
            <w:noProof/>
          </w:rPr>
          <w:t xml:space="preserve"> </w:t>
        </w:r>
        <w:r w:rsidR="000F1E7D">
          <w:rPr>
            <w:noProof/>
          </w:rPr>
          <w:tab/>
        </w:r>
        <w:r w:rsidR="00211F14" w:rsidRPr="00C90930">
          <w:rPr>
            <w:rStyle w:val="Hyperlink"/>
            <w:noProof/>
          </w:rPr>
          <w:t xml:space="preserve">Frequências da mutação I86F na subunidade C da enzima succinato desidrogenase em populações de </w:t>
        </w:r>
        <w:r w:rsidR="00211F14" w:rsidRPr="004B0A23">
          <w:rPr>
            <w:rStyle w:val="Hyperlink"/>
            <w:i/>
            <w:noProof/>
          </w:rPr>
          <w:t xml:space="preserve">P. pachyrhizi </w:t>
        </w:r>
        <w:r w:rsidR="00211F14" w:rsidRPr="00C90930">
          <w:rPr>
            <w:rStyle w:val="Hyperlink"/>
            <w:noProof/>
          </w:rPr>
          <w:t>coletadas em locais com altitude entre 601 e 800 m. Lages, 2018.</w:t>
        </w:r>
        <w:r w:rsidR="00211F14">
          <w:rPr>
            <w:noProof/>
            <w:webHidden/>
          </w:rPr>
          <w:tab/>
        </w:r>
        <w:r w:rsidR="00211F14">
          <w:rPr>
            <w:noProof/>
            <w:webHidden/>
          </w:rPr>
          <w:fldChar w:fldCharType="begin"/>
        </w:r>
        <w:r w:rsidR="00211F14">
          <w:rPr>
            <w:noProof/>
            <w:webHidden/>
          </w:rPr>
          <w:instrText xml:space="preserve"> PAGEREF _Toc16173048 \h </w:instrText>
        </w:r>
        <w:r w:rsidR="00211F14">
          <w:rPr>
            <w:noProof/>
            <w:webHidden/>
          </w:rPr>
        </w:r>
        <w:r w:rsidR="00211F14">
          <w:rPr>
            <w:noProof/>
            <w:webHidden/>
          </w:rPr>
          <w:fldChar w:fldCharType="separate"/>
        </w:r>
        <w:r w:rsidR="00B828CE">
          <w:rPr>
            <w:noProof/>
            <w:webHidden/>
          </w:rPr>
          <w:t>94</w:t>
        </w:r>
        <w:r w:rsidR="00211F14">
          <w:rPr>
            <w:noProof/>
            <w:webHidden/>
          </w:rPr>
          <w:fldChar w:fldCharType="end"/>
        </w:r>
      </w:hyperlink>
    </w:p>
    <w:p w14:paraId="4E93BB75" w14:textId="77777777" w:rsidR="00A9406B" w:rsidRPr="00A9406B" w:rsidRDefault="00A9406B" w:rsidP="00A9406B">
      <w:pPr>
        <w:spacing w:after="0" w:line="240" w:lineRule="auto"/>
        <w:rPr>
          <w:noProof/>
        </w:rPr>
      </w:pPr>
    </w:p>
    <w:p w14:paraId="04E56509" w14:textId="542BC307" w:rsidR="00211F14" w:rsidRDefault="00D00510" w:rsidP="00DF2404">
      <w:pPr>
        <w:pStyle w:val="ndicedeilustraes"/>
        <w:tabs>
          <w:tab w:val="right" w:leader="dot" w:pos="9061"/>
        </w:tabs>
        <w:spacing w:line="240" w:lineRule="auto"/>
        <w:ind w:left="1276" w:hanging="1276"/>
        <w:rPr>
          <w:noProof/>
        </w:rPr>
      </w:pPr>
      <w:hyperlink w:anchor="_Toc16173049" w:history="1">
        <w:r w:rsidR="00211F14" w:rsidRPr="00C90930">
          <w:rPr>
            <w:rStyle w:val="Hyperlink"/>
            <w:noProof/>
          </w:rPr>
          <w:t>Tabela 13</w:t>
        </w:r>
        <w:r w:rsidR="009A0979">
          <w:rPr>
            <w:rStyle w:val="Hyperlink"/>
            <w:noProof/>
          </w:rPr>
          <w:t xml:space="preserve"> -</w:t>
        </w:r>
        <w:r w:rsidR="00DC674B">
          <w:rPr>
            <w:noProof/>
          </w:rPr>
          <w:t xml:space="preserve"> </w:t>
        </w:r>
        <w:r w:rsidR="00DC674B">
          <w:rPr>
            <w:noProof/>
          </w:rPr>
          <w:tab/>
        </w:r>
        <w:r w:rsidR="00211F14" w:rsidRPr="00C90930">
          <w:rPr>
            <w:rStyle w:val="Hyperlink"/>
            <w:noProof/>
          </w:rPr>
          <w:t xml:space="preserve">Frequências da mutação I86F na subunidade C da enzima succinato desidrogenase em populações de </w:t>
        </w:r>
        <w:r w:rsidR="00211F14" w:rsidRPr="004B0A23">
          <w:rPr>
            <w:rStyle w:val="Hyperlink"/>
            <w:i/>
            <w:noProof/>
          </w:rPr>
          <w:t xml:space="preserve">P. pachyrhizi </w:t>
        </w:r>
        <w:r w:rsidR="00211F14" w:rsidRPr="00C90930">
          <w:rPr>
            <w:rStyle w:val="Hyperlink"/>
            <w:noProof/>
          </w:rPr>
          <w:t>coletadas em locais com altitude entre 401 e 600 m.</w:t>
        </w:r>
        <w:r w:rsidR="00211F14">
          <w:rPr>
            <w:noProof/>
            <w:webHidden/>
          </w:rPr>
          <w:tab/>
        </w:r>
        <w:r w:rsidR="00211F14">
          <w:rPr>
            <w:noProof/>
            <w:webHidden/>
          </w:rPr>
          <w:fldChar w:fldCharType="begin"/>
        </w:r>
        <w:r w:rsidR="00211F14">
          <w:rPr>
            <w:noProof/>
            <w:webHidden/>
          </w:rPr>
          <w:instrText xml:space="preserve"> PAGEREF _Toc16173049 \h </w:instrText>
        </w:r>
        <w:r w:rsidR="00211F14">
          <w:rPr>
            <w:noProof/>
            <w:webHidden/>
          </w:rPr>
        </w:r>
        <w:r w:rsidR="00211F14">
          <w:rPr>
            <w:noProof/>
            <w:webHidden/>
          </w:rPr>
          <w:fldChar w:fldCharType="separate"/>
        </w:r>
        <w:r w:rsidR="00B828CE">
          <w:rPr>
            <w:noProof/>
            <w:webHidden/>
          </w:rPr>
          <w:t>94</w:t>
        </w:r>
        <w:r w:rsidR="00211F14">
          <w:rPr>
            <w:noProof/>
            <w:webHidden/>
          </w:rPr>
          <w:fldChar w:fldCharType="end"/>
        </w:r>
      </w:hyperlink>
    </w:p>
    <w:p w14:paraId="6A12F420" w14:textId="77777777" w:rsidR="00A9406B" w:rsidRPr="00A9406B" w:rsidRDefault="00A9406B" w:rsidP="00A9406B">
      <w:pPr>
        <w:spacing w:after="0" w:line="240" w:lineRule="auto"/>
        <w:rPr>
          <w:noProof/>
        </w:rPr>
      </w:pPr>
    </w:p>
    <w:p w14:paraId="6F61B859" w14:textId="633757E8" w:rsidR="00211F14" w:rsidRDefault="00D00510" w:rsidP="00DF2404">
      <w:pPr>
        <w:pStyle w:val="ndicedeilustraes"/>
        <w:tabs>
          <w:tab w:val="right" w:leader="dot" w:pos="9061"/>
        </w:tabs>
        <w:spacing w:line="240" w:lineRule="auto"/>
        <w:ind w:left="1276" w:hanging="1276"/>
        <w:rPr>
          <w:noProof/>
        </w:rPr>
      </w:pPr>
      <w:hyperlink w:anchor="_Toc16173050" w:history="1">
        <w:r w:rsidR="00211F14" w:rsidRPr="00C90930">
          <w:rPr>
            <w:rStyle w:val="Hyperlink"/>
            <w:noProof/>
          </w:rPr>
          <w:t>Tabela 14</w:t>
        </w:r>
        <w:r w:rsidR="00DC674B">
          <w:rPr>
            <w:rStyle w:val="Hyperlink"/>
            <w:noProof/>
          </w:rPr>
          <w:t xml:space="preserve"> -</w:t>
        </w:r>
        <w:r w:rsidR="00DC674B">
          <w:rPr>
            <w:noProof/>
          </w:rPr>
          <w:t xml:space="preserve"> </w:t>
        </w:r>
        <w:r w:rsidR="00DC674B">
          <w:rPr>
            <w:noProof/>
          </w:rPr>
          <w:tab/>
        </w:r>
        <w:r w:rsidR="00211F14" w:rsidRPr="00C90930">
          <w:rPr>
            <w:rStyle w:val="Hyperlink"/>
            <w:noProof/>
          </w:rPr>
          <w:t xml:space="preserve">Frequências da mutação I86F na subunidade C da enzima succinato desidrogenase em populações de </w:t>
        </w:r>
        <w:r w:rsidR="00211F14" w:rsidRPr="004B0A23">
          <w:rPr>
            <w:rStyle w:val="Hyperlink"/>
            <w:i/>
            <w:noProof/>
          </w:rPr>
          <w:t xml:space="preserve">P. pachyrhizi </w:t>
        </w:r>
        <w:r w:rsidR="00211F14" w:rsidRPr="00C90930">
          <w:rPr>
            <w:rStyle w:val="Hyperlink"/>
            <w:noProof/>
          </w:rPr>
          <w:t>coletadas na região do Alto vale do Itajaí. Lages, 2018.</w:t>
        </w:r>
        <w:r w:rsidR="00211F14">
          <w:rPr>
            <w:noProof/>
            <w:webHidden/>
          </w:rPr>
          <w:tab/>
        </w:r>
        <w:r w:rsidR="00211F14">
          <w:rPr>
            <w:noProof/>
            <w:webHidden/>
          </w:rPr>
          <w:fldChar w:fldCharType="begin"/>
        </w:r>
        <w:r w:rsidR="00211F14">
          <w:rPr>
            <w:noProof/>
            <w:webHidden/>
          </w:rPr>
          <w:instrText xml:space="preserve"> PAGEREF _Toc16173050 \h </w:instrText>
        </w:r>
        <w:r w:rsidR="00211F14">
          <w:rPr>
            <w:noProof/>
            <w:webHidden/>
          </w:rPr>
        </w:r>
        <w:r w:rsidR="00211F14">
          <w:rPr>
            <w:noProof/>
            <w:webHidden/>
          </w:rPr>
          <w:fldChar w:fldCharType="separate"/>
        </w:r>
        <w:r w:rsidR="00B828CE">
          <w:rPr>
            <w:noProof/>
            <w:webHidden/>
          </w:rPr>
          <w:t>95</w:t>
        </w:r>
        <w:r w:rsidR="00211F14">
          <w:rPr>
            <w:noProof/>
            <w:webHidden/>
          </w:rPr>
          <w:fldChar w:fldCharType="end"/>
        </w:r>
      </w:hyperlink>
    </w:p>
    <w:p w14:paraId="58F905C0" w14:textId="77777777" w:rsidR="00A9406B" w:rsidRPr="00A9406B" w:rsidRDefault="00A9406B" w:rsidP="00A9406B">
      <w:pPr>
        <w:spacing w:after="0" w:line="240" w:lineRule="auto"/>
        <w:rPr>
          <w:noProof/>
        </w:rPr>
      </w:pPr>
    </w:p>
    <w:p w14:paraId="12EA2360" w14:textId="3BB8FB4F" w:rsidR="00211F14" w:rsidRDefault="00D00510" w:rsidP="00DF2404">
      <w:pPr>
        <w:pStyle w:val="ndicedeilustraes"/>
        <w:tabs>
          <w:tab w:val="right" w:leader="dot" w:pos="9061"/>
        </w:tabs>
        <w:spacing w:line="240" w:lineRule="auto"/>
        <w:ind w:left="1276" w:hanging="1276"/>
        <w:rPr>
          <w:noProof/>
        </w:rPr>
      </w:pPr>
      <w:hyperlink w:anchor="_Toc16173051" w:history="1">
        <w:r w:rsidR="00211F14" w:rsidRPr="00C90930">
          <w:rPr>
            <w:rStyle w:val="Hyperlink"/>
            <w:noProof/>
          </w:rPr>
          <w:t>Tabela 15</w:t>
        </w:r>
        <w:r w:rsidR="009A0979">
          <w:rPr>
            <w:rStyle w:val="Hyperlink"/>
            <w:noProof/>
          </w:rPr>
          <w:t xml:space="preserve"> -</w:t>
        </w:r>
        <w:r w:rsidR="00DC674B">
          <w:rPr>
            <w:noProof/>
          </w:rPr>
          <w:t xml:space="preserve"> </w:t>
        </w:r>
        <w:r w:rsidR="00DC674B">
          <w:rPr>
            <w:noProof/>
          </w:rPr>
          <w:tab/>
        </w:r>
        <w:r w:rsidR="00211F14" w:rsidRPr="00C90930">
          <w:rPr>
            <w:rStyle w:val="Hyperlink"/>
            <w:noProof/>
          </w:rPr>
          <w:t xml:space="preserve">Frequências da mutação I86F na subunidade C da enzima succinato desidrogenase em populações de </w:t>
        </w:r>
        <w:r w:rsidR="00211F14" w:rsidRPr="004B0A23">
          <w:rPr>
            <w:rStyle w:val="Hyperlink"/>
            <w:i/>
            <w:noProof/>
          </w:rPr>
          <w:t xml:space="preserve">P. pachyrhizi </w:t>
        </w:r>
        <w:r w:rsidR="00211F14" w:rsidRPr="00C90930">
          <w:rPr>
            <w:rStyle w:val="Hyperlink"/>
            <w:noProof/>
          </w:rPr>
          <w:t>coletadas na região do planalto catarinense. Lages, 2018.</w:t>
        </w:r>
        <w:r w:rsidR="00211F14">
          <w:rPr>
            <w:noProof/>
            <w:webHidden/>
          </w:rPr>
          <w:tab/>
        </w:r>
        <w:r w:rsidR="00211F14">
          <w:rPr>
            <w:noProof/>
            <w:webHidden/>
          </w:rPr>
          <w:fldChar w:fldCharType="begin"/>
        </w:r>
        <w:r w:rsidR="00211F14">
          <w:rPr>
            <w:noProof/>
            <w:webHidden/>
          </w:rPr>
          <w:instrText xml:space="preserve"> PAGEREF _Toc16173051 \h </w:instrText>
        </w:r>
        <w:r w:rsidR="00211F14">
          <w:rPr>
            <w:noProof/>
            <w:webHidden/>
          </w:rPr>
        </w:r>
        <w:r w:rsidR="00211F14">
          <w:rPr>
            <w:noProof/>
            <w:webHidden/>
          </w:rPr>
          <w:fldChar w:fldCharType="separate"/>
        </w:r>
        <w:r w:rsidR="00B828CE">
          <w:rPr>
            <w:noProof/>
            <w:webHidden/>
          </w:rPr>
          <w:t>95</w:t>
        </w:r>
        <w:r w:rsidR="00211F14">
          <w:rPr>
            <w:noProof/>
            <w:webHidden/>
          </w:rPr>
          <w:fldChar w:fldCharType="end"/>
        </w:r>
      </w:hyperlink>
    </w:p>
    <w:p w14:paraId="2876D313" w14:textId="77777777" w:rsidR="00A9406B" w:rsidRPr="00A9406B" w:rsidRDefault="00A9406B" w:rsidP="00A9406B">
      <w:pPr>
        <w:spacing w:after="0" w:line="240" w:lineRule="auto"/>
        <w:rPr>
          <w:noProof/>
        </w:rPr>
      </w:pPr>
    </w:p>
    <w:p w14:paraId="3B5BC2DD" w14:textId="55755D72" w:rsidR="00211F14" w:rsidRDefault="00D00510" w:rsidP="00DF2404">
      <w:pPr>
        <w:pStyle w:val="ndicedeilustraes"/>
        <w:tabs>
          <w:tab w:val="right" w:leader="dot" w:pos="9061"/>
        </w:tabs>
        <w:spacing w:line="240" w:lineRule="auto"/>
        <w:ind w:left="1276" w:hanging="1276"/>
        <w:rPr>
          <w:noProof/>
        </w:rPr>
      </w:pPr>
      <w:hyperlink w:anchor="_Toc16173052" w:history="1">
        <w:r w:rsidR="00211F14" w:rsidRPr="00C90930">
          <w:rPr>
            <w:rStyle w:val="Hyperlink"/>
            <w:noProof/>
          </w:rPr>
          <w:t>Tabela 16</w:t>
        </w:r>
        <w:r w:rsidR="00DC674B">
          <w:rPr>
            <w:rStyle w:val="Hyperlink"/>
            <w:noProof/>
          </w:rPr>
          <w:t xml:space="preserve"> -</w:t>
        </w:r>
        <w:r w:rsidR="00DC674B">
          <w:rPr>
            <w:noProof/>
          </w:rPr>
          <w:t xml:space="preserve"> </w:t>
        </w:r>
        <w:r w:rsidR="00DC674B">
          <w:rPr>
            <w:noProof/>
          </w:rPr>
          <w:tab/>
        </w:r>
        <w:r w:rsidR="00211F14" w:rsidRPr="00C90930">
          <w:rPr>
            <w:rStyle w:val="Hyperlink"/>
            <w:noProof/>
          </w:rPr>
          <w:t xml:space="preserve">Frequências da mutação I86F na subunidade C da enzima succinato desidrogenase em populações de </w:t>
        </w:r>
        <w:r w:rsidR="00211F14" w:rsidRPr="00C90930">
          <w:rPr>
            <w:rStyle w:val="Hyperlink"/>
            <w:i/>
            <w:noProof/>
          </w:rPr>
          <w:t>P. pachyrhizi</w:t>
        </w:r>
        <w:r w:rsidR="00211F14" w:rsidRPr="00C90930">
          <w:rPr>
            <w:rStyle w:val="Hyperlink"/>
            <w:noProof/>
          </w:rPr>
          <w:t xml:space="preserve"> coletadas na região oeste. Lages, SC.</w:t>
        </w:r>
        <w:r w:rsidR="00211F14">
          <w:rPr>
            <w:noProof/>
            <w:webHidden/>
          </w:rPr>
          <w:tab/>
        </w:r>
        <w:r w:rsidR="00211F14">
          <w:rPr>
            <w:noProof/>
            <w:webHidden/>
          </w:rPr>
          <w:fldChar w:fldCharType="begin"/>
        </w:r>
        <w:r w:rsidR="00211F14">
          <w:rPr>
            <w:noProof/>
            <w:webHidden/>
          </w:rPr>
          <w:instrText xml:space="preserve"> PAGEREF _Toc16173052 \h </w:instrText>
        </w:r>
        <w:r w:rsidR="00211F14">
          <w:rPr>
            <w:noProof/>
            <w:webHidden/>
          </w:rPr>
        </w:r>
        <w:r w:rsidR="00211F14">
          <w:rPr>
            <w:noProof/>
            <w:webHidden/>
          </w:rPr>
          <w:fldChar w:fldCharType="separate"/>
        </w:r>
        <w:r w:rsidR="00B828CE">
          <w:rPr>
            <w:noProof/>
            <w:webHidden/>
          </w:rPr>
          <w:t>96</w:t>
        </w:r>
        <w:r w:rsidR="00211F14">
          <w:rPr>
            <w:noProof/>
            <w:webHidden/>
          </w:rPr>
          <w:fldChar w:fldCharType="end"/>
        </w:r>
      </w:hyperlink>
    </w:p>
    <w:p w14:paraId="4D7A1704" w14:textId="77777777" w:rsidR="00A9406B" w:rsidRPr="00A9406B" w:rsidRDefault="00A9406B" w:rsidP="009449F7">
      <w:pPr>
        <w:spacing w:after="0" w:line="240" w:lineRule="auto"/>
        <w:rPr>
          <w:noProof/>
        </w:rPr>
      </w:pPr>
    </w:p>
    <w:p w14:paraId="4A4F5979" w14:textId="08EBDF87" w:rsidR="00211F14" w:rsidRDefault="00D00510" w:rsidP="00DF2404">
      <w:pPr>
        <w:pStyle w:val="ndicedeilustraes"/>
        <w:tabs>
          <w:tab w:val="right" w:leader="dot" w:pos="9061"/>
        </w:tabs>
        <w:spacing w:line="240" w:lineRule="auto"/>
        <w:ind w:left="1276" w:hanging="1276"/>
        <w:rPr>
          <w:noProof/>
        </w:rPr>
      </w:pPr>
      <w:hyperlink w:anchor="_Toc16173053" w:history="1">
        <w:r w:rsidR="00211F14" w:rsidRPr="00C90930">
          <w:rPr>
            <w:rStyle w:val="Hyperlink"/>
            <w:noProof/>
          </w:rPr>
          <w:t>Tabela 17</w:t>
        </w:r>
        <w:r w:rsidR="00DC674B">
          <w:rPr>
            <w:rStyle w:val="Hyperlink"/>
            <w:noProof/>
          </w:rPr>
          <w:t xml:space="preserve"> - </w:t>
        </w:r>
        <w:r w:rsidR="00DC674B" w:rsidRPr="00DC674B">
          <w:rPr>
            <w:rStyle w:val="Hyperlink"/>
            <w:noProof/>
          </w:rPr>
          <w:tab/>
        </w:r>
        <w:r w:rsidR="00211F14" w:rsidRPr="00C90930">
          <w:rPr>
            <w:rStyle w:val="Hyperlink"/>
            <w:noProof/>
          </w:rPr>
          <w:t xml:space="preserve">Frequências da mutação I86F na subunidade C da enzima succinato desidrogenase em populações de </w:t>
        </w:r>
        <w:r w:rsidR="00211F14" w:rsidRPr="004B0A23">
          <w:rPr>
            <w:rStyle w:val="Hyperlink"/>
            <w:i/>
            <w:noProof/>
          </w:rPr>
          <w:t xml:space="preserve">P. pachyrhizi </w:t>
        </w:r>
        <w:r w:rsidR="00211F14" w:rsidRPr="00C90930">
          <w:rPr>
            <w:rStyle w:val="Hyperlink"/>
            <w:noProof/>
          </w:rPr>
          <w:t>coletadas na região extremo oeste. Lages, 2018.</w:t>
        </w:r>
        <w:r w:rsidR="00211F14">
          <w:rPr>
            <w:noProof/>
            <w:webHidden/>
          </w:rPr>
          <w:tab/>
        </w:r>
        <w:r w:rsidR="00211F14">
          <w:rPr>
            <w:noProof/>
            <w:webHidden/>
          </w:rPr>
          <w:fldChar w:fldCharType="begin"/>
        </w:r>
        <w:r w:rsidR="00211F14">
          <w:rPr>
            <w:noProof/>
            <w:webHidden/>
          </w:rPr>
          <w:instrText xml:space="preserve"> PAGEREF _Toc16173053 \h </w:instrText>
        </w:r>
        <w:r w:rsidR="00211F14">
          <w:rPr>
            <w:noProof/>
            <w:webHidden/>
          </w:rPr>
        </w:r>
        <w:r w:rsidR="00211F14">
          <w:rPr>
            <w:noProof/>
            <w:webHidden/>
          </w:rPr>
          <w:fldChar w:fldCharType="separate"/>
        </w:r>
        <w:r w:rsidR="00B828CE">
          <w:rPr>
            <w:noProof/>
            <w:webHidden/>
          </w:rPr>
          <w:t>96</w:t>
        </w:r>
        <w:r w:rsidR="00211F14">
          <w:rPr>
            <w:noProof/>
            <w:webHidden/>
          </w:rPr>
          <w:fldChar w:fldCharType="end"/>
        </w:r>
      </w:hyperlink>
    </w:p>
    <w:p w14:paraId="781B5013" w14:textId="77777777" w:rsidR="009449F7" w:rsidRPr="009449F7" w:rsidRDefault="009449F7" w:rsidP="009449F7">
      <w:pPr>
        <w:spacing w:after="0" w:line="240" w:lineRule="auto"/>
        <w:rPr>
          <w:noProof/>
        </w:rPr>
      </w:pPr>
    </w:p>
    <w:p w14:paraId="612851D8" w14:textId="625F6909" w:rsidR="00211F14" w:rsidRDefault="00D00510" w:rsidP="00DF2404">
      <w:pPr>
        <w:pStyle w:val="ndicedeilustraes"/>
        <w:tabs>
          <w:tab w:val="right" w:leader="dot" w:pos="9061"/>
        </w:tabs>
        <w:spacing w:line="240" w:lineRule="auto"/>
        <w:ind w:left="1276" w:hanging="1276"/>
        <w:rPr>
          <w:noProof/>
        </w:rPr>
      </w:pPr>
      <w:hyperlink w:anchor="_Toc16173054" w:history="1">
        <w:r w:rsidR="00211F14" w:rsidRPr="00C90930">
          <w:rPr>
            <w:rStyle w:val="Hyperlink"/>
            <w:noProof/>
          </w:rPr>
          <w:t>Tabela 18</w:t>
        </w:r>
        <w:r w:rsidR="00DC674B">
          <w:rPr>
            <w:rStyle w:val="Hyperlink"/>
            <w:noProof/>
          </w:rPr>
          <w:t xml:space="preserve"> -</w:t>
        </w:r>
        <w:r w:rsidR="00DC674B" w:rsidRPr="00DC674B">
          <w:rPr>
            <w:rStyle w:val="Hyperlink"/>
            <w:noProof/>
          </w:rPr>
          <w:tab/>
        </w:r>
        <w:r w:rsidR="00DC674B">
          <w:rPr>
            <w:rStyle w:val="Hyperlink"/>
            <w:noProof/>
          </w:rPr>
          <w:t xml:space="preserve"> </w:t>
        </w:r>
        <w:r w:rsidR="00211F14" w:rsidRPr="00C90930">
          <w:rPr>
            <w:rStyle w:val="Hyperlink"/>
            <w:noProof/>
          </w:rPr>
          <w:t xml:space="preserve">Frequência da mutação I86F em populações de </w:t>
        </w:r>
        <w:r w:rsidR="00211F14" w:rsidRPr="00C90930">
          <w:rPr>
            <w:rStyle w:val="Hyperlink"/>
            <w:i/>
            <w:noProof/>
          </w:rPr>
          <w:t>P. pachyrhizi</w:t>
        </w:r>
        <w:r w:rsidR="00211F14" w:rsidRPr="00C90930">
          <w:rPr>
            <w:rStyle w:val="Hyperlink"/>
            <w:noProof/>
          </w:rPr>
          <w:t xml:space="preserve"> submetidas a diferentes programas de aplicação de fungicidas, coletadas aos 14, 28, 42 e 56 dias após a detecção do fungo. Lages, 2019.</w:t>
        </w:r>
        <w:r w:rsidR="00211F14">
          <w:rPr>
            <w:noProof/>
            <w:webHidden/>
          </w:rPr>
          <w:tab/>
        </w:r>
        <w:r w:rsidR="00211F14">
          <w:rPr>
            <w:noProof/>
            <w:webHidden/>
          </w:rPr>
          <w:fldChar w:fldCharType="begin"/>
        </w:r>
        <w:r w:rsidR="00211F14">
          <w:rPr>
            <w:noProof/>
            <w:webHidden/>
          </w:rPr>
          <w:instrText xml:space="preserve"> PAGEREF _Toc16173054 \h </w:instrText>
        </w:r>
        <w:r w:rsidR="00211F14">
          <w:rPr>
            <w:noProof/>
            <w:webHidden/>
          </w:rPr>
        </w:r>
        <w:r w:rsidR="00211F14">
          <w:rPr>
            <w:noProof/>
            <w:webHidden/>
          </w:rPr>
          <w:fldChar w:fldCharType="separate"/>
        </w:r>
        <w:r w:rsidR="00B828CE">
          <w:rPr>
            <w:noProof/>
            <w:webHidden/>
          </w:rPr>
          <w:t>108</w:t>
        </w:r>
        <w:r w:rsidR="00211F14">
          <w:rPr>
            <w:noProof/>
            <w:webHidden/>
          </w:rPr>
          <w:fldChar w:fldCharType="end"/>
        </w:r>
      </w:hyperlink>
    </w:p>
    <w:p w14:paraId="5AA27F78" w14:textId="77777777" w:rsidR="009449F7" w:rsidRPr="009449F7" w:rsidRDefault="009449F7" w:rsidP="009449F7">
      <w:pPr>
        <w:spacing w:after="0" w:line="240" w:lineRule="auto"/>
        <w:rPr>
          <w:noProof/>
        </w:rPr>
      </w:pPr>
    </w:p>
    <w:p w14:paraId="62D8B1F8" w14:textId="0FF1F392" w:rsidR="00211F14" w:rsidRDefault="00D00510" w:rsidP="00DF2404">
      <w:pPr>
        <w:pStyle w:val="ndicedeilustraes"/>
        <w:tabs>
          <w:tab w:val="right" w:leader="dot" w:pos="9061"/>
        </w:tabs>
        <w:spacing w:line="240" w:lineRule="auto"/>
        <w:ind w:left="1276" w:hanging="1276"/>
        <w:rPr>
          <w:noProof/>
        </w:rPr>
      </w:pPr>
      <w:hyperlink w:anchor="_Toc16173055" w:history="1">
        <w:r w:rsidR="00211F14" w:rsidRPr="00C90930">
          <w:rPr>
            <w:rStyle w:val="Hyperlink"/>
            <w:noProof/>
          </w:rPr>
          <w:t>Tabela 19</w:t>
        </w:r>
        <w:r w:rsidR="00DC674B">
          <w:rPr>
            <w:rStyle w:val="Hyperlink"/>
            <w:noProof/>
          </w:rPr>
          <w:t xml:space="preserve"> - </w:t>
        </w:r>
        <w:r w:rsidR="00DC674B" w:rsidRPr="00DC674B">
          <w:rPr>
            <w:rStyle w:val="Hyperlink"/>
            <w:noProof/>
          </w:rPr>
          <w:tab/>
        </w:r>
        <w:r w:rsidR="00211F14" w:rsidRPr="00C90930">
          <w:rPr>
            <w:rStyle w:val="Hyperlink"/>
            <w:noProof/>
          </w:rPr>
          <w:t xml:space="preserve">Frequência da mutação I86F em populações de </w:t>
        </w:r>
        <w:r w:rsidR="00211F14" w:rsidRPr="004B0A23">
          <w:rPr>
            <w:rStyle w:val="Hyperlink"/>
            <w:i/>
            <w:noProof/>
          </w:rPr>
          <w:t xml:space="preserve">P. pachyrhizi </w:t>
        </w:r>
        <w:r w:rsidR="00211F14" w:rsidRPr="00C90930">
          <w:rPr>
            <w:rStyle w:val="Hyperlink"/>
            <w:noProof/>
          </w:rPr>
          <w:t>submetidas a diferentes programas de aplicação de fungicidas no cultivar TMG 7262RR, coletadas aos 17, 35 e 52 dias após a detecção do fungo (DAP0). Lages, 2019.</w:t>
        </w:r>
        <w:r w:rsidR="00211F14">
          <w:rPr>
            <w:noProof/>
            <w:webHidden/>
          </w:rPr>
          <w:tab/>
        </w:r>
        <w:r w:rsidR="00211F14">
          <w:rPr>
            <w:noProof/>
            <w:webHidden/>
          </w:rPr>
          <w:fldChar w:fldCharType="begin"/>
        </w:r>
        <w:r w:rsidR="00211F14">
          <w:rPr>
            <w:noProof/>
            <w:webHidden/>
          </w:rPr>
          <w:instrText xml:space="preserve"> PAGEREF _Toc16173055 \h </w:instrText>
        </w:r>
        <w:r w:rsidR="00211F14">
          <w:rPr>
            <w:noProof/>
            <w:webHidden/>
          </w:rPr>
        </w:r>
        <w:r w:rsidR="00211F14">
          <w:rPr>
            <w:noProof/>
            <w:webHidden/>
          </w:rPr>
          <w:fldChar w:fldCharType="separate"/>
        </w:r>
        <w:r w:rsidR="00B828CE">
          <w:rPr>
            <w:noProof/>
            <w:webHidden/>
          </w:rPr>
          <w:t>110</w:t>
        </w:r>
        <w:r w:rsidR="00211F14">
          <w:rPr>
            <w:noProof/>
            <w:webHidden/>
          </w:rPr>
          <w:fldChar w:fldCharType="end"/>
        </w:r>
      </w:hyperlink>
    </w:p>
    <w:p w14:paraId="370A120C" w14:textId="77777777" w:rsidR="009449F7" w:rsidRPr="009449F7" w:rsidRDefault="009449F7" w:rsidP="009449F7">
      <w:pPr>
        <w:spacing w:after="0" w:line="240" w:lineRule="auto"/>
        <w:rPr>
          <w:noProof/>
        </w:rPr>
      </w:pPr>
    </w:p>
    <w:p w14:paraId="2E306384" w14:textId="0BADECA1" w:rsidR="00211F14" w:rsidRDefault="00D00510" w:rsidP="00DF2404">
      <w:pPr>
        <w:pStyle w:val="ndicedeilustraes"/>
        <w:tabs>
          <w:tab w:val="right" w:leader="dot" w:pos="9061"/>
        </w:tabs>
        <w:spacing w:line="240" w:lineRule="auto"/>
        <w:ind w:left="1276" w:hanging="1276"/>
        <w:rPr>
          <w:noProof/>
        </w:rPr>
      </w:pPr>
      <w:hyperlink w:anchor="_Toc16173056" w:history="1">
        <w:r w:rsidR="00211F14" w:rsidRPr="00C90930">
          <w:rPr>
            <w:rStyle w:val="Hyperlink"/>
            <w:noProof/>
          </w:rPr>
          <w:t>Tabela 20</w:t>
        </w:r>
        <w:r w:rsidR="00DC674B">
          <w:rPr>
            <w:rStyle w:val="Hyperlink"/>
            <w:noProof/>
          </w:rPr>
          <w:t xml:space="preserve"> - </w:t>
        </w:r>
        <w:r w:rsidR="00DC674B" w:rsidRPr="00DC674B">
          <w:rPr>
            <w:rStyle w:val="Hyperlink"/>
            <w:noProof/>
          </w:rPr>
          <w:tab/>
        </w:r>
        <w:r w:rsidR="00211F14" w:rsidRPr="00C90930">
          <w:rPr>
            <w:rStyle w:val="Hyperlink"/>
            <w:noProof/>
          </w:rPr>
          <w:t xml:space="preserve">Frequência da mutação I86F em populações de </w:t>
        </w:r>
        <w:r w:rsidR="00211F14" w:rsidRPr="004B0A23">
          <w:rPr>
            <w:rStyle w:val="Hyperlink"/>
            <w:i/>
            <w:noProof/>
          </w:rPr>
          <w:t xml:space="preserve">P. pachyrhizi </w:t>
        </w:r>
        <w:r w:rsidR="00211F14" w:rsidRPr="00C90930">
          <w:rPr>
            <w:rStyle w:val="Hyperlink"/>
            <w:noProof/>
          </w:rPr>
          <w:t>submetidas a diferentes programas de aplicação de fungicidas no cultivar BMX Lança IPRO, coletadas aos 17, 35 e 52 dias após a detecção do fungo (DAP0). Lages, 2019.</w:t>
        </w:r>
        <w:r w:rsidR="00211F14">
          <w:rPr>
            <w:noProof/>
            <w:webHidden/>
          </w:rPr>
          <w:tab/>
        </w:r>
        <w:r w:rsidR="00211F14">
          <w:rPr>
            <w:noProof/>
            <w:webHidden/>
          </w:rPr>
          <w:fldChar w:fldCharType="begin"/>
        </w:r>
        <w:r w:rsidR="00211F14">
          <w:rPr>
            <w:noProof/>
            <w:webHidden/>
          </w:rPr>
          <w:instrText xml:space="preserve"> PAGEREF _Toc16173056 \h </w:instrText>
        </w:r>
        <w:r w:rsidR="00211F14">
          <w:rPr>
            <w:noProof/>
            <w:webHidden/>
          </w:rPr>
        </w:r>
        <w:r w:rsidR="00211F14">
          <w:rPr>
            <w:noProof/>
            <w:webHidden/>
          </w:rPr>
          <w:fldChar w:fldCharType="separate"/>
        </w:r>
        <w:r w:rsidR="00B828CE">
          <w:rPr>
            <w:noProof/>
            <w:webHidden/>
          </w:rPr>
          <w:t>112</w:t>
        </w:r>
        <w:r w:rsidR="00211F14">
          <w:rPr>
            <w:noProof/>
            <w:webHidden/>
          </w:rPr>
          <w:fldChar w:fldCharType="end"/>
        </w:r>
      </w:hyperlink>
    </w:p>
    <w:p w14:paraId="029D3423" w14:textId="77777777" w:rsidR="009449F7" w:rsidRPr="009449F7" w:rsidRDefault="009449F7" w:rsidP="009449F7">
      <w:pPr>
        <w:spacing w:after="0" w:line="240" w:lineRule="auto"/>
        <w:rPr>
          <w:noProof/>
        </w:rPr>
      </w:pPr>
    </w:p>
    <w:p w14:paraId="1166926D" w14:textId="167ADF39" w:rsidR="00211F14" w:rsidRDefault="00D00510" w:rsidP="009449F7">
      <w:pPr>
        <w:pStyle w:val="ndicedeilustraes"/>
        <w:tabs>
          <w:tab w:val="right" w:leader="dot" w:pos="9061"/>
        </w:tabs>
        <w:spacing w:after="0" w:line="240" w:lineRule="auto"/>
        <w:ind w:left="1276" w:hanging="1276"/>
        <w:rPr>
          <w:rFonts w:asciiTheme="minorHAnsi" w:eastAsiaTheme="minorEastAsia" w:hAnsiTheme="minorHAnsi" w:cstheme="minorBidi"/>
          <w:noProof/>
          <w:sz w:val="22"/>
          <w:szCs w:val="22"/>
          <w:lang w:eastAsia="pt-BR"/>
        </w:rPr>
      </w:pPr>
      <w:hyperlink w:anchor="_Toc16173057" w:history="1">
        <w:r w:rsidR="00211F14" w:rsidRPr="00C90930">
          <w:rPr>
            <w:rStyle w:val="Hyperlink"/>
            <w:noProof/>
          </w:rPr>
          <w:t>Tabela 21</w:t>
        </w:r>
        <w:r w:rsidR="00DC674B">
          <w:rPr>
            <w:rStyle w:val="Hyperlink"/>
            <w:noProof/>
          </w:rPr>
          <w:t xml:space="preserve"> - </w:t>
        </w:r>
        <w:r w:rsidR="00DC674B" w:rsidRPr="00DC674B">
          <w:rPr>
            <w:rStyle w:val="Hyperlink"/>
            <w:noProof/>
          </w:rPr>
          <w:tab/>
        </w:r>
        <w:r w:rsidR="00211F14" w:rsidRPr="00C90930">
          <w:rPr>
            <w:rStyle w:val="Hyperlink"/>
            <w:noProof/>
          </w:rPr>
          <w:t xml:space="preserve">Frequência da mutação I86F em populações de </w:t>
        </w:r>
        <w:r w:rsidR="00211F14" w:rsidRPr="004B0A23">
          <w:rPr>
            <w:rStyle w:val="Hyperlink"/>
            <w:i/>
            <w:noProof/>
          </w:rPr>
          <w:t xml:space="preserve">P. pachyrhizi </w:t>
        </w:r>
        <w:r w:rsidR="00211F14" w:rsidRPr="00C90930">
          <w:rPr>
            <w:rStyle w:val="Hyperlink"/>
            <w:noProof/>
          </w:rPr>
          <w:t>submetidas a diferentes misturas de fungicidas no cultivar BMX Lança IPRO, coletadas aos 14, 28 e 42 dias após a detecção do fungo (DAP0). Lages, 2019.</w:t>
        </w:r>
        <w:r w:rsidR="00211F14">
          <w:rPr>
            <w:noProof/>
            <w:webHidden/>
          </w:rPr>
          <w:tab/>
        </w:r>
        <w:r w:rsidR="00211F14">
          <w:rPr>
            <w:noProof/>
            <w:webHidden/>
          </w:rPr>
          <w:fldChar w:fldCharType="begin"/>
        </w:r>
        <w:r w:rsidR="00211F14">
          <w:rPr>
            <w:noProof/>
            <w:webHidden/>
          </w:rPr>
          <w:instrText xml:space="preserve"> PAGEREF _Toc16173057 \h </w:instrText>
        </w:r>
        <w:r w:rsidR="00211F14">
          <w:rPr>
            <w:noProof/>
            <w:webHidden/>
          </w:rPr>
        </w:r>
        <w:r w:rsidR="00211F14">
          <w:rPr>
            <w:noProof/>
            <w:webHidden/>
          </w:rPr>
          <w:fldChar w:fldCharType="separate"/>
        </w:r>
        <w:r w:rsidR="00B828CE">
          <w:rPr>
            <w:noProof/>
            <w:webHidden/>
          </w:rPr>
          <w:t>113</w:t>
        </w:r>
        <w:r w:rsidR="00211F14">
          <w:rPr>
            <w:noProof/>
            <w:webHidden/>
          </w:rPr>
          <w:fldChar w:fldCharType="end"/>
        </w:r>
      </w:hyperlink>
    </w:p>
    <w:p w14:paraId="2608BFCC" w14:textId="48FA26EF" w:rsidR="00475AAF" w:rsidRPr="00475AAF" w:rsidRDefault="00475AAF" w:rsidP="00037036">
      <w:pPr>
        <w:ind w:firstLine="0"/>
        <w:rPr>
          <w:b/>
        </w:rPr>
      </w:pPr>
      <w:r>
        <w:rPr>
          <w:b/>
        </w:rPr>
        <w:fldChar w:fldCharType="end"/>
      </w:r>
    </w:p>
    <w:p w14:paraId="28B7EBC5" w14:textId="32DC9E6A" w:rsidR="00E33AC6" w:rsidRDefault="00E33AC6" w:rsidP="00037036">
      <w:pPr>
        <w:ind w:firstLine="0"/>
        <w:rPr>
          <w:highlight w:val="yellow"/>
        </w:rPr>
      </w:pPr>
    </w:p>
    <w:p w14:paraId="54B6102D" w14:textId="6797715D" w:rsidR="00E33AC6" w:rsidRDefault="00E33AC6" w:rsidP="00037036">
      <w:pPr>
        <w:ind w:firstLine="0"/>
        <w:rPr>
          <w:highlight w:val="yellow"/>
        </w:rPr>
      </w:pPr>
    </w:p>
    <w:p w14:paraId="37E4EB3B" w14:textId="6421063B" w:rsidR="00E33AC6" w:rsidRDefault="00E33AC6" w:rsidP="0005468C">
      <w:pPr>
        <w:rPr>
          <w:highlight w:val="yellow"/>
        </w:rPr>
      </w:pPr>
    </w:p>
    <w:p w14:paraId="61F8F06E" w14:textId="262C947D" w:rsidR="00E33AC6" w:rsidRDefault="00E33AC6" w:rsidP="0005468C">
      <w:pPr>
        <w:rPr>
          <w:highlight w:val="yellow"/>
        </w:rPr>
      </w:pPr>
    </w:p>
    <w:p w14:paraId="174941CD" w14:textId="706E0666" w:rsidR="00E33AC6" w:rsidRDefault="00E33AC6" w:rsidP="0005468C">
      <w:pPr>
        <w:rPr>
          <w:highlight w:val="yellow"/>
        </w:rPr>
      </w:pPr>
    </w:p>
    <w:p w14:paraId="47F86859" w14:textId="1FC7EA63" w:rsidR="00E33AC6" w:rsidRDefault="00E33AC6" w:rsidP="0005468C">
      <w:pPr>
        <w:rPr>
          <w:highlight w:val="yellow"/>
        </w:rPr>
      </w:pPr>
    </w:p>
    <w:p w14:paraId="53779974" w14:textId="2E46C78A" w:rsidR="00E33AC6" w:rsidRDefault="00E33AC6" w:rsidP="0005468C">
      <w:pPr>
        <w:rPr>
          <w:highlight w:val="yellow"/>
        </w:rPr>
      </w:pPr>
    </w:p>
    <w:p w14:paraId="6C61CF26" w14:textId="7F54D2B9" w:rsidR="00E33AC6" w:rsidRDefault="00E33AC6" w:rsidP="0005468C">
      <w:pPr>
        <w:rPr>
          <w:highlight w:val="yellow"/>
        </w:rPr>
      </w:pPr>
    </w:p>
    <w:p w14:paraId="7424EF07" w14:textId="47F2C811" w:rsidR="00E33AC6" w:rsidRDefault="00E33AC6" w:rsidP="00230C2A">
      <w:pPr>
        <w:jc w:val="right"/>
        <w:rPr>
          <w:highlight w:val="yellow"/>
        </w:rPr>
      </w:pPr>
    </w:p>
    <w:p w14:paraId="47F21D00" w14:textId="2E4F6743" w:rsidR="00E33AC6" w:rsidRDefault="00E33AC6" w:rsidP="0005468C">
      <w:pPr>
        <w:rPr>
          <w:highlight w:val="yellow"/>
        </w:rPr>
      </w:pPr>
    </w:p>
    <w:p w14:paraId="37393C26" w14:textId="29C54A3C" w:rsidR="00E33AC6" w:rsidRDefault="00E33AC6" w:rsidP="0005468C">
      <w:pPr>
        <w:rPr>
          <w:highlight w:val="yellow"/>
        </w:rPr>
      </w:pPr>
    </w:p>
    <w:p w14:paraId="10BD9DC4" w14:textId="555A23FF" w:rsidR="00E33AC6" w:rsidRDefault="00E33AC6" w:rsidP="0005468C">
      <w:pPr>
        <w:rPr>
          <w:highlight w:val="yellow"/>
        </w:rPr>
      </w:pPr>
    </w:p>
    <w:p w14:paraId="7E23C586" w14:textId="3D5DA85B" w:rsidR="00E33AC6" w:rsidRDefault="00E33AC6" w:rsidP="0005468C">
      <w:pPr>
        <w:rPr>
          <w:highlight w:val="yellow"/>
        </w:rPr>
      </w:pPr>
    </w:p>
    <w:p w14:paraId="4D107C81" w14:textId="0C854BB7" w:rsidR="00E33AC6" w:rsidRDefault="00E33AC6" w:rsidP="0005468C">
      <w:pPr>
        <w:rPr>
          <w:highlight w:val="yellow"/>
        </w:rPr>
      </w:pPr>
    </w:p>
    <w:p w14:paraId="70B65FB4" w14:textId="1F826D63" w:rsidR="00E33AC6" w:rsidRDefault="00E33AC6" w:rsidP="0005468C">
      <w:pPr>
        <w:rPr>
          <w:highlight w:val="yellow"/>
        </w:rPr>
      </w:pPr>
    </w:p>
    <w:p w14:paraId="69AB1F24" w14:textId="64D6A069" w:rsidR="00E33AC6" w:rsidRDefault="00E33AC6" w:rsidP="0005468C">
      <w:pPr>
        <w:rPr>
          <w:highlight w:val="yellow"/>
        </w:rPr>
      </w:pPr>
    </w:p>
    <w:p w14:paraId="18D4D169" w14:textId="377266E3" w:rsidR="00E33AC6" w:rsidRDefault="00E33AC6" w:rsidP="0005468C">
      <w:pPr>
        <w:rPr>
          <w:highlight w:val="yellow"/>
        </w:rPr>
      </w:pPr>
    </w:p>
    <w:p w14:paraId="3AE1DFB7" w14:textId="065053BD" w:rsidR="00E33AC6" w:rsidRDefault="00E33AC6" w:rsidP="0005468C">
      <w:pPr>
        <w:rPr>
          <w:highlight w:val="yellow"/>
        </w:rPr>
      </w:pPr>
    </w:p>
    <w:p w14:paraId="52A92E7C" w14:textId="3F69270F" w:rsidR="00E33AC6" w:rsidRDefault="00E33AC6" w:rsidP="0005468C">
      <w:pPr>
        <w:rPr>
          <w:highlight w:val="yellow"/>
        </w:rPr>
      </w:pPr>
    </w:p>
    <w:p w14:paraId="400C4663" w14:textId="31F518EF" w:rsidR="00E33AC6" w:rsidRDefault="00E33AC6" w:rsidP="0005468C">
      <w:pPr>
        <w:rPr>
          <w:highlight w:val="yellow"/>
        </w:rPr>
      </w:pPr>
    </w:p>
    <w:p w14:paraId="19990F20" w14:textId="0DDACBCD" w:rsidR="004A48E5" w:rsidRDefault="004A48E5" w:rsidP="002A5C06">
      <w:pPr>
        <w:pStyle w:val="Sumrio1"/>
      </w:pPr>
      <w:r w:rsidRPr="004A48E5">
        <w:t>SUMÁRIO</w:t>
      </w:r>
    </w:p>
    <w:p w14:paraId="1DC9203C" w14:textId="77777777" w:rsidR="002A5C06" w:rsidRPr="002A5C06" w:rsidRDefault="002A5C06" w:rsidP="002A5C06">
      <w:pPr>
        <w:spacing w:after="0" w:line="360" w:lineRule="auto"/>
      </w:pPr>
    </w:p>
    <w:p w14:paraId="3DB34470" w14:textId="5933F10B" w:rsidR="000309E7" w:rsidRDefault="00BC7DEC">
      <w:pPr>
        <w:pStyle w:val="Sumrio1"/>
        <w:rPr>
          <w:rFonts w:asciiTheme="minorHAnsi" w:eastAsiaTheme="minorEastAsia" w:hAnsiTheme="minorHAnsi" w:cstheme="minorBidi"/>
          <w:b w:val="0"/>
          <w:sz w:val="22"/>
          <w:szCs w:val="22"/>
          <w:lang w:eastAsia="pt-BR"/>
        </w:rPr>
      </w:pPr>
      <w:r>
        <w:fldChar w:fldCharType="begin"/>
      </w:r>
      <w:r>
        <w:instrText xml:space="preserve"> TOC \o "1-7" \h \z \u </w:instrText>
      </w:r>
      <w:r>
        <w:fldChar w:fldCharType="separate"/>
      </w:r>
      <w:hyperlink w:anchor="_Toc22568213" w:history="1">
        <w:r w:rsidR="000309E7" w:rsidRPr="00B41BD8">
          <w:rPr>
            <w:rStyle w:val="Hyperlink"/>
          </w:rPr>
          <w:t>1 INTRODUÇÃO</w:t>
        </w:r>
        <w:r w:rsidR="000309E7">
          <w:rPr>
            <w:webHidden/>
          </w:rPr>
          <w:tab/>
        </w:r>
        <w:r w:rsidR="000309E7">
          <w:rPr>
            <w:webHidden/>
          </w:rPr>
          <w:fldChar w:fldCharType="begin"/>
        </w:r>
        <w:r w:rsidR="000309E7">
          <w:rPr>
            <w:webHidden/>
          </w:rPr>
          <w:instrText xml:space="preserve"> PAGEREF _Toc22568213 \h </w:instrText>
        </w:r>
        <w:r w:rsidR="000309E7">
          <w:rPr>
            <w:webHidden/>
          </w:rPr>
        </w:r>
        <w:r w:rsidR="000309E7">
          <w:rPr>
            <w:webHidden/>
          </w:rPr>
          <w:fldChar w:fldCharType="separate"/>
        </w:r>
        <w:r w:rsidR="000309E7">
          <w:rPr>
            <w:webHidden/>
          </w:rPr>
          <w:t>25</w:t>
        </w:r>
        <w:r w:rsidR="000309E7">
          <w:rPr>
            <w:webHidden/>
          </w:rPr>
          <w:fldChar w:fldCharType="end"/>
        </w:r>
      </w:hyperlink>
    </w:p>
    <w:p w14:paraId="21555BD9" w14:textId="016E31AC" w:rsidR="000309E7" w:rsidRDefault="00D00510">
      <w:pPr>
        <w:pStyle w:val="Sumrio1"/>
        <w:rPr>
          <w:rFonts w:asciiTheme="minorHAnsi" w:eastAsiaTheme="minorEastAsia" w:hAnsiTheme="minorHAnsi" w:cstheme="minorBidi"/>
          <w:b w:val="0"/>
          <w:sz w:val="22"/>
          <w:szCs w:val="22"/>
          <w:lang w:eastAsia="pt-BR"/>
        </w:rPr>
      </w:pPr>
      <w:hyperlink w:anchor="_Toc22568214" w:history="1">
        <w:r w:rsidR="000309E7" w:rsidRPr="00B41BD8">
          <w:rPr>
            <w:rStyle w:val="Hyperlink"/>
          </w:rPr>
          <w:t>2 FERRUGEM ASIÁTICA DA SOJA (FAS)</w:t>
        </w:r>
        <w:r w:rsidR="000309E7">
          <w:rPr>
            <w:webHidden/>
          </w:rPr>
          <w:tab/>
        </w:r>
        <w:r w:rsidR="000309E7">
          <w:rPr>
            <w:webHidden/>
          </w:rPr>
          <w:fldChar w:fldCharType="begin"/>
        </w:r>
        <w:r w:rsidR="000309E7">
          <w:rPr>
            <w:webHidden/>
          </w:rPr>
          <w:instrText xml:space="preserve"> PAGEREF _Toc22568214 \h </w:instrText>
        </w:r>
        <w:r w:rsidR="000309E7">
          <w:rPr>
            <w:webHidden/>
          </w:rPr>
        </w:r>
        <w:r w:rsidR="000309E7">
          <w:rPr>
            <w:webHidden/>
          </w:rPr>
          <w:fldChar w:fldCharType="separate"/>
        </w:r>
        <w:r w:rsidR="000309E7">
          <w:rPr>
            <w:webHidden/>
          </w:rPr>
          <w:t>28</w:t>
        </w:r>
        <w:r w:rsidR="000309E7">
          <w:rPr>
            <w:webHidden/>
          </w:rPr>
          <w:fldChar w:fldCharType="end"/>
        </w:r>
      </w:hyperlink>
    </w:p>
    <w:p w14:paraId="62B16188" w14:textId="052E3838" w:rsidR="000309E7" w:rsidRDefault="00D00510">
      <w:pPr>
        <w:pStyle w:val="Sumrio2"/>
        <w:rPr>
          <w:rFonts w:asciiTheme="minorHAnsi" w:eastAsiaTheme="minorEastAsia" w:hAnsiTheme="minorHAnsi" w:cstheme="minorBidi"/>
          <w:noProof/>
          <w:sz w:val="22"/>
          <w:szCs w:val="22"/>
          <w:lang w:eastAsia="pt-BR"/>
        </w:rPr>
      </w:pPr>
      <w:hyperlink w:anchor="_Toc22568215" w:history="1">
        <w:r w:rsidR="000309E7" w:rsidRPr="00B41BD8">
          <w:rPr>
            <w:rStyle w:val="Hyperlink"/>
            <w:noProof/>
          </w:rPr>
          <w:t>2.1 TAXONOMIA E ETIOLOGIA DO AGENTE CAUSAL</w:t>
        </w:r>
        <w:r w:rsidR="000309E7">
          <w:rPr>
            <w:noProof/>
            <w:webHidden/>
          </w:rPr>
          <w:tab/>
        </w:r>
        <w:r w:rsidR="000309E7">
          <w:rPr>
            <w:noProof/>
            <w:webHidden/>
          </w:rPr>
          <w:fldChar w:fldCharType="begin"/>
        </w:r>
        <w:r w:rsidR="000309E7">
          <w:rPr>
            <w:noProof/>
            <w:webHidden/>
          </w:rPr>
          <w:instrText xml:space="preserve"> PAGEREF _Toc22568215 \h </w:instrText>
        </w:r>
        <w:r w:rsidR="000309E7">
          <w:rPr>
            <w:noProof/>
            <w:webHidden/>
          </w:rPr>
        </w:r>
        <w:r w:rsidR="000309E7">
          <w:rPr>
            <w:noProof/>
            <w:webHidden/>
          </w:rPr>
          <w:fldChar w:fldCharType="separate"/>
        </w:r>
        <w:r w:rsidR="000309E7">
          <w:rPr>
            <w:noProof/>
            <w:webHidden/>
          </w:rPr>
          <w:t>28</w:t>
        </w:r>
        <w:r w:rsidR="000309E7">
          <w:rPr>
            <w:noProof/>
            <w:webHidden/>
          </w:rPr>
          <w:fldChar w:fldCharType="end"/>
        </w:r>
      </w:hyperlink>
    </w:p>
    <w:p w14:paraId="49F7861B" w14:textId="6736F6FB" w:rsidR="000309E7" w:rsidRDefault="00D00510">
      <w:pPr>
        <w:pStyle w:val="Sumrio2"/>
        <w:rPr>
          <w:rFonts w:asciiTheme="minorHAnsi" w:eastAsiaTheme="minorEastAsia" w:hAnsiTheme="minorHAnsi" w:cstheme="minorBidi"/>
          <w:noProof/>
          <w:sz w:val="22"/>
          <w:szCs w:val="22"/>
          <w:lang w:eastAsia="pt-BR"/>
        </w:rPr>
      </w:pPr>
      <w:hyperlink w:anchor="_Toc22568216" w:history="1">
        <w:r w:rsidR="000309E7" w:rsidRPr="00B41BD8">
          <w:rPr>
            <w:rStyle w:val="Hyperlink"/>
            <w:noProof/>
          </w:rPr>
          <w:t>2.2 EPIDEMIOLOGIA</w:t>
        </w:r>
        <w:r w:rsidR="000309E7">
          <w:rPr>
            <w:noProof/>
            <w:webHidden/>
          </w:rPr>
          <w:tab/>
        </w:r>
        <w:r w:rsidR="000309E7">
          <w:rPr>
            <w:noProof/>
            <w:webHidden/>
          </w:rPr>
          <w:fldChar w:fldCharType="begin"/>
        </w:r>
        <w:r w:rsidR="000309E7">
          <w:rPr>
            <w:noProof/>
            <w:webHidden/>
          </w:rPr>
          <w:instrText xml:space="preserve"> PAGEREF _Toc22568216 \h </w:instrText>
        </w:r>
        <w:r w:rsidR="000309E7">
          <w:rPr>
            <w:noProof/>
            <w:webHidden/>
          </w:rPr>
        </w:r>
        <w:r w:rsidR="000309E7">
          <w:rPr>
            <w:noProof/>
            <w:webHidden/>
          </w:rPr>
          <w:fldChar w:fldCharType="separate"/>
        </w:r>
        <w:r w:rsidR="000309E7">
          <w:rPr>
            <w:noProof/>
            <w:webHidden/>
          </w:rPr>
          <w:t>29</w:t>
        </w:r>
        <w:r w:rsidR="000309E7">
          <w:rPr>
            <w:noProof/>
            <w:webHidden/>
          </w:rPr>
          <w:fldChar w:fldCharType="end"/>
        </w:r>
      </w:hyperlink>
    </w:p>
    <w:p w14:paraId="37E0A2A2" w14:textId="499CB487" w:rsidR="000309E7" w:rsidRDefault="00D00510">
      <w:pPr>
        <w:pStyle w:val="Sumrio3"/>
        <w:rPr>
          <w:rFonts w:asciiTheme="minorHAnsi" w:eastAsiaTheme="minorEastAsia" w:hAnsiTheme="minorHAnsi" w:cstheme="minorBidi"/>
          <w:b w:val="0"/>
          <w:sz w:val="22"/>
          <w:szCs w:val="22"/>
          <w:lang w:eastAsia="pt-BR"/>
        </w:rPr>
      </w:pPr>
      <w:hyperlink w:anchor="_Toc22568217" w:history="1">
        <w:r w:rsidR="000309E7" w:rsidRPr="00B41BD8">
          <w:rPr>
            <w:rStyle w:val="Hyperlink"/>
          </w:rPr>
          <w:t>2.2.1 Sobrevivência</w:t>
        </w:r>
        <w:r w:rsidR="000309E7">
          <w:rPr>
            <w:webHidden/>
          </w:rPr>
          <w:tab/>
        </w:r>
        <w:r w:rsidR="000309E7">
          <w:rPr>
            <w:webHidden/>
          </w:rPr>
          <w:fldChar w:fldCharType="begin"/>
        </w:r>
        <w:r w:rsidR="000309E7">
          <w:rPr>
            <w:webHidden/>
          </w:rPr>
          <w:instrText xml:space="preserve"> PAGEREF _Toc22568217 \h </w:instrText>
        </w:r>
        <w:r w:rsidR="000309E7">
          <w:rPr>
            <w:webHidden/>
          </w:rPr>
        </w:r>
        <w:r w:rsidR="000309E7">
          <w:rPr>
            <w:webHidden/>
          </w:rPr>
          <w:fldChar w:fldCharType="separate"/>
        </w:r>
        <w:r w:rsidR="000309E7">
          <w:rPr>
            <w:webHidden/>
          </w:rPr>
          <w:t>29</w:t>
        </w:r>
        <w:r w:rsidR="000309E7">
          <w:rPr>
            <w:webHidden/>
          </w:rPr>
          <w:fldChar w:fldCharType="end"/>
        </w:r>
      </w:hyperlink>
    </w:p>
    <w:p w14:paraId="3FCBFF1D" w14:textId="28B6C428" w:rsidR="000309E7" w:rsidRDefault="00D00510">
      <w:pPr>
        <w:pStyle w:val="Sumrio3"/>
        <w:rPr>
          <w:rFonts w:asciiTheme="minorHAnsi" w:eastAsiaTheme="minorEastAsia" w:hAnsiTheme="minorHAnsi" w:cstheme="minorBidi"/>
          <w:b w:val="0"/>
          <w:sz w:val="22"/>
          <w:szCs w:val="22"/>
          <w:lang w:eastAsia="pt-BR"/>
        </w:rPr>
      </w:pPr>
      <w:hyperlink w:anchor="_Toc22568218" w:history="1">
        <w:r w:rsidR="000309E7" w:rsidRPr="00B41BD8">
          <w:rPr>
            <w:rStyle w:val="Hyperlink"/>
          </w:rPr>
          <w:t>2.2.2 Disseminação</w:t>
        </w:r>
        <w:r w:rsidR="000309E7">
          <w:rPr>
            <w:webHidden/>
          </w:rPr>
          <w:tab/>
        </w:r>
        <w:r w:rsidR="000309E7">
          <w:rPr>
            <w:webHidden/>
          </w:rPr>
          <w:fldChar w:fldCharType="begin"/>
        </w:r>
        <w:r w:rsidR="000309E7">
          <w:rPr>
            <w:webHidden/>
          </w:rPr>
          <w:instrText xml:space="preserve"> PAGEREF _Toc22568218 \h </w:instrText>
        </w:r>
        <w:r w:rsidR="000309E7">
          <w:rPr>
            <w:webHidden/>
          </w:rPr>
        </w:r>
        <w:r w:rsidR="000309E7">
          <w:rPr>
            <w:webHidden/>
          </w:rPr>
          <w:fldChar w:fldCharType="separate"/>
        </w:r>
        <w:r w:rsidR="000309E7">
          <w:rPr>
            <w:webHidden/>
          </w:rPr>
          <w:t>30</w:t>
        </w:r>
        <w:r w:rsidR="000309E7">
          <w:rPr>
            <w:webHidden/>
          </w:rPr>
          <w:fldChar w:fldCharType="end"/>
        </w:r>
      </w:hyperlink>
    </w:p>
    <w:p w14:paraId="1006C258" w14:textId="0916F683" w:rsidR="000309E7" w:rsidRDefault="00D00510">
      <w:pPr>
        <w:pStyle w:val="Sumrio3"/>
        <w:rPr>
          <w:rFonts w:asciiTheme="minorHAnsi" w:eastAsiaTheme="minorEastAsia" w:hAnsiTheme="minorHAnsi" w:cstheme="minorBidi"/>
          <w:b w:val="0"/>
          <w:sz w:val="22"/>
          <w:szCs w:val="22"/>
          <w:lang w:eastAsia="pt-BR"/>
        </w:rPr>
      </w:pPr>
      <w:hyperlink w:anchor="_Toc22568219" w:history="1">
        <w:r w:rsidR="000309E7" w:rsidRPr="00B41BD8">
          <w:rPr>
            <w:rStyle w:val="Hyperlink"/>
          </w:rPr>
          <w:t>2.2.3 Processos de infecção e fatores do ambiente</w:t>
        </w:r>
        <w:r w:rsidR="000309E7">
          <w:rPr>
            <w:webHidden/>
          </w:rPr>
          <w:tab/>
        </w:r>
        <w:r w:rsidR="000309E7">
          <w:rPr>
            <w:webHidden/>
          </w:rPr>
          <w:fldChar w:fldCharType="begin"/>
        </w:r>
        <w:r w:rsidR="000309E7">
          <w:rPr>
            <w:webHidden/>
          </w:rPr>
          <w:instrText xml:space="preserve"> PAGEREF _Toc22568219 \h </w:instrText>
        </w:r>
        <w:r w:rsidR="000309E7">
          <w:rPr>
            <w:webHidden/>
          </w:rPr>
        </w:r>
        <w:r w:rsidR="000309E7">
          <w:rPr>
            <w:webHidden/>
          </w:rPr>
          <w:fldChar w:fldCharType="separate"/>
        </w:r>
        <w:r w:rsidR="000309E7">
          <w:rPr>
            <w:webHidden/>
          </w:rPr>
          <w:t>30</w:t>
        </w:r>
        <w:r w:rsidR="000309E7">
          <w:rPr>
            <w:webHidden/>
          </w:rPr>
          <w:fldChar w:fldCharType="end"/>
        </w:r>
      </w:hyperlink>
    </w:p>
    <w:p w14:paraId="6E5A7665" w14:textId="6F1A0114" w:rsidR="000309E7" w:rsidRDefault="00D00510">
      <w:pPr>
        <w:pStyle w:val="Sumrio4"/>
        <w:rPr>
          <w:rFonts w:asciiTheme="minorHAnsi" w:eastAsiaTheme="minorEastAsia" w:hAnsiTheme="minorHAnsi" w:cstheme="minorBidi"/>
          <w:noProof/>
          <w:sz w:val="22"/>
          <w:szCs w:val="22"/>
          <w:lang w:eastAsia="pt-BR"/>
        </w:rPr>
      </w:pPr>
      <w:hyperlink w:anchor="_Toc22568220" w:history="1">
        <w:r w:rsidR="000309E7" w:rsidRPr="00B41BD8">
          <w:rPr>
            <w:rStyle w:val="Hyperlink"/>
            <w:b/>
            <w:noProof/>
          </w:rPr>
          <w:t xml:space="preserve">2.2.3.1 </w:t>
        </w:r>
        <w:r w:rsidR="000309E7" w:rsidRPr="00B41BD8">
          <w:rPr>
            <w:rStyle w:val="Hyperlink"/>
            <w:noProof/>
          </w:rPr>
          <w:t>Temperatura</w:t>
        </w:r>
        <w:r w:rsidR="000309E7">
          <w:rPr>
            <w:noProof/>
            <w:webHidden/>
          </w:rPr>
          <w:tab/>
        </w:r>
        <w:r w:rsidR="000309E7">
          <w:rPr>
            <w:noProof/>
            <w:webHidden/>
          </w:rPr>
          <w:fldChar w:fldCharType="begin"/>
        </w:r>
        <w:r w:rsidR="000309E7">
          <w:rPr>
            <w:noProof/>
            <w:webHidden/>
          </w:rPr>
          <w:instrText xml:space="preserve"> PAGEREF _Toc22568220 \h </w:instrText>
        </w:r>
        <w:r w:rsidR="000309E7">
          <w:rPr>
            <w:noProof/>
            <w:webHidden/>
          </w:rPr>
        </w:r>
        <w:r w:rsidR="000309E7">
          <w:rPr>
            <w:noProof/>
            <w:webHidden/>
          </w:rPr>
          <w:fldChar w:fldCharType="separate"/>
        </w:r>
        <w:r w:rsidR="000309E7">
          <w:rPr>
            <w:noProof/>
            <w:webHidden/>
          </w:rPr>
          <w:t>31</w:t>
        </w:r>
        <w:r w:rsidR="000309E7">
          <w:rPr>
            <w:noProof/>
            <w:webHidden/>
          </w:rPr>
          <w:fldChar w:fldCharType="end"/>
        </w:r>
      </w:hyperlink>
    </w:p>
    <w:p w14:paraId="1F7CE506" w14:textId="10C80FC1" w:rsidR="000309E7" w:rsidRDefault="00D00510">
      <w:pPr>
        <w:pStyle w:val="Sumrio4"/>
        <w:rPr>
          <w:rFonts w:asciiTheme="minorHAnsi" w:eastAsiaTheme="minorEastAsia" w:hAnsiTheme="minorHAnsi" w:cstheme="minorBidi"/>
          <w:noProof/>
          <w:sz w:val="22"/>
          <w:szCs w:val="22"/>
          <w:lang w:eastAsia="pt-BR"/>
        </w:rPr>
      </w:pPr>
      <w:hyperlink w:anchor="_Toc22568221" w:history="1">
        <w:r w:rsidR="000309E7" w:rsidRPr="00B41BD8">
          <w:rPr>
            <w:rStyle w:val="Hyperlink"/>
            <w:noProof/>
          </w:rPr>
          <w:t>2.2.3.2 Molhamento foliar</w:t>
        </w:r>
        <w:r w:rsidR="000309E7">
          <w:rPr>
            <w:noProof/>
            <w:webHidden/>
          </w:rPr>
          <w:tab/>
        </w:r>
        <w:r w:rsidR="000309E7">
          <w:rPr>
            <w:noProof/>
            <w:webHidden/>
          </w:rPr>
          <w:fldChar w:fldCharType="begin"/>
        </w:r>
        <w:r w:rsidR="000309E7">
          <w:rPr>
            <w:noProof/>
            <w:webHidden/>
          </w:rPr>
          <w:instrText xml:space="preserve"> PAGEREF _Toc22568221 \h </w:instrText>
        </w:r>
        <w:r w:rsidR="000309E7">
          <w:rPr>
            <w:noProof/>
            <w:webHidden/>
          </w:rPr>
        </w:r>
        <w:r w:rsidR="000309E7">
          <w:rPr>
            <w:noProof/>
            <w:webHidden/>
          </w:rPr>
          <w:fldChar w:fldCharType="separate"/>
        </w:r>
        <w:r w:rsidR="000309E7">
          <w:rPr>
            <w:noProof/>
            <w:webHidden/>
          </w:rPr>
          <w:t>32</w:t>
        </w:r>
        <w:r w:rsidR="000309E7">
          <w:rPr>
            <w:noProof/>
            <w:webHidden/>
          </w:rPr>
          <w:fldChar w:fldCharType="end"/>
        </w:r>
      </w:hyperlink>
    </w:p>
    <w:p w14:paraId="156AD30D" w14:textId="6DAAF42F" w:rsidR="000309E7" w:rsidRDefault="00D00510">
      <w:pPr>
        <w:pStyle w:val="Sumrio4"/>
        <w:rPr>
          <w:rFonts w:asciiTheme="minorHAnsi" w:eastAsiaTheme="minorEastAsia" w:hAnsiTheme="minorHAnsi" w:cstheme="minorBidi"/>
          <w:noProof/>
          <w:sz w:val="22"/>
          <w:szCs w:val="22"/>
          <w:lang w:eastAsia="pt-BR"/>
        </w:rPr>
      </w:pPr>
      <w:hyperlink w:anchor="_Toc22568222" w:history="1">
        <w:r w:rsidR="000309E7" w:rsidRPr="00B41BD8">
          <w:rPr>
            <w:rStyle w:val="Hyperlink"/>
            <w:noProof/>
          </w:rPr>
          <w:t>2.2.3.3 Fotoperíodo e radiação solar</w:t>
        </w:r>
        <w:r w:rsidR="000309E7">
          <w:rPr>
            <w:noProof/>
            <w:webHidden/>
          </w:rPr>
          <w:tab/>
        </w:r>
        <w:r w:rsidR="000309E7">
          <w:rPr>
            <w:noProof/>
            <w:webHidden/>
          </w:rPr>
          <w:fldChar w:fldCharType="begin"/>
        </w:r>
        <w:r w:rsidR="000309E7">
          <w:rPr>
            <w:noProof/>
            <w:webHidden/>
          </w:rPr>
          <w:instrText xml:space="preserve"> PAGEREF _Toc22568222 \h </w:instrText>
        </w:r>
        <w:r w:rsidR="000309E7">
          <w:rPr>
            <w:noProof/>
            <w:webHidden/>
          </w:rPr>
        </w:r>
        <w:r w:rsidR="000309E7">
          <w:rPr>
            <w:noProof/>
            <w:webHidden/>
          </w:rPr>
          <w:fldChar w:fldCharType="separate"/>
        </w:r>
        <w:r w:rsidR="000309E7">
          <w:rPr>
            <w:noProof/>
            <w:webHidden/>
          </w:rPr>
          <w:t>33</w:t>
        </w:r>
        <w:r w:rsidR="000309E7">
          <w:rPr>
            <w:noProof/>
            <w:webHidden/>
          </w:rPr>
          <w:fldChar w:fldCharType="end"/>
        </w:r>
      </w:hyperlink>
    </w:p>
    <w:p w14:paraId="3E2F5238" w14:textId="1F80F332" w:rsidR="000309E7" w:rsidRDefault="00D00510">
      <w:pPr>
        <w:pStyle w:val="Sumrio4"/>
        <w:rPr>
          <w:rFonts w:asciiTheme="minorHAnsi" w:eastAsiaTheme="minorEastAsia" w:hAnsiTheme="minorHAnsi" w:cstheme="minorBidi"/>
          <w:noProof/>
          <w:sz w:val="22"/>
          <w:szCs w:val="22"/>
          <w:lang w:eastAsia="pt-BR"/>
        </w:rPr>
      </w:pPr>
      <w:hyperlink w:anchor="_Toc22568223" w:history="1">
        <w:r w:rsidR="000309E7" w:rsidRPr="00B41BD8">
          <w:rPr>
            <w:rStyle w:val="Hyperlink"/>
            <w:noProof/>
          </w:rPr>
          <w:t>2.2.3.4 Regime hídrico</w:t>
        </w:r>
        <w:r w:rsidR="000309E7">
          <w:rPr>
            <w:noProof/>
            <w:webHidden/>
          </w:rPr>
          <w:tab/>
        </w:r>
        <w:r w:rsidR="000309E7">
          <w:rPr>
            <w:noProof/>
            <w:webHidden/>
          </w:rPr>
          <w:fldChar w:fldCharType="begin"/>
        </w:r>
        <w:r w:rsidR="000309E7">
          <w:rPr>
            <w:noProof/>
            <w:webHidden/>
          </w:rPr>
          <w:instrText xml:space="preserve"> PAGEREF _Toc22568223 \h </w:instrText>
        </w:r>
        <w:r w:rsidR="000309E7">
          <w:rPr>
            <w:noProof/>
            <w:webHidden/>
          </w:rPr>
        </w:r>
        <w:r w:rsidR="000309E7">
          <w:rPr>
            <w:noProof/>
            <w:webHidden/>
          </w:rPr>
          <w:fldChar w:fldCharType="separate"/>
        </w:r>
        <w:r w:rsidR="000309E7">
          <w:rPr>
            <w:noProof/>
            <w:webHidden/>
          </w:rPr>
          <w:t>33</w:t>
        </w:r>
        <w:r w:rsidR="000309E7">
          <w:rPr>
            <w:noProof/>
            <w:webHidden/>
          </w:rPr>
          <w:fldChar w:fldCharType="end"/>
        </w:r>
      </w:hyperlink>
    </w:p>
    <w:p w14:paraId="38720689" w14:textId="656553AB" w:rsidR="000309E7" w:rsidRDefault="00D00510">
      <w:pPr>
        <w:pStyle w:val="Sumrio4"/>
        <w:rPr>
          <w:rFonts w:asciiTheme="minorHAnsi" w:eastAsiaTheme="minorEastAsia" w:hAnsiTheme="minorHAnsi" w:cstheme="minorBidi"/>
          <w:noProof/>
          <w:sz w:val="22"/>
          <w:szCs w:val="22"/>
          <w:lang w:eastAsia="pt-BR"/>
        </w:rPr>
      </w:pPr>
      <w:hyperlink w:anchor="_Toc22568224" w:history="1">
        <w:r w:rsidR="000309E7" w:rsidRPr="00B41BD8">
          <w:rPr>
            <w:rStyle w:val="Hyperlink"/>
            <w:noProof/>
          </w:rPr>
          <w:t>2.2.3.5 Fenologia e idade da folha</w:t>
        </w:r>
        <w:r w:rsidR="000309E7">
          <w:rPr>
            <w:noProof/>
            <w:webHidden/>
          </w:rPr>
          <w:tab/>
        </w:r>
        <w:r w:rsidR="000309E7">
          <w:rPr>
            <w:noProof/>
            <w:webHidden/>
          </w:rPr>
          <w:fldChar w:fldCharType="begin"/>
        </w:r>
        <w:r w:rsidR="000309E7">
          <w:rPr>
            <w:noProof/>
            <w:webHidden/>
          </w:rPr>
          <w:instrText xml:space="preserve"> PAGEREF _Toc22568224 \h </w:instrText>
        </w:r>
        <w:r w:rsidR="000309E7">
          <w:rPr>
            <w:noProof/>
            <w:webHidden/>
          </w:rPr>
        </w:r>
        <w:r w:rsidR="000309E7">
          <w:rPr>
            <w:noProof/>
            <w:webHidden/>
          </w:rPr>
          <w:fldChar w:fldCharType="separate"/>
        </w:r>
        <w:r w:rsidR="000309E7">
          <w:rPr>
            <w:noProof/>
            <w:webHidden/>
          </w:rPr>
          <w:t>34</w:t>
        </w:r>
        <w:r w:rsidR="000309E7">
          <w:rPr>
            <w:noProof/>
            <w:webHidden/>
          </w:rPr>
          <w:fldChar w:fldCharType="end"/>
        </w:r>
      </w:hyperlink>
    </w:p>
    <w:p w14:paraId="09718798" w14:textId="5CF386D7" w:rsidR="000309E7" w:rsidRDefault="00D00510">
      <w:pPr>
        <w:pStyle w:val="Sumrio4"/>
        <w:rPr>
          <w:rFonts w:asciiTheme="minorHAnsi" w:eastAsiaTheme="minorEastAsia" w:hAnsiTheme="minorHAnsi" w:cstheme="minorBidi"/>
          <w:noProof/>
          <w:sz w:val="22"/>
          <w:szCs w:val="22"/>
          <w:lang w:eastAsia="pt-BR"/>
        </w:rPr>
      </w:pPr>
      <w:hyperlink w:anchor="_Toc22568225" w:history="1">
        <w:r w:rsidR="000309E7" w:rsidRPr="00B41BD8">
          <w:rPr>
            <w:rStyle w:val="Hyperlink"/>
            <w:noProof/>
          </w:rPr>
          <w:t>2.2.3.6 Grupos de maturação</w:t>
        </w:r>
        <w:r w:rsidR="000309E7">
          <w:rPr>
            <w:noProof/>
            <w:webHidden/>
          </w:rPr>
          <w:tab/>
        </w:r>
        <w:r w:rsidR="000309E7">
          <w:rPr>
            <w:noProof/>
            <w:webHidden/>
          </w:rPr>
          <w:fldChar w:fldCharType="begin"/>
        </w:r>
        <w:r w:rsidR="000309E7">
          <w:rPr>
            <w:noProof/>
            <w:webHidden/>
          </w:rPr>
          <w:instrText xml:space="preserve"> PAGEREF _Toc22568225 \h </w:instrText>
        </w:r>
        <w:r w:rsidR="000309E7">
          <w:rPr>
            <w:noProof/>
            <w:webHidden/>
          </w:rPr>
        </w:r>
        <w:r w:rsidR="000309E7">
          <w:rPr>
            <w:noProof/>
            <w:webHidden/>
          </w:rPr>
          <w:fldChar w:fldCharType="separate"/>
        </w:r>
        <w:r w:rsidR="000309E7">
          <w:rPr>
            <w:noProof/>
            <w:webHidden/>
          </w:rPr>
          <w:t>35</w:t>
        </w:r>
        <w:r w:rsidR="000309E7">
          <w:rPr>
            <w:noProof/>
            <w:webHidden/>
          </w:rPr>
          <w:fldChar w:fldCharType="end"/>
        </w:r>
      </w:hyperlink>
    </w:p>
    <w:p w14:paraId="636B932E" w14:textId="4804E433" w:rsidR="000309E7" w:rsidRDefault="00D00510">
      <w:pPr>
        <w:pStyle w:val="Sumrio2"/>
        <w:rPr>
          <w:rFonts w:asciiTheme="minorHAnsi" w:eastAsiaTheme="minorEastAsia" w:hAnsiTheme="minorHAnsi" w:cstheme="minorBidi"/>
          <w:noProof/>
          <w:sz w:val="22"/>
          <w:szCs w:val="22"/>
          <w:lang w:eastAsia="pt-BR"/>
        </w:rPr>
      </w:pPr>
      <w:hyperlink w:anchor="_Toc22568226" w:history="1">
        <w:r w:rsidR="000309E7" w:rsidRPr="00B41BD8">
          <w:rPr>
            <w:rStyle w:val="Hyperlink"/>
            <w:noProof/>
          </w:rPr>
          <w:t>2.3 ANÁLISE DA EPIDEMIOLOGIA DA FAS NO ESTADO DE SANTA CATARINA</w:t>
        </w:r>
        <w:r w:rsidR="000309E7">
          <w:rPr>
            <w:noProof/>
            <w:webHidden/>
          </w:rPr>
          <w:tab/>
        </w:r>
        <w:r w:rsidR="000309E7">
          <w:rPr>
            <w:noProof/>
            <w:webHidden/>
          </w:rPr>
          <w:fldChar w:fldCharType="begin"/>
        </w:r>
        <w:r w:rsidR="000309E7">
          <w:rPr>
            <w:noProof/>
            <w:webHidden/>
          </w:rPr>
          <w:instrText xml:space="preserve"> PAGEREF _Toc22568226 \h </w:instrText>
        </w:r>
        <w:r w:rsidR="000309E7">
          <w:rPr>
            <w:noProof/>
            <w:webHidden/>
          </w:rPr>
        </w:r>
        <w:r w:rsidR="000309E7">
          <w:rPr>
            <w:noProof/>
            <w:webHidden/>
          </w:rPr>
          <w:fldChar w:fldCharType="separate"/>
        </w:r>
        <w:r w:rsidR="000309E7">
          <w:rPr>
            <w:noProof/>
            <w:webHidden/>
          </w:rPr>
          <w:t>35</w:t>
        </w:r>
        <w:r w:rsidR="000309E7">
          <w:rPr>
            <w:noProof/>
            <w:webHidden/>
          </w:rPr>
          <w:fldChar w:fldCharType="end"/>
        </w:r>
      </w:hyperlink>
    </w:p>
    <w:p w14:paraId="30FA380F" w14:textId="6F97F2F2" w:rsidR="000309E7" w:rsidRDefault="00D00510">
      <w:pPr>
        <w:pStyle w:val="Sumrio2"/>
        <w:rPr>
          <w:rFonts w:asciiTheme="minorHAnsi" w:eastAsiaTheme="minorEastAsia" w:hAnsiTheme="minorHAnsi" w:cstheme="minorBidi"/>
          <w:noProof/>
          <w:sz w:val="22"/>
          <w:szCs w:val="22"/>
          <w:lang w:eastAsia="pt-BR"/>
        </w:rPr>
      </w:pPr>
      <w:hyperlink w:anchor="_Toc22568227" w:history="1">
        <w:r w:rsidR="000309E7" w:rsidRPr="00B41BD8">
          <w:rPr>
            <w:rStyle w:val="Hyperlink"/>
            <w:noProof/>
          </w:rPr>
          <w:t>2.4 SINTOMATOLOGIA</w:t>
        </w:r>
        <w:r w:rsidR="000309E7">
          <w:rPr>
            <w:noProof/>
            <w:webHidden/>
          </w:rPr>
          <w:tab/>
        </w:r>
        <w:r w:rsidR="000309E7">
          <w:rPr>
            <w:noProof/>
            <w:webHidden/>
          </w:rPr>
          <w:fldChar w:fldCharType="begin"/>
        </w:r>
        <w:r w:rsidR="000309E7">
          <w:rPr>
            <w:noProof/>
            <w:webHidden/>
          </w:rPr>
          <w:instrText xml:space="preserve"> PAGEREF _Toc22568227 \h </w:instrText>
        </w:r>
        <w:r w:rsidR="000309E7">
          <w:rPr>
            <w:noProof/>
            <w:webHidden/>
          </w:rPr>
        </w:r>
        <w:r w:rsidR="000309E7">
          <w:rPr>
            <w:noProof/>
            <w:webHidden/>
          </w:rPr>
          <w:fldChar w:fldCharType="separate"/>
        </w:r>
        <w:r w:rsidR="000309E7">
          <w:rPr>
            <w:noProof/>
            <w:webHidden/>
          </w:rPr>
          <w:t>36</w:t>
        </w:r>
        <w:r w:rsidR="000309E7">
          <w:rPr>
            <w:noProof/>
            <w:webHidden/>
          </w:rPr>
          <w:fldChar w:fldCharType="end"/>
        </w:r>
      </w:hyperlink>
    </w:p>
    <w:p w14:paraId="0A4563F4" w14:textId="409DAC66" w:rsidR="000309E7" w:rsidRDefault="00D00510">
      <w:pPr>
        <w:pStyle w:val="Sumrio2"/>
        <w:rPr>
          <w:rFonts w:asciiTheme="minorHAnsi" w:eastAsiaTheme="minorEastAsia" w:hAnsiTheme="minorHAnsi" w:cstheme="minorBidi"/>
          <w:noProof/>
          <w:sz w:val="22"/>
          <w:szCs w:val="22"/>
          <w:lang w:eastAsia="pt-BR"/>
        </w:rPr>
      </w:pPr>
      <w:hyperlink w:anchor="_Toc22568228" w:history="1">
        <w:r w:rsidR="000309E7" w:rsidRPr="00B41BD8">
          <w:rPr>
            <w:rStyle w:val="Hyperlink"/>
            <w:noProof/>
          </w:rPr>
          <w:t>2.5 HOSPEDEIROS</w:t>
        </w:r>
        <w:r w:rsidR="000309E7">
          <w:rPr>
            <w:noProof/>
            <w:webHidden/>
          </w:rPr>
          <w:tab/>
        </w:r>
        <w:r w:rsidR="000309E7">
          <w:rPr>
            <w:noProof/>
            <w:webHidden/>
          </w:rPr>
          <w:fldChar w:fldCharType="begin"/>
        </w:r>
        <w:r w:rsidR="000309E7">
          <w:rPr>
            <w:noProof/>
            <w:webHidden/>
          </w:rPr>
          <w:instrText xml:space="preserve"> PAGEREF _Toc22568228 \h </w:instrText>
        </w:r>
        <w:r w:rsidR="000309E7">
          <w:rPr>
            <w:noProof/>
            <w:webHidden/>
          </w:rPr>
        </w:r>
        <w:r w:rsidR="000309E7">
          <w:rPr>
            <w:noProof/>
            <w:webHidden/>
          </w:rPr>
          <w:fldChar w:fldCharType="separate"/>
        </w:r>
        <w:r w:rsidR="000309E7">
          <w:rPr>
            <w:noProof/>
            <w:webHidden/>
          </w:rPr>
          <w:t>37</w:t>
        </w:r>
        <w:r w:rsidR="000309E7">
          <w:rPr>
            <w:noProof/>
            <w:webHidden/>
          </w:rPr>
          <w:fldChar w:fldCharType="end"/>
        </w:r>
      </w:hyperlink>
    </w:p>
    <w:p w14:paraId="23184C94" w14:textId="483B4AF8" w:rsidR="000309E7" w:rsidRDefault="00D00510">
      <w:pPr>
        <w:pStyle w:val="Sumrio2"/>
        <w:rPr>
          <w:rFonts w:asciiTheme="minorHAnsi" w:eastAsiaTheme="minorEastAsia" w:hAnsiTheme="minorHAnsi" w:cstheme="minorBidi"/>
          <w:noProof/>
          <w:sz w:val="22"/>
          <w:szCs w:val="22"/>
          <w:lang w:eastAsia="pt-BR"/>
        </w:rPr>
      </w:pPr>
      <w:hyperlink w:anchor="_Toc22568229" w:history="1">
        <w:r w:rsidR="000309E7" w:rsidRPr="00B41BD8">
          <w:rPr>
            <w:rStyle w:val="Hyperlink"/>
            <w:noProof/>
          </w:rPr>
          <w:t>2.6 DANOS</w:t>
        </w:r>
        <w:r w:rsidR="000309E7">
          <w:rPr>
            <w:noProof/>
            <w:webHidden/>
          </w:rPr>
          <w:tab/>
        </w:r>
        <w:r w:rsidR="000309E7">
          <w:rPr>
            <w:noProof/>
            <w:webHidden/>
          </w:rPr>
          <w:fldChar w:fldCharType="begin"/>
        </w:r>
        <w:r w:rsidR="000309E7">
          <w:rPr>
            <w:noProof/>
            <w:webHidden/>
          </w:rPr>
          <w:instrText xml:space="preserve"> PAGEREF _Toc22568229 \h </w:instrText>
        </w:r>
        <w:r w:rsidR="000309E7">
          <w:rPr>
            <w:noProof/>
            <w:webHidden/>
          </w:rPr>
        </w:r>
        <w:r w:rsidR="000309E7">
          <w:rPr>
            <w:noProof/>
            <w:webHidden/>
          </w:rPr>
          <w:fldChar w:fldCharType="separate"/>
        </w:r>
        <w:r w:rsidR="000309E7">
          <w:rPr>
            <w:noProof/>
            <w:webHidden/>
          </w:rPr>
          <w:t>38</w:t>
        </w:r>
        <w:r w:rsidR="000309E7">
          <w:rPr>
            <w:noProof/>
            <w:webHidden/>
          </w:rPr>
          <w:fldChar w:fldCharType="end"/>
        </w:r>
      </w:hyperlink>
    </w:p>
    <w:p w14:paraId="763E816F" w14:textId="118BDAA5" w:rsidR="000309E7" w:rsidRDefault="00D00510">
      <w:pPr>
        <w:pStyle w:val="Sumrio2"/>
        <w:rPr>
          <w:rFonts w:asciiTheme="minorHAnsi" w:eastAsiaTheme="minorEastAsia" w:hAnsiTheme="minorHAnsi" w:cstheme="minorBidi"/>
          <w:noProof/>
          <w:sz w:val="22"/>
          <w:szCs w:val="22"/>
          <w:lang w:eastAsia="pt-BR"/>
        </w:rPr>
      </w:pPr>
      <w:hyperlink w:anchor="_Toc22568230" w:history="1">
        <w:r w:rsidR="000309E7" w:rsidRPr="00B41BD8">
          <w:rPr>
            <w:rStyle w:val="Hyperlink"/>
            <w:noProof/>
          </w:rPr>
          <w:t>2.7 MEDIDAS DE CONTROLE</w:t>
        </w:r>
        <w:r w:rsidR="000309E7">
          <w:rPr>
            <w:noProof/>
            <w:webHidden/>
          </w:rPr>
          <w:tab/>
        </w:r>
        <w:r w:rsidR="000309E7">
          <w:rPr>
            <w:noProof/>
            <w:webHidden/>
          </w:rPr>
          <w:fldChar w:fldCharType="begin"/>
        </w:r>
        <w:r w:rsidR="000309E7">
          <w:rPr>
            <w:noProof/>
            <w:webHidden/>
          </w:rPr>
          <w:instrText xml:space="preserve"> PAGEREF _Toc22568230 \h </w:instrText>
        </w:r>
        <w:r w:rsidR="000309E7">
          <w:rPr>
            <w:noProof/>
            <w:webHidden/>
          </w:rPr>
        </w:r>
        <w:r w:rsidR="000309E7">
          <w:rPr>
            <w:noProof/>
            <w:webHidden/>
          </w:rPr>
          <w:fldChar w:fldCharType="separate"/>
        </w:r>
        <w:r w:rsidR="000309E7">
          <w:rPr>
            <w:noProof/>
            <w:webHidden/>
          </w:rPr>
          <w:t>39</w:t>
        </w:r>
        <w:r w:rsidR="000309E7">
          <w:rPr>
            <w:noProof/>
            <w:webHidden/>
          </w:rPr>
          <w:fldChar w:fldCharType="end"/>
        </w:r>
      </w:hyperlink>
    </w:p>
    <w:p w14:paraId="56F87DF4" w14:textId="0E628B45" w:rsidR="000309E7" w:rsidRDefault="00D00510">
      <w:pPr>
        <w:pStyle w:val="Sumrio3"/>
        <w:rPr>
          <w:rFonts w:asciiTheme="minorHAnsi" w:eastAsiaTheme="minorEastAsia" w:hAnsiTheme="minorHAnsi" w:cstheme="minorBidi"/>
          <w:b w:val="0"/>
          <w:sz w:val="22"/>
          <w:szCs w:val="22"/>
          <w:lang w:eastAsia="pt-BR"/>
        </w:rPr>
      </w:pPr>
      <w:hyperlink w:anchor="_Toc22568231" w:history="1">
        <w:r w:rsidR="000309E7" w:rsidRPr="00B41BD8">
          <w:rPr>
            <w:rStyle w:val="Hyperlink"/>
          </w:rPr>
          <w:t>2.7.1 Controle cultural</w:t>
        </w:r>
        <w:r w:rsidR="000309E7">
          <w:rPr>
            <w:webHidden/>
          </w:rPr>
          <w:tab/>
        </w:r>
        <w:r w:rsidR="000309E7">
          <w:rPr>
            <w:webHidden/>
          </w:rPr>
          <w:fldChar w:fldCharType="begin"/>
        </w:r>
        <w:r w:rsidR="000309E7">
          <w:rPr>
            <w:webHidden/>
          </w:rPr>
          <w:instrText xml:space="preserve"> PAGEREF _Toc22568231 \h </w:instrText>
        </w:r>
        <w:r w:rsidR="000309E7">
          <w:rPr>
            <w:webHidden/>
          </w:rPr>
        </w:r>
        <w:r w:rsidR="000309E7">
          <w:rPr>
            <w:webHidden/>
          </w:rPr>
          <w:fldChar w:fldCharType="separate"/>
        </w:r>
        <w:r w:rsidR="000309E7">
          <w:rPr>
            <w:webHidden/>
          </w:rPr>
          <w:t>39</w:t>
        </w:r>
        <w:r w:rsidR="000309E7">
          <w:rPr>
            <w:webHidden/>
          </w:rPr>
          <w:fldChar w:fldCharType="end"/>
        </w:r>
      </w:hyperlink>
    </w:p>
    <w:p w14:paraId="1604D295" w14:textId="4AE0C764" w:rsidR="000309E7" w:rsidRDefault="00D00510">
      <w:pPr>
        <w:pStyle w:val="Sumrio4"/>
        <w:rPr>
          <w:rFonts w:asciiTheme="minorHAnsi" w:eastAsiaTheme="minorEastAsia" w:hAnsiTheme="minorHAnsi" w:cstheme="minorBidi"/>
          <w:noProof/>
          <w:sz w:val="22"/>
          <w:szCs w:val="22"/>
          <w:lang w:eastAsia="pt-BR"/>
        </w:rPr>
      </w:pPr>
      <w:hyperlink w:anchor="_Toc22568232" w:history="1">
        <w:r w:rsidR="000309E7" w:rsidRPr="00B41BD8">
          <w:rPr>
            <w:rStyle w:val="Hyperlink"/>
            <w:noProof/>
          </w:rPr>
          <w:t>2.7.1.1 Eliminação de plantas voluntárias e hospedeiros secundários</w:t>
        </w:r>
        <w:r w:rsidR="000309E7">
          <w:rPr>
            <w:noProof/>
            <w:webHidden/>
          </w:rPr>
          <w:tab/>
        </w:r>
        <w:r w:rsidR="000309E7">
          <w:rPr>
            <w:noProof/>
            <w:webHidden/>
          </w:rPr>
          <w:fldChar w:fldCharType="begin"/>
        </w:r>
        <w:r w:rsidR="000309E7">
          <w:rPr>
            <w:noProof/>
            <w:webHidden/>
          </w:rPr>
          <w:instrText xml:space="preserve"> PAGEREF _Toc22568232 \h </w:instrText>
        </w:r>
        <w:r w:rsidR="000309E7">
          <w:rPr>
            <w:noProof/>
            <w:webHidden/>
          </w:rPr>
        </w:r>
        <w:r w:rsidR="000309E7">
          <w:rPr>
            <w:noProof/>
            <w:webHidden/>
          </w:rPr>
          <w:fldChar w:fldCharType="separate"/>
        </w:r>
        <w:r w:rsidR="000309E7">
          <w:rPr>
            <w:noProof/>
            <w:webHidden/>
          </w:rPr>
          <w:t>39</w:t>
        </w:r>
        <w:r w:rsidR="000309E7">
          <w:rPr>
            <w:noProof/>
            <w:webHidden/>
          </w:rPr>
          <w:fldChar w:fldCharType="end"/>
        </w:r>
      </w:hyperlink>
    </w:p>
    <w:p w14:paraId="520F68E8" w14:textId="5E83DD29" w:rsidR="000309E7" w:rsidRDefault="00D00510">
      <w:pPr>
        <w:pStyle w:val="Sumrio4"/>
        <w:rPr>
          <w:rFonts w:asciiTheme="minorHAnsi" w:eastAsiaTheme="minorEastAsia" w:hAnsiTheme="minorHAnsi" w:cstheme="minorBidi"/>
          <w:noProof/>
          <w:sz w:val="22"/>
          <w:szCs w:val="22"/>
          <w:lang w:eastAsia="pt-BR"/>
        </w:rPr>
      </w:pPr>
      <w:hyperlink w:anchor="_Toc22568233" w:history="1">
        <w:r w:rsidR="000309E7" w:rsidRPr="00B41BD8">
          <w:rPr>
            <w:rStyle w:val="Hyperlink"/>
            <w:noProof/>
          </w:rPr>
          <w:t>2.7.1.2 Época de semeadura</w:t>
        </w:r>
        <w:r w:rsidR="000309E7">
          <w:rPr>
            <w:noProof/>
            <w:webHidden/>
          </w:rPr>
          <w:tab/>
        </w:r>
        <w:r w:rsidR="000309E7">
          <w:rPr>
            <w:noProof/>
            <w:webHidden/>
          </w:rPr>
          <w:fldChar w:fldCharType="begin"/>
        </w:r>
        <w:r w:rsidR="000309E7">
          <w:rPr>
            <w:noProof/>
            <w:webHidden/>
          </w:rPr>
          <w:instrText xml:space="preserve"> PAGEREF _Toc22568233 \h </w:instrText>
        </w:r>
        <w:r w:rsidR="000309E7">
          <w:rPr>
            <w:noProof/>
            <w:webHidden/>
          </w:rPr>
        </w:r>
        <w:r w:rsidR="000309E7">
          <w:rPr>
            <w:noProof/>
            <w:webHidden/>
          </w:rPr>
          <w:fldChar w:fldCharType="separate"/>
        </w:r>
        <w:r w:rsidR="000309E7">
          <w:rPr>
            <w:noProof/>
            <w:webHidden/>
          </w:rPr>
          <w:t>40</w:t>
        </w:r>
        <w:r w:rsidR="000309E7">
          <w:rPr>
            <w:noProof/>
            <w:webHidden/>
          </w:rPr>
          <w:fldChar w:fldCharType="end"/>
        </w:r>
      </w:hyperlink>
    </w:p>
    <w:p w14:paraId="343870C3" w14:textId="40290B04" w:rsidR="000309E7" w:rsidRDefault="00D00510">
      <w:pPr>
        <w:pStyle w:val="Sumrio4"/>
        <w:rPr>
          <w:rFonts w:asciiTheme="minorHAnsi" w:eastAsiaTheme="minorEastAsia" w:hAnsiTheme="minorHAnsi" w:cstheme="minorBidi"/>
          <w:noProof/>
          <w:sz w:val="22"/>
          <w:szCs w:val="22"/>
          <w:lang w:eastAsia="pt-BR"/>
        </w:rPr>
      </w:pPr>
      <w:hyperlink w:anchor="_Toc22568234" w:history="1">
        <w:r w:rsidR="000309E7" w:rsidRPr="00B41BD8">
          <w:rPr>
            <w:rStyle w:val="Hyperlink"/>
            <w:noProof/>
          </w:rPr>
          <w:t>2.7.1.3 Arranjo de plantas</w:t>
        </w:r>
        <w:r w:rsidR="000309E7">
          <w:rPr>
            <w:noProof/>
            <w:webHidden/>
          </w:rPr>
          <w:tab/>
        </w:r>
        <w:r w:rsidR="000309E7">
          <w:rPr>
            <w:noProof/>
            <w:webHidden/>
          </w:rPr>
          <w:fldChar w:fldCharType="begin"/>
        </w:r>
        <w:r w:rsidR="000309E7">
          <w:rPr>
            <w:noProof/>
            <w:webHidden/>
          </w:rPr>
          <w:instrText xml:space="preserve"> PAGEREF _Toc22568234 \h </w:instrText>
        </w:r>
        <w:r w:rsidR="000309E7">
          <w:rPr>
            <w:noProof/>
            <w:webHidden/>
          </w:rPr>
        </w:r>
        <w:r w:rsidR="000309E7">
          <w:rPr>
            <w:noProof/>
            <w:webHidden/>
          </w:rPr>
          <w:fldChar w:fldCharType="separate"/>
        </w:r>
        <w:r w:rsidR="000309E7">
          <w:rPr>
            <w:noProof/>
            <w:webHidden/>
          </w:rPr>
          <w:t>40</w:t>
        </w:r>
        <w:r w:rsidR="000309E7">
          <w:rPr>
            <w:noProof/>
            <w:webHidden/>
          </w:rPr>
          <w:fldChar w:fldCharType="end"/>
        </w:r>
      </w:hyperlink>
    </w:p>
    <w:p w14:paraId="744AB291" w14:textId="62836AC4" w:rsidR="000309E7" w:rsidRDefault="00D00510">
      <w:pPr>
        <w:pStyle w:val="Sumrio3"/>
        <w:rPr>
          <w:rFonts w:asciiTheme="minorHAnsi" w:eastAsiaTheme="minorEastAsia" w:hAnsiTheme="minorHAnsi" w:cstheme="minorBidi"/>
          <w:b w:val="0"/>
          <w:sz w:val="22"/>
          <w:szCs w:val="22"/>
          <w:lang w:eastAsia="pt-BR"/>
        </w:rPr>
      </w:pPr>
      <w:hyperlink w:anchor="_Toc22568235" w:history="1">
        <w:r w:rsidR="000309E7" w:rsidRPr="00B41BD8">
          <w:rPr>
            <w:rStyle w:val="Hyperlink"/>
          </w:rPr>
          <w:t>2.7.2 Controle genético</w:t>
        </w:r>
        <w:r w:rsidR="000309E7">
          <w:rPr>
            <w:webHidden/>
          </w:rPr>
          <w:tab/>
        </w:r>
        <w:r w:rsidR="000309E7">
          <w:rPr>
            <w:webHidden/>
          </w:rPr>
          <w:fldChar w:fldCharType="begin"/>
        </w:r>
        <w:r w:rsidR="000309E7">
          <w:rPr>
            <w:webHidden/>
          </w:rPr>
          <w:instrText xml:space="preserve"> PAGEREF _Toc22568235 \h </w:instrText>
        </w:r>
        <w:r w:rsidR="000309E7">
          <w:rPr>
            <w:webHidden/>
          </w:rPr>
        </w:r>
        <w:r w:rsidR="000309E7">
          <w:rPr>
            <w:webHidden/>
          </w:rPr>
          <w:fldChar w:fldCharType="separate"/>
        </w:r>
        <w:r w:rsidR="000309E7">
          <w:rPr>
            <w:webHidden/>
          </w:rPr>
          <w:t>41</w:t>
        </w:r>
        <w:r w:rsidR="000309E7">
          <w:rPr>
            <w:webHidden/>
          </w:rPr>
          <w:fldChar w:fldCharType="end"/>
        </w:r>
      </w:hyperlink>
    </w:p>
    <w:p w14:paraId="70B15AAF" w14:textId="7D8DCE76" w:rsidR="000309E7" w:rsidRDefault="00D00510">
      <w:pPr>
        <w:pStyle w:val="Sumrio3"/>
        <w:rPr>
          <w:rFonts w:asciiTheme="minorHAnsi" w:eastAsiaTheme="minorEastAsia" w:hAnsiTheme="minorHAnsi" w:cstheme="minorBidi"/>
          <w:b w:val="0"/>
          <w:sz w:val="22"/>
          <w:szCs w:val="22"/>
          <w:lang w:eastAsia="pt-BR"/>
        </w:rPr>
      </w:pPr>
      <w:hyperlink w:anchor="_Toc22568236" w:history="1">
        <w:r w:rsidR="000309E7" w:rsidRPr="00B41BD8">
          <w:rPr>
            <w:rStyle w:val="Hyperlink"/>
          </w:rPr>
          <w:t>2.7.3 Controle químico</w:t>
        </w:r>
        <w:r w:rsidR="000309E7">
          <w:rPr>
            <w:webHidden/>
          </w:rPr>
          <w:tab/>
        </w:r>
        <w:r w:rsidR="000309E7">
          <w:rPr>
            <w:webHidden/>
          </w:rPr>
          <w:fldChar w:fldCharType="begin"/>
        </w:r>
        <w:r w:rsidR="000309E7">
          <w:rPr>
            <w:webHidden/>
          </w:rPr>
          <w:instrText xml:space="preserve"> PAGEREF _Toc22568236 \h </w:instrText>
        </w:r>
        <w:r w:rsidR="000309E7">
          <w:rPr>
            <w:webHidden/>
          </w:rPr>
        </w:r>
        <w:r w:rsidR="000309E7">
          <w:rPr>
            <w:webHidden/>
          </w:rPr>
          <w:fldChar w:fldCharType="separate"/>
        </w:r>
        <w:r w:rsidR="000309E7">
          <w:rPr>
            <w:webHidden/>
          </w:rPr>
          <w:t>44</w:t>
        </w:r>
        <w:r w:rsidR="000309E7">
          <w:rPr>
            <w:webHidden/>
          </w:rPr>
          <w:fldChar w:fldCharType="end"/>
        </w:r>
      </w:hyperlink>
    </w:p>
    <w:p w14:paraId="5EF0EF12" w14:textId="45C09FC2" w:rsidR="000309E7" w:rsidRDefault="00D00510">
      <w:pPr>
        <w:pStyle w:val="Sumrio4"/>
        <w:rPr>
          <w:rFonts w:asciiTheme="minorHAnsi" w:eastAsiaTheme="minorEastAsia" w:hAnsiTheme="minorHAnsi" w:cstheme="minorBidi"/>
          <w:noProof/>
          <w:sz w:val="22"/>
          <w:szCs w:val="22"/>
          <w:lang w:eastAsia="pt-BR"/>
        </w:rPr>
      </w:pPr>
      <w:hyperlink w:anchor="_Toc22568237" w:history="1">
        <w:r w:rsidR="000309E7" w:rsidRPr="00B41BD8">
          <w:rPr>
            <w:rStyle w:val="Hyperlink"/>
            <w:noProof/>
          </w:rPr>
          <w:t>2.7.3.1 Histórico</w:t>
        </w:r>
        <w:r w:rsidR="000309E7">
          <w:rPr>
            <w:noProof/>
            <w:webHidden/>
          </w:rPr>
          <w:tab/>
        </w:r>
        <w:r w:rsidR="000309E7">
          <w:rPr>
            <w:noProof/>
            <w:webHidden/>
          </w:rPr>
          <w:fldChar w:fldCharType="begin"/>
        </w:r>
        <w:r w:rsidR="000309E7">
          <w:rPr>
            <w:noProof/>
            <w:webHidden/>
          </w:rPr>
          <w:instrText xml:space="preserve"> PAGEREF _Toc22568237 \h </w:instrText>
        </w:r>
        <w:r w:rsidR="000309E7">
          <w:rPr>
            <w:noProof/>
            <w:webHidden/>
          </w:rPr>
        </w:r>
        <w:r w:rsidR="000309E7">
          <w:rPr>
            <w:noProof/>
            <w:webHidden/>
          </w:rPr>
          <w:fldChar w:fldCharType="separate"/>
        </w:r>
        <w:r w:rsidR="000309E7">
          <w:rPr>
            <w:noProof/>
            <w:webHidden/>
          </w:rPr>
          <w:t>44</w:t>
        </w:r>
        <w:r w:rsidR="000309E7">
          <w:rPr>
            <w:noProof/>
            <w:webHidden/>
          </w:rPr>
          <w:fldChar w:fldCharType="end"/>
        </w:r>
      </w:hyperlink>
    </w:p>
    <w:p w14:paraId="5C107D59" w14:textId="6B62A062" w:rsidR="000309E7" w:rsidRDefault="00D00510">
      <w:pPr>
        <w:pStyle w:val="Sumrio4"/>
        <w:rPr>
          <w:rFonts w:asciiTheme="minorHAnsi" w:eastAsiaTheme="minorEastAsia" w:hAnsiTheme="minorHAnsi" w:cstheme="minorBidi"/>
          <w:noProof/>
          <w:sz w:val="22"/>
          <w:szCs w:val="22"/>
          <w:lang w:eastAsia="pt-BR"/>
        </w:rPr>
      </w:pPr>
      <w:hyperlink w:anchor="_Toc22568238" w:history="1">
        <w:r w:rsidR="000309E7" w:rsidRPr="00B41BD8">
          <w:rPr>
            <w:rStyle w:val="Hyperlink"/>
            <w:noProof/>
          </w:rPr>
          <w:t>2.7.3.2 Importância do controle químico no manejo da FAS</w:t>
        </w:r>
        <w:r w:rsidR="000309E7">
          <w:rPr>
            <w:noProof/>
            <w:webHidden/>
          </w:rPr>
          <w:tab/>
        </w:r>
        <w:r w:rsidR="000309E7">
          <w:rPr>
            <w:noProof/>
            <w:webHidden/>
          </w:rPr>
          <w:fldChar w:fldCharType="begin"/>
        </w:r>
        <w:r w:rsidR="000309E7">
          <w:rPr>
            <w:noProof/>
            <w:webHidden/>
          </w:rPr>
          <w:instrText xml:space="preserve"> PAGEREF _Toc22568238 \h </w:instrText>
        </w:r>
        <w:r w:rsidR="000309E7">
          <w:rPr>
            <w:noProof/>
            <w:webHidden/>
          </w:rPr>
        </w:r>
        <w:r w:rsidR="000309E7">
          <w:rPr>
            <w:noProof/>
            <w:webHidden/>
          </w:rPr>
          <w:fldChar w:fldCharType="separate"/>
        </w:r>
        <w:r w:rsidR="000309E7">
          <w:rPr>
            <w:noProof/>
            <w:webHidden/>
          </w:rPr>
          <w:t>46</w:t>
        </w:r>
        <w:r w:rsidR="000309E7">
          <w:rPr>
            <w:noProof/>
            <w:webHidden/>
          </w:rPr>
          <w:fldChar w:fldCharType="end"/>
        </w:r>
      </w:hyperlink>
    </w:p>
    <w:p w14:paraId="7FA5AA2D" w14:textId="4FFB32D4" w:rsidR="000309E7" w:rsidRDefault="00D00510">
      <w:pPr>
        <w:pStyle w:val="Sumrio4"/>
        <w:rPr>
          <w:rFonts w:asciiTheme="minorHAnsi" w:eastAsiaTheme="minorEastAsia" w:hAnsiTheme="minorHAnsi" w:cstheme="minorBidi"/>
          <w:noProof/>
          <w:sz w:val="22"/>
          <w:szCs w:val="22"/>
          <w:lang w:eastAsia="pt-BR"/>
        </w:rPr>
      </w:pPr>
      <w:hyperlink w:anchor="_Toc22568239" w:history="1">
        <w:r w:rsidR="000309E7" w:rsidRPr="00B41BD8">
          <w:rPr>
            <w:rStyle w:val="Hyperlink"/>
            <w:noProof/>
          </w:rPr>
          <w:t>2.7.3.3 Risco de resistência a fungicidas</w:t>
        </w:r>
        <w:r w:rsidR="000309E7">
          <w:rPr>
            <w:noProof/>
            <w:webHidden/>
          </w:rPr>
          <w:tab/>
        </w:r>
        <w:r w:rsidR="000309E7">
          <w:rPr>
            <w:noProof/>
            <w:webHidden/>
          </w:rPr>
          <w:fldChar w:fldCharType="begin"/>
        </w:r>
        <w:r w:rsidR="000309E7">
          <w:rPr>
            <w:noProof/>
            <w:webHidden/>
          </w:rPr>
          <w:instrText xml:space="preserve"> PAGEREF _Toc22568239 \h </w:instrText>
        </w:r>
        <w:r w:rsidR="000309E7">
          <w:rPr>
            <w:noProof/>
            <w:webHidden/>
          </w:rPr>
        </w:r>
        <w:r w:rsidR="000309E7">
          <w:rPr>
            <w:noProof/>
            <w:webHidden/>
          </w:rPr>
          <w:fldChar w:fldCharType="separate"/>
        </w:r>
        <w:r w:rsidR="000309E7">
          <w:rPr>
            <w:noProof/>
            <w:webHidden/>
          </w:rPr>
          <w:t>47</w:t>
        </w:r>
        <w:r w:rsidR="000309E7">
          <w:rPr>
            <w:noProof/>
            <w:webHidden/>
          </w:rPr>
          <w:fldChar w:fldCharType="end"/>
        </w:r>
      </w:hyperlink>
    </w:p>
    <w:p w14:paraId="117E814D" w14:textId="7B6177D5" w:rsidR="000309E7" w:rsidRDefault="00D00510">
      <w:pPr>
        <w:pStyle w:val="Sumrio4"/>
        <w:rPr>
          <w:rFonts w:asciiTheme="minorHAnsi" w:eastAsiaTheme="minorEastAsia" w:hAnsiTheme="minorHAnsi" w:cstheme="minorBidi"/>
          <w:noProof/>
          <w:sz w:val="22"/>
          <w:szCs w:val="22"/>
          <w:lang w:eastAsia="pt-BR"/>
        </w:rPr>
      </w:pPr>
      <w:hyperlink w:anchor="_Toc22568240" w:history="1">
        <w:r w:rsidR="000309E7" w:rsidRPr="00B41BD8">
          <w:rPr>
            <w:rStyle w:val="Hyperlink"/>
            <w:noProof/>
          </w:rPr>
          <w:t>2.7.3.4 Mecanismos de ação de fungicidas utilizados no controle de P. pachyrhizi</w:t>
        </w:r>
        <w:r w:rsidR="000309E7">
          <w:rPr>
            <w:noProof/>
            <w:webHidden/>
          </w:rPr>
          <w:tab/>
        </w:r>
        <w:r w:rsidR="000309E7">
          <w:rPr>
            <w:noProof/>
            <w:webHidden/>
          </w:rPr>
          <w:fldChar w:fldCharType="begin"/>
        </w:r>
        <w:r w:rsidR="000309E7">
          <w:rPr>
            <w:noProof/>
            <w:webHidden/>
          </w:rPr>
          <w:instrText xml:space="preserve"> PAGEREF _Toc22568240 \h </w:instrText>
        </w:r>
        <w:r w:rsidR="000309E7">
          <w:rPr>
            <w:noProof/>
            <w:webHidden/>
          </w:rPr>
        </w:r>
        <w:r w:rsidR="000309E7">
          <w:rPr>
            <w:noProof/>
            <w:webHidden/>
          </w:rPr>
          <w:fldChar w:fldCharType="separate"/>
        </w:r>
        <w:r w:rsidR="000309E7">
          <w:rPr>
            <w:noProof/>
            <w:webHidden/>
          </w:rPr>
          <w:t>48</w:t>
        </w:r>
        <w:r w:rsidR="000309E7">
          <w:rPr>
            <w:noProof/>
            <w:webHidden/>
          </w:rPr>
          <w:fldChar w:fldCharType="end"/>
        </w:r>
      </w:hyperlink>
    </w:p>
    <w:p w14:paraId="3D3331AD" w14:textId="0A7063A0" w:rsidR="000309E7" w:rsidRDefault="00D00510">
      <w:pPr>
        <w:pStyle w:val="Sumrio5"/>
        <w:rPr>
          <w:rFonts w:asciiTheme="minorHAnsi" w:eastAsiaTheme="minorEastAsia" w:hAnsiTheme="minorHAnsi" w:cstheme="minorBidi"/>
          <w:noProof/>
          <w:sz w:val="22"/>
          <w:szCs w:val="22"/>
          <w:lang w:eastAsia="pt-BR"/>
        </w:rPr>
      </w:pPr>
      <w:hyperlink w:anchor="_Toc22568241" w:history="1">
        <w:r w:rsidR="000309E7" w:rsidRPr="00B41BD8">
          <w:rPr>
            <w:rStyle w:val="Hyperlink"/>
            <w:noProof/>
          </w:rPr>
          <w:t>2.7.3.4.1 Fungicidas inibidores da biossíntese de esteróis</w:t>
        </w:r>
        <w:r w:rsidR="000309E7">
          <w:rPr>
            <w:noProof/>
            <w:webHidden/>
          </w:rPr>
          <w:tab/>
        </w:r>
        <w:r w:rsidR="000309E7">
          <w:rPr>
            <w:noProof/>
            <w:webHidden/>
          </w:rPr>
          <w:fldChar w:fldCharType="begin"/>
        </w:r>
        <w:r w:rsidR="000309E7">
          <w:rPr>
            <w:noProof/>
            <w:webHidden/>
          </w:rPr>
          <w:instrText xml:space="preserve"> PAGEREF _Toc22568241 \h </w:instrText>
        </w:r>
        <w:r w:rsidR="000309E7">
          <w:rPr>
            <w:noProof/>
            <w:webHidden/>
          </w:rPr>
        </w:r>
        <w:r w:rsidR="000309E7">
          <w:rPr>
            <w:noProof/>
            <w:webHidden/>
          </w:rPr>
          <w:fldChar w:fldCharType="separate"/>
        </w:r>
        <w:r w:rsidR="000309E7">
          <w:rPr>
            <w:noProof/>
            <w:webHidden/>
          </w:rPr>
          <w:t>48</w:t>
        </w:r>
        <w:r w:rsidR="000309E7">
          <w:rPr>
            <w:noProof/>
            <w:webHidden/>
          </w:rPr>
          <w:fldChar w:fldCharType="end"/>
        </w:r>
      </w:hyperlink>
    </w:p>
    <w:p w14:paraId="7005975B" w14:textId="7F7FFF72" w:rsidR="000309E7" w:rsidRDefault="00D00510">
      <w:pPr>
        <w:pStyle w:val="Sumrio5"/>
        <w:rPr>
          <w:rFonts w:asciiTheme="minorHAnsi" w:eastAsiaTheme="minorEastAsia" w:hAnsiTheme="minorHAnsi" w:cstheme="minorBidi"/>
          <w:noProof/>
          <w:sz w:val="22"/>
          <w:szCs w:val="22"/>
          <w:lang w:eastAsia="pt-BR"/>
        </w:rPr>
      </w:pPr>
      <w:hyperlink w:anchor="_Toc22568242" w:history="1">
        <w:r w:rsidR="000309E7" w:rsidRPr="00B41BD8">
          <w:rPr>
            <w:rStyle w:val="Hyperlink"/>
            <w:noProof/>
          </w:rPr>
          <w:t>2.7.3.4.2 Fungicidas inibidores da quinona externa (IQE)</w:t>
        </w:r>
        <w:r w:rsidR="000309E7">
          <w:rPr>
            <w:noProof/>
            <w:webHidden/>
          </w:rPr>
          <w:tab/>
        </w:r>
        <w:r w:rsidR="000309E7">
          <w:rPr>
            <w:noProof/>
            <w:webHidden/>
          </w:rPr>
          <w:fldChar w:fldCharType="begin"/>
        </w:r>
        <w:r w:rsidR="000309E7">
          <w:rPr>
            <w:noProof/>
            <w:webHidden/>
          </w:rPr>
          <w:instrText xml:space="preserve"> PAGEREF _Toc22568242 \h </w:instrText>
        </w:r>
        <w:r w:rsidR="000309E7">
          <w:rPr>
            <w:noProof/>
            <w:webHidden/>
          </w:rPr>
        </w:r>
        <w:r w:rsidR="000309E7">
          <w:rPr>
            <w:noProof/>
            <w:webHidden/>
          </w:rPr>
          <w:fldChar w:fldCharType="separate"/>
        </w:r>
        <w:r w:rsidR="000309E7">
          <w:rPr>
            <w:noProof/>
            <w:webHidden/>
          </w:rPr>
          <w:t>50</w:t>
        </w:r>
        <w:r w:rsidR="000309E7">
          <w:rPr>
            <w:noProof/>
            <w:webHidden/>
          </w:rPr>
          <w:fldChar w:fldCharType="end"/>
        </w:r>
      </w:hyperlink>
    </w:p>
    <w:p w14:paraId="218C7246" w14:textId="6F1842D6" w:rsidR="000309E7" w:rsidRDefault="00D00510">
      <w:pPr>
        <w:pStyle w:val="Sumrio5"/>
        <w:rPr>
          <w:rFonts w:asciiTheme="minorHAnsi" w:eastAsiaTheme="minorEastAsia" w:hAnsiTheme="minorHAnsi" w:cstheme="minorBidi"/>
          <w:noProof/>
          <w:sz w:val="22"/>
          <w:szCs w:val="22"/>
          <w:lang w:eastAsia="pt-BR"/>
        </w:rPr>
      </w:pPr>
      <w:hyperlink w:anchor="_Toc22568243" w:history="1">
        <w:r w:rsidR="000309E7" w:rsidRPr="00B41BD8">
          <w:rPr>
            <w:rStyle w:val="Hyperlink"/>
            <w:noProof/>
          </w:rPr>
          <w:t>2.7.3.4.3 Fungicidas inibidores da succinato desidrogenase</w:t>
        </w:r>
        <w:r w:rsidR="000309E7">
          <w:rPr>
            <w:noProof/>
            <w:webHidden/>
          </w:rPr>
          <w:tab/>
        </w:r>
        <w:r w:rsidR="000309E7">
          <w:rPr>
            <w:noProof/>
            <w:webHidden/>
          </w:rPr>
          <w:fldChar w:fldCharType="begin"/>
        </w:r>
        <w:r w:rsidR="000309E7">
          <w:rPr>
            <w:noProof/>
            <w:webHidden/>
          </w:rPr>
          <w:instrText xml:space="preserve"> PAGEREF _Toc22568243 \h </w:instrText>
        </w:r>
        <w:r w:rsidR="000309E7">
          <w:rPr>
            <w:noProof/>
            <w:webHidden/>
          </w:rPr>
        </w:r>
        <w:r w:rsidR="000309E7">
          <w:rPr>
            <w:noProof/>
            <w:webHidden/>
          </w:rPr>
          <w:fldChar w:fldCharType="separate"/>
        </w:r>
        <w:r w:rsidR="000309E7">
          <w:rPr>
            <w:noProof/>
            <w:webHidden/>
          </w:rPr>
          <w:t>52</w:t>
        </w:r>
        <w:r w:rsidR="000309E7">
          <w:rPr>
            <w:noProof/>
            <w:webHidden/>
          </w:rPr>
          <w:fldChar w:fldCharType="end"/>
        </w:r>
      </w:hyperlink>
    </w:p>
    <w:p w14:paraId="2408B6C8" w14:textId="09CB48F4" w:rsidR="000309E7" w:rsidRDefault="00D00510">
      <w:pPr>
        <w:pStyle w:val="Sumrio5"/>
        <w:rPr>
          <w:rFonts w:asciiTheme="minorHAnsi" w:eastAsiaTheme="minorEastAsia" w:hAnsiTheme="minorHAnsi" w:cstheme="minorBidi"/>
          <w:noProof/>
          <w:sz w:val="22"/>
          <w:szCs w:val="22"/>
          <w:lang w:eastAsia="pt-BR"/>
        </w:rPr>
      </w:pPr>
      <w:hyperlink w:anchor="_Toc22568244" w:history="1">
        <w:r w:rsidR="000309E7" w:rsidRPr="00B41BD8">
          <w:rPr>
            <w:rStyle w:val="Hyperlink"/>
            <w:noProof/>
          </w:rPr>
          <w:t>2.7.3.4.4 Fungicidas multissítios</w:t>
        </w:r>
        <w:r w:rsidR="000309E7">
          <w:rPr>
            <w:noProof/>
            <w:webHidden/>
          </w:rPr>
          <w:tab/>
        </w:r>
        <w:r w:rsidR="000309E7">
          <w:rPr>
            <w:noProof/>
            <w:webHidden/>
          </w:rPr>
          <w:fldChar w:fldCharType="begin"/>
        </w:r>
        <w:r w:rsidR="000309E7">
          <w:rPr>
            <w:noProof/>
            <w:webHidden/>
          </w:rPr>
          <w:instrText xml:space="preserve"> PAGEREF _Toc22568244 \h </w:instrText>
        </w:r>
        <w:r w:rsidR="000309E7">
          <w:rPr>
            <w:noProof/>
            <w:webHidden/>
          </w:rPr>
        </w:r>
        <w:r w:rsidR="000309E7">
          <w:rPr>
            <w:noProof/>
            <w:webHidden/>
          </w:rPr>
          <w:fldChar w:fldCharType="separate"/>
        </w:r>
        <w:r w:rsidR="000309E7">
          <w:rPr>
            <w:noProof/>
            <w:webHidden/>
          </w:rPr>
          <w:t>54</w:t>
        </w:r>
        <w:r w:rsidR="000309E7">
          <w:rPr>
            <w:noProof/>
            <w:webHidden/>
          </w:rPr>
          <w:fldChar w:fldCharType="end"/>
        </w:r>
      </w:hyperlink>
    </w:p>
    <w:p w14:paraId="7D58D7D7" w14:textId="2FC84357" w:rsidR="000309E7" w:rsidRDefault="00D00510">
      <w:pPr>
        <w:pStyle w:val="Sumrio1"/>
        <w:rPr>
          <w:rFonts w:asciiTheme="minorHAnsi" w:eastAsiaTheme="minorEastAsia" w:hAnsiTheme="minorHAnsi" w:cstheme="minorBidi"/>
          <w:b w:val="0"/>
          <w:sz w:val="22"/>
          <w:szCs w:val="22"/>
          <w:lang w:eastAsia="pt-BR"/>
        </w:rPr>
      </w:pPr>
      <w:hyperlink w:anchor="_Toc22568245" w:history="1">
        <w:r w:rsidR="000309E7" w:rsidRPr="00B41BD8">
          <w:rPr>
            <w:rStyle w:val="Hyperlink"/>
          </w:rPr>
          <w:t>3 HIPÓTESES</w:t>
        </w:r>
        <w:r w:rsidR="000309E7">
          <w:rPr>
            <w:webHidden/>
          </w:rPr>
          <w:tab/>
        </w:r>
        <w:r w:rsidR="000309E7">
          <w:rPr>
            <w:webHidden/>
          </w:rPr>
          <w:fldChar w:fldCharType="begin"/>
        </w:r>
        <w:r w:rsidR="000309E7">
          <w:rPr>
            <w:webHidden/>
          </w:rPr>
          <w:instrText xml:space="preserve"> PAGEREF _Toc22568245 \h </w:instrText>
        </w:r>
        <w:r w:rsidR="000309E7">
          <w:rPr>
            <w:webHidden/>
          </w:rPr>
        </w:r>
        <w:r w:rsidR="000309E7">
          <w:rPr>
            <w:webHidden/>
          </w:rPr>
          <w:fldChar w:fldCharType="separate"/>
        </w:r>
        <w:r w:rsidR="000309E7">
          <w:rPr>
            <w:webHidden/>
          </w:rPr>
          <w:t>55</w:t>
        </w:r>
        <w:r w:rsidR="000309E7">
          <w:rPr>
            <w:webHidden/>
          </w:rPr>
          <w:fldChar w:fldCharType="end"/>
        </w:r>
      </w:hyperlink>
    </w:p>
    <w:p w14:paraId="545D545B" w14:textId="44EBD1D7" w:rsidR="000309E7" w:rsidRDefault="00D00510">
      <w:pPr>
        <w:pStyle w:val="Sumrio2"/>
        <w:rPr>
          <w:rFonts w:asciiTheme="minorHAnsi" w:eastAsiaTheme="minorEastAsia" w:hAnsiTheme="minorHAnsi" w:cstheme="minorBidi"/>
          <w:noProof/>
          <w:sz w:val="22"/>
          <w:szCs w:val="22"/>
          <w:lang w:eastAsia="pt-BR"/>
        </w:rPr>
      </w:pPr>
      <w:hyperlink w:anchor="_Toc22568246" w:history="1">
        <w:r w:rsidR="000309E7" w:rsidRPr="00B41BD8">
          <w:rPr>
            <w:rStyle w:val="Hyperlink"/>
            <w:noProof/>
          </w:rPr>
          <w:t>3.1 GERAL</w:t>
        </w:r>
        <w:r w:rsidR="000309E7">
          <w:rPr>
            <w:noProof/>
            <w:webHidden/>
          </w:rPr>
          <w:tab/>
        </w:r>
        <w:r w:rsidR="000309E7">
          <w:rPr>
            <w:noProof/>
            <w:webHidden/>
          </w:rPr>
          <w:fldChar w:fldCharType="begin"/>
        </w:r>
        <w:r w:rsidR="000309E7">
          <w:rPr>
            <w:noProof/>
            <w:webHidden/>
          </w:rPr>
          <w:instrText xml:space="preserve"> PAGEREF _Toc22568246 \h </w:instrText>
        </w:r>
        <w:r w:rsidR="000309E7">
          <w:rPr>
            <w:noProof/>
            <w:webHidden/>
          </w:rPr>
        </w:r>
        <w:r w:rsidR="000309E7">
          <w:rPr>
            <w:noProof/>
            <w:webHidden/>
          </w:rPr>
          <w:fldChar w:fldCharType="separate"/>
        </w:r>
        <w:r w:rsidR="000309E7">
          <w:rPr>
            <w:noProof/>
            <w:webHidden/>
          </w:rPr>
          <w:t>55</w:t>
        </w:r>
        <w:r w:rsidR="000309E7">
          <w:rPr>
            <w:noProof/>
            <w:webHidden/>
          </w:rPr>
          <w:fldChar w:fldCharType="end"/>
        </w:r>
      </w:hyperlink>
    </w:p>
    <w:p w14:paraId="1B7A0DA3" w14:textId="0B76B2DE" w:rsidR="000309E7" w:rsidRDefault="00D00510">
      <w:pPr>
        <w:pStyle w:val="Sumrio2"/>
        <w:rPr>
          <w:rFonts w:asciiTheme="minorHAnsi" w:eastAsiaTheme="minorEastAsia" w:hAnsiTheme="minorHAnsi" w:cstheme="minorBidi"/>
          <w:noProof/>
          <w:sz w:val="22"/>
          <w:szCs w:val="22"/>
          <w:lang w:eastAsia="pt-BR"/>
        </w:rPr>
      </w:pPr>
      <w:hyperlink w:anchor="_Toc22568247" w:history="1">
        <w:r w:rsidR="000309E7" w:rsidRPr="00B41BD8">
          <w:rPr>
            <w:rStyle w:val="Hyperlink"/>
            <w:noProof/>
          </w:rPr>
          <w:t>3.2 ESPECÍFICAS</w:t>
        </w:r>
        <w:r w:rsidR="000309E7">
          <w:rPr>
            <w:noProof/>
            <w:webHidden/>
          </w:rPr>
          <w:tab/>
        </w:r>
        <w:r w:rsidR="000309E7">
          <w:rPr>
            <w:noProof/>
            <w:webHidden/>
          </w:rPr>
          <w:fldChar w:fldCharType="begin"/>
        </w:r>
        <w:r w:rsidR="000309E7">
          <w:rPr>
            <w:noProof/>
            <w:webHidden/>
          </w:rPr>
          <w:instrText xml:space="preserve"> PAGEREF _Toc22568247 \h </w:instrText>
        </w:r>
        <w:r w:rsidR="000309E7">
          <w:rPr>
            <w:noProof/>
            <w:webHidden/>
          </w:rPr>
        </w:r>
        <w:r w:rsidR="000309E7">
          <w:rPr>
            <w:noProof/>
            <w:webHidden/>
          </w:rPr>
          <w:fldChar w:fldCharType="separate"/>
        </w:r>
        <w:r w:rsidR="000309E7">
          <w:rPr>
            <w:noProof/>
            <w:webHidden/>
          </w:rPr>
          <w:t>55</w:t>
        </w:r>
        <w:r w:rsidR="000309E7">
          <w:rPr>
            <w:noProof/>
            <w:webHidden/>
          </w:rPr>
          <w:fldChar w:fldCharType="end"/>
        </w:r>
      </w:hyperlink>
    </w:p>
    <w:p w14:paraId="3469F33E" w14:textId="356ED05E" w:rsidR="000309E7" w:rsidRDefault="00D00510">
      <w:pPr>
        <w:pStyle w:val="Sumrio1"/>
        <w:rPr>
          <w:rFonts w:asciiTheme="minorHAnsi" w:eastAsiaTheme="minorEastAsia" w:hAnsiTheme="minorHAnsi" w:cstheme="minorBidi"/>
          <w:b w:val="0"/>
          <w:sz w:val="22"/>
          <w:szCs w:val="22"/>
          <w:lang w:eastAsia="pt-BR"/>
        </w:rPr>
      </w:pPr>
      <w:hyperlink w:anchor="_Toc22568248" w:history="1">
        <w:r w:rsidR="000309E7" w:rsidRPr="00B41BD8">
          <w:rPr>
            <w:rStyle w:val="Hyperlink"/>
          </w:rPr>
          <w:t>4 OBJETIVOS</w:t>
        </w:r>
        <w:r w:rsidR="000309E7">
          <w:rPr>
            <w:webHidden/>
          </w:rPr>
          <w:tab/>
        </w:r>
        <w:r w:rsidR="000309E7">
          <w:rPr>
            <w:webHidden/>
          </w:rPr>
          <w:fldChar w:fldCharType="begin"/>
        </w:r>
        <w:r w:rsidR="000309E7">
          <w:rPr>
            <w:webHidden/>
          </w:rPr>
          <w:instrText xml:space="preserve"> PAGEREF _Toc22568248 \h </w:instrText>
        </w:r>
        <w:r w:rsidR="000309E7">
          <w:rPr>
            <w:webHidden/>
          </w:rPr>
        </w:r>
        <w:r w:rsidR="000309E7">
          <w:rPr>
            <w:webHidden/>
          </w:rPr>
          <w:fldChar w:fldCharType="separate"/>
        </w:r>
        <w:r w:rsidR="000309E7">
          <w:rPr>
            <w:webHidden/>
          </w:rPr>
          <w:t>57</w:t>
        </w:r>
        <w:r w:rsidR="000309E7">
          <w:rPr>
            <w:webHidden/>
          </w:rPr>
          <w:fldChar w:fldCharType="end"/>
        </w:r>
      </w:hyperlink>
    </w:p>
    <w:p w14:paraId="5FA560DF" w14:textId="247F284B" w:rsidR="000309E7" w:rsidRDefault="00D00510">
      <w:pPr>
        <w:pStyle w:val="Sumrio2"/>
        <w:rPr>
          <w:rFonts w:asciiTheme="minorHAnsi" w:eastAsiaTheme="minorEastAsia" w:hAnsiTheme="minorHAnsi" w:cstheme="minorBidi"/>
          <w:noProof/>
          <w:sz w:val="22"/>
          <w:szCs w:val="22"/>
          <w:lang w:eastAsia="pt-BR"/>
        </w:rPr>
      </w:pPr>
      <w:hyperlink w:anchor="_Toc22568249" w:history="1">
        <w:r w:rsidR="000309E7" w:rsidRPr="00B41BD8">
          <w:rPr>
            <w:rStyle w:val="Hyperlink"/>
            <w:noProof/>
          </w:rPr>
          <w:t>4.1 GERAL</w:t>
        </w:r>
        <w:r w:rsidR="000309E7">
          <w:rPr>
            <w:noProof/>
            <w:webHidden/>
          </w:rPr>
          <w:tab/>
        </w:r>
        <w:r w:rsidR="000309E7">
          <w:rPr>
            <w:noProof/>
            <w:webHidden/>
          </w:rPr>
          <w:fldChar w:fldCharType="begin"/>
        </w:r>
        <w:r w:rsidR="000309E7">
          <w:rPr>
            <w:noProof/>
            <w:webHidden/>
          </w:rPr>
          <w:instrText xml:space="preserve"> PAGEREF _Toc22568249 \h </w:instrText>
        </w:r>
        <w:r w:rsidR="000309E7">
          <w:rPr>
            <w:noProof/>
            <w:webHidden/>
          </w:rPr>
        </w:r>
        <w:r w:rsidR="000309E7">
          <w:rPr>
            <w:noProof/>
            <w:webHidden/>
          </w:rPr>
          <w:fldChar w:fldCharType="separate"/>
        </w:r>
        <w:r w:rsidR="000309E7">
          <w:rPr>
            <w:noProof/>
            <w:webHidden/>
          </w:rPr>
          <w:t>57</w:t>
        </w:r>
        <w:r w:rsidR="000309E7">
          <w:rPr>
            <w:noProof/>
            <w:webHidden/>
          </w:rPr>
          <w:fldChar w:fldCharType="end"/>
        </w:r>
      </w:hyperlink>
    </w:p>
    <w:p w14:paraId="66823290" w14:textId="59EE0007" w:rsidR="000309E7" w:rsidRDefault="00D00510">
      <w:pPr>
        <w:pStyle w:val="Sumrio2"/>
        <w:rPr>
          <w:rFonts w:asciiTheme="minorHAnsi" w:eastAsiaTheme="minorEastAsia" w:hAnsiTheme="minorHAnsi" w:cstheme="minorBidi"/>
          <w:noProof/>
          <w:sz w:val="22"/>
          <w:szCs w:val="22"/>
          <w:lang w:eastAsia="pt-BR"/>
        </w:rPr>
      </w:pPr>
      <w:hyperlink w:anchor="_Toc22568250" w:history="1">
        <w:r w:rsidR="000309E7" w:rsidRPr="00B41BD8">
          <w:rPr>
            <w:rStyle w:val="Hyperlink"/>
            <w:noProof/>
          </w:rPr>
          <w:t>4.2. ESPECÍFICOS</w:t>
        </w:r>
        <w:r w:rsidR="000309E7">
          <w:rPr>
            <w:noProof/>
            <w:webHidden/>
          </w:rPr>
          <w:tab/>
        </w:r>
        <w:r w:rsidR="000309E7">
          <w:rPr>
            <w:noProof/>
            <w:webHidden/>
          </w:rPr>
          <w:fldChar w:fldCharType="begin"/>
        </w:r>
        <w:r w:rsidR="000309E7">
          <w:rPr>
            <w:noProof/>
            <w:webHidden/>
          </w:rPr>
          <w:instrText xml:space="preserve"> PAGEREF _Toc22568250 \h </w:instrText>
        </w:r>
        <w:r w:rsidR="000309E7">
          <w:rPr>
            <w:noProof/>
            <w:webHidden/>
          </w:rPr>
        </w:r>
        <w:r w:rsidR="000309E7">
          <w:rPr>
            <w:noProof/>
            <w:webHidden/>
          </w:rPr>
          <w:fldChar w:fldCharType="separate"/>
        </w:r>
        <w:r w:rsidR="000309E7">
          <w:rPr>
            <w:noProof/>
            <w:webHidden/>
          </w:rPr>
          <w:t>57</w:t>
        </w:r>
        <w:r w:rsidR="000309E7">
          <w:rPr>
            <w:noProof/>
            <w:webHidden/>
          </w:rPr>
          <w:fldChar w:fldCharType="end"/>
        </w:r>
      </w:hyperlink>
    </w:p>
    <w:p w14:paraId="2BDA9934" w14:textId="200F9FFC" w:rsidR="000309E7" w:rsidRDefault="00D00510">
      <w:pPr>
        <w:pStyle w:val="Sumrio1"/>
        <w:rPr>
          <w:rFonts w:asciiTheme="minorHAnsi" w:eastAsiaTheme="minorEastAsia" w:hAnsiTheme="minorHAnsi" w:cstheme="minorBidi"/>
          <w:b w:val="0"/>
          <w:sz w:val="22"/>
          <w:szCs w:val="22"/>
          <w:lang w:eastAsia="pt-BR"/>
        </w:rPr>
      </w:pPr>
      <w:hyperlink w:anchor="_Toc22568251" w:history="1">
        <w:r w:rsidR="000309E7" w:rsidRPr="00B41BD8">
          <w:rPr>
            <w:rStyle w:val="Hyperlink"/>
          </w:rPr>
          <w:t xml:space="preserve">5 DESEMPENHO DE CARBOXAMIDAS NO CONTROLE DE </w:t>
        </w:r>
        <w:r w:rsidR="000309E7" w:rsidRPr="00B41BD8">
          <w:rPr>
            <w:rStyle w:val="Hyperlink"/>
            <w:i/>
            <w:lang w:val="pt-PT"/>
          </w:rPr>
          <w:t xml:space="preserve">Phakopsora pachyrhizi </w:t>
        </w:r>
        <w:r w:rsidR="000309E7" w:rsidRPr="00B41BD8">
          <w:rPr>
            <w:rStyle w:val="Hyperlink"/>
          </w:rPr>
          <w:t>APLICADAS EM DIFERENTES FASES DO PROCESSO DE INFECÇÃO DO PATÓGENO</w:t>
        </w:r>
        <w:r w:rsidR="000309E7">
          <w:rPr>
            <w:webHidden/>
          </w:rPr>
          <w:tab/>
        </w:r>
        <w:r w:rsidR="000309E7">
          <w:rPr>
            <w:webHidden/>
          </w:rPr>
          <w:fldChar w:fldCharType="begin"/>
        </w:r>
        <w:r w:rsidR="000309E7">
          <w:rPr>
            <w:webHidden/>
          </w:rPr>
          <w:instrText xml:space="preserve"> PAGEREF _Toc22568251 \h </w:instrText>
        </w:r>
        <w:r w:rsidR="000309E7">
          <w:rPr>
            <w:webHidden/>
          </w:rPr>
        </w:r>
        <w:r w:rsidR="000309E7">
          <w:rPr>
            <w:webHidden/>
          </w:rPr>
          <w:fldChar w:fldCharType="separate"/>
        </w:r>
        <w:r w:rsidR="000309E7">
          <w:rPr>
            <w:webHidden/>
          </w:rPr>
          <w:t>58</w:t>
        </w:r>
        <w:r w:rsidR="000309E7">
          <w:rPr>
            <w:webHidden/>
          </w:rPr>
          <w:fldChar w:fldCharType="end"/>
        </w:r>
      </w:hyperlink>
    </w:p>
    <w:p w14:paraId="7C342007" w14:textId="711E0CDC" w:rsidR="000309E7" w:rsidRDefault="00D00510">
      <w:pPr>
        <w:pStyle w:val="Sumrio2"/>
        <w:rPr>
          <w:rFonts w:asciiTheme="minorHAnsi" w:eastAsiaTheme="minorEastAsia" w:hAnsiTheme="minorHAnsi" w:cstheme="minorBidi"/>
          <w:noProof/>
          <w:sz w:val="22"/>
          <w:szCs w:val="22"/>
          <w:lang w:eastAsia="pt-BR"/>
        </w:rPr>
      </w:pPr>
      <w:hyperlink w:anchor="_Toc22568252" w:history="1">
        <w:r w:rsidR="000309E7" w:rsidRPr="00B41BD8">
          <w:rPr>
            <w:rStyle w:val="Hyperlink"/>
            <w:noProof/>
          </w:rPr>
          <w:t>5.1 RESUMO</w:t>
        </w:r>
        <w:r w:rsidR="000309E7">
          <w:rPr>
            <w:noProof/>
            <w:webHidden/>
          </w:rPr>
          <w:tab/>
        </w:r>
        <w:r w:rsidR="000309E7">
          <w:rPr>
            <w:noProof/>
            <w:webHidden/>
          </w:rPr>
          <w:fldChar w:fldCharType="begin"/>
        </w:r>
        <w:r w:rsidR="000309E7">
          <w:rPr>
            <w:noProof/>
            <w:webHidden/>
          </w:rPr>
          <w:instrText xml:space="preserve"> PAGEREF _Toc22568252 \h </w:instrText>
        </w:r>
        <w:r w:rsidR="000309E7">
          <w:rPr>
            <w:noProof/>
            <w:webHidden/>
          </w:rPr>
        </w:r>
        <w:r w:rsidR="000309E7">
          <w:rPr>
            <w:noProof/>
            <w:webHidden/>
          </w:rPr>
          <w:fldChar w:fldCharType="separate"/>
        </w:r>
        <w:r w:rsidR="000309E7">
          <w:rPr>
            <w:noProof/>
            <w:webHidden/>
          </w:rPr>
          <w:t>58</w:t>
        </w:r>
        <w:r w:rsidR="000309E7">
          <w:rPr>
            <w:noProof/>
            <w:webHidden/>
          </w:rPr>
          <w:fldChar w:fldCharType="end"/>
        </w:r>
      </w:hyperlink>
    </w:p>
    <w:p w14:paraId="76BD98F6" w14:textId="2882FADE" w:rsidR="000309E7" w:rsidRDefault="00D00510">
      <w:pPr>
        <w:pStyle w:val="Sumrio2"/>
        <w:rPr>
          <w:rFonts w:asciiTheme="minorHAnsi" w:eastAsiaTheme="minorEastAsia" w:hAnsiTheme="minorHAnsi" w:cstheme="minorBidi"/>
          <w:noProof/>
          <w:sz w:val="22"/>
          <w:szCs w:val="22"/>
          <w:lang w:eastAsia="pt-BR"/>
        </w:rPr>
      </w:pPr>
      <w:hyperlink w:anchor="_Toc22568253" w:history="1">
        <w:r w:rsidR="000309E7" w:rsidRPr="00B41BD8">
          <w:rPr>
            <w:rStyle w:val="Hyperlink"/>
            <w:noProof/>
          </w:rPr>
          <w:t>5.2 INTRODUÇÃO</w:t>
        </w:r>
        <w:r w:rsidR="000309E7">
          <w:rPr>
            <w:noProof/>
            <w:webHidden/>
          </w:rPr>
          <w:tab/>
        </w:r>
        <w:r w:rsidR="000309E7">
          <w:rPr>
            <w:noProof/>
            <w:webHidden/>
          </w:rPr>
          <w:fldChar w:fldCharType="begin"/>
        </w:r>
        <w:r w:rsidR="000309E7">
          <w:rPr>
            <w:noProof/>
            <w:webHidden/>
          </w:rPr>
          <w:instrText xml:space="preserve"> PAGEREF _Toc22568253 \h </w:instrText>
        </w:r>
        <w:r w:rsidR="000309E7">
          <w:rPr>
            <w:noProof/>
            <w:webHidden/>
          </w:rPr>
        </w:r>
        <w:r w:rsidR="000309E7">
          <w:rPr>
            <w:noProof/>
            <w:webHidden/>
          </w:rPr>
          <w:fldChar w:fldCharType="separate"/>
        </w:r>
        <w:r w:rsidR="000309E7">
          <w:rPr>
            <w:noProof/>
            <w:webHidden/>
          </w:rPr>
          <w:t>59</w:t>
        </w:r>
        <w:r w:rsidR="000309E7">
          <w:rPr>
            <w:noProof/>
            <w:webHidden/>
          </w:rPr>
          <w:fldChar w:fldCharType="end"/>
        </w:r>
      </w:hyperlink>
    </w:p>
    <w:p w14:paraId="62A20F46" w14:textId="73B94F7C" w:rsidR="000309E7" w:rsidRDefault="00D00510">
      <w:pPr>
        <w:pStyle w:val="Sumrio2"/>
        <w:rPr>
          <w:rFonts w:asciiTheme="minorHAnsi" w:eastAsiaTheme="minorEastAsia" w:hAnsiTheme="minorHAnsi" w:cstheme="minorBidi"/>
          <w:noProof/>
          <w:sz w:val="22"/>
          <w:szCs w:val="22"/>
          <w:lang w:eastAsia="pt-BR"/>
        </w:rPr>
      </w:pPr>
      <w:hyperlink w:anchor="_Toc22568254" w:history="1">
        <w:r w:rsidR="000309E7" w:rsidRPr="00B41BD8">
          <w:rPr>
            <w:rStyle w:val="Hyperlink"/>
            <w:noProof/>
          </w:rPr>
          <w:t>5.3 MATERIAIS E MÉTODOS</w:t>
        </w:r>
        <w:r w:rsidR="000309E7">
          <w:rPr>
            <w:noProof/>
            <w:webHidden/>
          </w:rPr>
          <w:tab/>
        </w:r>
        <w:r w:rsidR="000309E7">
          <w:rPr>
            <w:noProof/>
            <w:webHidden/>
          </w:rPr>
          <w:fldChar w:fldCharType="begin"/>
        </w:r>
        <w:r w:rsidR="000309E7">
          <w:rPr>
            <w:noProof/>
            <w:webHidden/>
          </w:rPr>
          <w:instrText xml:space="preserve"> PAGEREF _Toc22568254 \h </w:instrText>
        </w:r>
        <w:r w:rsidR="000309E7">
          <w:rPr>
            <w:noProof/>
            <w:webHidden/>
          </w:rPr>
        </w:r>
        <w:r w:rsidR="000309E7">
          <w:rPr>
            <w:noProof/>
            <w:webHidden/>
          </w:rPr>
          <w:fldChar w:fldCharType="separate"/>
        </w:r>
        <w:r w:rsidR="000309E7">
          <w:rPr>
            <w:noProof/>
            <w:webHidden/>
          </w:rPr>
          <w:t>61</w:t>
        </w:r>
        <w:r w:rsidR="000309E7">
          <w:rPr>
            <w:noProof/>
            <w:webHidden/>
          </w:rPr>
          <w:fldChar w:fldCharType="end"/>
        </w:r>
      </w:hyperlink>
    </w:p>
    <w:p w14:paraId="7E30DEA5" w14:textId="5FF76154" w:rsidR="000309E7" w:rsidRDefault="00D00510">
      <w:pPr>
        <w:pStyle w:val="Sumrio3"/>
        <w:rPr>
          <w:rFonts w:asciiTheme="minorHAnsi" w:eastAsiaTheme="minorEastAsia" w:hAnsiTheme="minorHAnsi" w:cstheme="minorBidi"/>
          <w:b w:val="0"/>
          <w:sz w:val="22"/>
          <w:szCs w:val="22"/>
          <w:lang w:eastAsia="pt-BR"/>
        </w:rPr>
      </w:pPr>
      <w:hyperlink w:anchor="_Toc22568255" w:history="1">
        <w:r w:rsidR="000309E7" w:rsidRPr="00B41BD8">
          <w:rPr>
            <w:rStyle w:val="Hyperlink"/>
          </w:rPr>
          <w:t>5.3.1 População do fungo</w:t>
        </w:r>
        <w:r w:rsidR="000309E7">
          <w:rPr>
            <w:webHidden/>
          </w:rPr>
          <w:tab/>
        </w:r>
        <w:r w:rsidR="000309E7">
          <w:rPr>
            <w:webHidden/>
          </w:rPr>
          <w:fldChar w:fldCharType="begin"/>
        </w:r>
        <w:r w:rsidR="000309E7">
          <w:rPr>
            <w:webHidden/>
          </w:rPr>
          <w:instrText xml:space="preserve"> PAGEREF _Toc22568255 \h </w:instrText>
        </w:r>
        <w:r w:rsidR="000309E7">
          <w:rPr>
            <w:webHidden/>
          </w:rPr>
        </w:r>
        <w:r w:rsidR="000309E7">
          <w:rPr>
            <w:webHidden/>
          </w:rPr>
          <w:fldChar w:fldCharType="separate"/>
        </w:r>
        <w:r w:rsidR="000309E7">
          <w:rPr>
            <w:webHidden/>
          </w:rPr>
          <w:t>62</w:t>
        </w:r>
        <w:r w:rsidR="000309E7">
          <w:rPr>
            <w:webHidden/>
          </w:rPr>
          <w:fldChar w:fldCharType="end"/>
        </w:r>
      </w:hyperlink>
    </w:p>
    <w:p w14:paraId="33DA6790" w14:textId="3871B08E" w:rsidR="000309E7" w:rsidRDefault="00D00510">
      <w:pPr>
        <w:pStyle w:val="Sumrio3"/>
        <w:rPr>
          <w:rFonts w:asciiTheme="minorHAnsi" w:eastAsiaTheme="minorEastAsia" w:hAnsiTheme="minorHAnsi" w:cstheme="minorBidi"/>
          <w:b w:val="0"/>
          <w:sz w:val="22"/>
          <w:szCs w:val="22"/>
          <w:lang w:eastAsia="pt-BR"/>
        </w:rPr>
      </w:pPr>
      <w:hyperlink w:anchor="_Toc22568256" w:history="1">
        <w:r w:rsidR="000309E7" w:rsidRPr="00B41BD8">
          <w:rPr>
            <w:rStyle w:val="Hyperlink"/>
          </w:rPr>
          <w:t>5.3.2 Manutenção do inóculo</w:t>
        </w:r>
        <w:r w:rsidR="000309E7">
          <w:rPr>
            <w:webHidden/>
          </w:rPr>
          <w:tab/>
        </w:r>
        <w:r w:rsidR="000309E7">
          <w:rPr>
            <w:webHidden/>
          </w:rPr>
          <w:fldChar w:fldCharType="begin"/>
        </w:r>
        <w:r w:rsidR="000309E7">
          <w:rPr>
            <w:webHidden/>
          </w:rPr>
          <w:instrText xml:space="preserve"> PAGEREF _Toc22568256 \h </w:instrText>
        </w:r>
        <w:r w:rsidR="000309E7">
          <w:rPr>
            <w:webHidden/>
          </w:rPr>
        </w:r>
        <w:r w:rsidR="000309E7">
          <w:rPr>
            <w:webHidden/>
          </w:rPr>
          <w:fldChar w:fldCharType="separate"/>
        </w:r>
        <w:r w:rsidR="000309E7">
          <w:rPr>
            <w:webHidden/>
          </w:rPr>
          <w:t>62</w:t>
        </w:r>
        <w:r w:rsidR="000309E7">
          <w:rPr>
            <w:webHidden/>
          </w:rPr>
          <w:fldChar w:fldCharType="end"/>
        </w:r>
      </w:hyperlink>
    </w:p>
    <w:p w14:paraId="5CC3D075" w14:textId="6D2A0629" w:rsidR="000309E7" w:rsidRDefault="00D00510">
      <w:pPr>
        <w:pStyle w:val="Sumrio3"/>
        <w:rPr>
          <w:rFonts w:asciiTheme="minorHAnsi" w:eastAsiaTheme="minorEastAsia" w:hAnsiTheme="minorHAnsi" w:cstheme="minorBidi"/>
          <w:b w:val="0"/>
          <w:sz w:val="22"/>
          <w:szCs w:val="22"/>
          <w:lang w:eastAsia="pt-BR"/>
        </w:rPr>
      </w:pPr>
      <w:hyperlink w:anchor="_Toc22568257" w:history="1">
        <w:r w:rsidR="000309E7" w:rsidRPr="00B41BD8">
          <w:rPr>
            <w:rStyle w:val="Hyperlink"/>
          </w:rPr>
          <w:t>5.3.3 Inoculações</w:t>
        </w:r>
        <w:r w:rsidR="000309E7">
          <w:rPr>
            <w:webHidden/>
          </w:rPr>
          <w:tab/>
        </w:r>
        <w:r w:rsidR="000309E7">
          <w:rPr>
            <w:webHidden/>
          </w:rPr>
          <w:fldChar w:fldCharType="begin"/>
        </w:r>
        <w:r w:rsidR="000309E7">
          <w:rPr>
            <w:webHidden/>
          </w:rPr>
          <w:instrText xml:space="preserve"> PAGEREF _Toc22568257 \h </w:instrText>
        </w:r>
        <w:r w:rsidR="000309E7">
          <w:rPr>
            <w:webHidden/>
          </w:rPr>
        </w:r>
        <w:r w:rsidR="000309E7">
          <w:rPr>
            <w:webHidden/>
          </w:rPr>
          <w:fldChar w:fldCharType="separate"/>
        </w:r>
        <w:r w:rsidR="000309E7">
          <w:rPr>
            <w:webHidden/>
          </w:rPr>
          <w:t>62</w:t>
        </w:r>
        <w:r w:rsidR="000309E7">
          <w:rPr>
            <w:webHidden/>
          </w:rPr>
          <w:fldChar w:fldCharType="end"/>
        </w:r>
      </w:hyperlink>
    </w:p>
    <w:p w14:paraId="5F210DD7" w14:textId="137542CB" w:rsidR="000309E7" w:rsidRDefault="00D00510">
      <w:pPr>
        <w:pStyle w:val="Sumrio3"/>
        <w:rPr>
          <w:rFonts w:asciiTheme="minorHAnsi" w:eastAsiaTheme="minorEastAsia" w:hAnsiTheme="minorHAnsi" w:cstheme="minorBidi"/>
          <w:b w:val="0"/>
          <w:sz w:val="22"/>
          <w:szCs w:val="22"/>
          <w:lang w:eastAsia="pt-BR"/>
        </w:rPr>
      </w:pPr>
      <w:hyperlink w:anchor="_Toc22568258" w:history="1">
        <w:r w:rsidR="000309E7" w:rsidRPr="00B41BD8">
          <w:rPr>
            <w:rStyle w:val="Hyperlink"/>
          </w:rPr>
          <w:t>5.3.4 Aplicações de fungicidas</w:t>
        </w:r>
        <w:r w:rsidR="000309E7">
          <w:rPr>
            <w:webHidden/>
          </w:rPr>
          <w:tab/>
        </w:r>
        <w:r w:rsidR="000309E7">
          <w:rPr>
            <w:webHidden/>
          </w:rPr>
          <w:fldChar w:fldCharType="begin"/>
        </w:r>
        <w:r w:rsidR="000309E7">
          <w:rPr>
            <w:webHidden/>
          </w:rPr>
          <w:instrText xml:space="preserve"> PAGEREF _Toc22568258 \h </w:instrText>
        </w:r>
        <w:r w:rsidR="000309E7">
          <w:rPr>
            <w:webHidden/>
          </w:rPr>
        </w:r>
        <w:r w:rsidR="000309E7">
          <w:rPr>
            <w:webHidden/>
          </w:rPr>
          <w:fldChar w:fldCharType="separate"/>
        </w:r>
        <w:r w:rsidR="000309E7">
          <w:rPr>
            <w:webHidden/>
          </w:rPr>
          <w:t>63</w:t>
        </w:r>
        <w:r w:rsidR="000309E7">
          <w:rPr>
            <w:webHidden/>
          </w:rPr>
          <w:fldChar w:fldCharType="end"/>
        </w:r>
      </w:hyperlink>
    </w:p>
    <w:p w14:paraId="121CDC2E" w14:textId="661FEE6E" w:rsidR="000309E7" w:rsidRDefault="00D00510">
      <w:pPr>
        <w:pStyle w:val="Sumrio3"/>
        <w:rPr>
          <w:rFonts w:asciiTheme="minorHAnsi" w:eastAsiaTheme="minorEastAsia" w:hAnsiTheme="minorHAnsi" w:cstheme="minorBidi"/>
          <w:b w:val="0"/>
          <w:sz w:val="22"/>
          <w:szCs w:val="22"/>
          <w:lang w:eastAsia="pt-BR"/>
        </w:rPr>
      </w:pPr>
      <w:hyperlink w:anchor="_Toc22568259" w:history="1">
        <w:r w:rsidR="000309E7" w:rsidRPr="00B41BD8">
          <w:rPr>
            <w:rStyle w:val="Hyperlink"/>
          </w:rPr>
          <w:t>5.3.5 Delineamento experimental e tratamentos</w:t>
        </w:r>
        <w:r w:rsidR="000309E7">
          <w:rPr>
            <w:webHidden/>
          </w:rPr>
          <w:tab/>
        </w:r>
        <w:r w:rsidR="000309E7">
          <w:rPr>
            <w:webHidden/>
          </w:rPr>
          <w:fldChar w:fldCharType="begin"/>
        </w:r>
        <w:r w:rsidR="000309E7">
          <w:rPr>
            <w:webHidden/>
          </w:rPr>
          <w:instrText xml:space="preserve"> PAGEREF _Toc22568259 \h </w:instrText>
        </w:r>
        <w:r w:rsidR="000309E7">
          <w:rPr>
            <w:webHidden/>
          </w:rPr>
        </w:r>
        <w:r w:rsidR="000309E7">
          <w:rPr>
            <w:webHidden/>
          </w:rPr>
          <w:fldChar w:fldCharType="separate"/>
        </w:r>
        <w:r w:rsidR="000309E7">
          <w:rPr>
            <w:webHidden/>
          </w:rPr>
          <w:t>63</w:t>
        </w:r>
        <w:r w:rsidR="000309E7">
          <w:rPr>
            <w:webHidden/>
          </w:rPr>
          <w:fldChar w:fldCharType="end"/>
        </w:r>
      </w:hyperlink>
    </w:p>
    <w:p w14:paraId="783799D6" w14:textId="007286B2" w:rsidR="000309E7" w:rsidRDefault="00D00510">
      <w:pPr>
        <w:pStyle w:val="Sumrio4"/>
        <w:rPr>
          <w:rFonts w:asciiTheme="minorHAnsi" w:eastAsiaTheme="minorEastAsia" w:hAnsiTheme="minorHAnsi" w:cstheme="minorBidi"/>
          <w:noProof/>
          <w:sz w:val="22"/>
          <w:szCs w:val="22"/>
          <w:lang w:eastAsia="pt-BR"/>
        </w:rPr>
      </w:pPr>
      <w:hyperlink w:anchor="_Toc22568260" w:history="1">
        <w:r w:rsidR="000309E7" w:rsidRPr="00B41BD8">
          <w:rPr>
            <w:rStyle w:val="Hyperlink"/>
            <w:noProof/>
          </w:rPr>
          <w:t>5.3.5.1 Estudo I – carboxamidas isoladas</w:t>
        </w:r>
        <w:r w:rsidR="000309E7">
          <w:rPr>
            <w:noProof/>
            <w:webHidden/>
          </w:rPr>
          <w:tab/>
        </w:r>
        <w:r w:rsidR="000309E7">
          <w:rPr>
            <w:noProof/>
            <w:webHidden/>
          </w:rPr>
          <w:fldChar w:fldCharType="begin"/>
        </w:r>
        <w:r w:rsidR="000309E7">
          <w:rPr>
            <w:noProof/>
            <w:webHidden/>
          </w:rPr>
          <w:instrText xml:space="preserve"> PAGEREF _Toc22568260 \h </w:instrText>
        </w:r>
        <w:r w:rsidR="000309E7">
          <w:rPr>
            <w:noProof/>
            <w:webHidden/>
          </w:rPr>
        </w:r>
        <w:r w:rsidR="000309E7">
          <w:rPr>
            <w:noProof/>
            <w:webHidden/>
          </w:rPr>
          <w:fldChar w:fldCharType="separate"/>
        </w:r>
        <w:r w:rsidR="000309E7">
          <w:rPr>
            <w:noProof/>
            <w:webHidden/>
          </w:rPr>
          <w:t>64</w:t>
        </w:r>
        <w:r w:rsidR="000309E7">
          <w:rPr>
            <w:noProof/>
            <w:webHidden/>
          </w:rPr>
          <w:fldChar w:fldCharType="end"/>
        </w:r>
      </w:hyperlink>
    </w:p>
    <w:p w14:paraId="0815B1BD" w14:textId="6A028E2B" w:rsidR="000309E7" w:rsidRDefault="00D00510">
      <w:pPr>
        <w:pStyle w:val="Sumrio4"/>
        <w:rPr>
          <w:rFonts w:asciiTheme="minorHAnsi" w:eastAsiaTheme="minorEastAsia" w:hAnsiTheme="minorHAnsi" w:cstheme="minorBidi"/>
          <w:noProof/>
          <w:sz w:val="22"/>
          <w:szCs w:val="22"/>
          <w:lang w:eastAsia="pt-BR"/>
        </w:rPr>
      </w:pPr>
      <w:hyperlink w:anchor="_Toc22568261" w:history="1">
        <w:r w:rsidR="000309E7" w:rsidRPr="00B41BD8">
          <w:rPr>
            <w:rStyle w:val="Hyperlink"/>
            <w:noProof/>
          </w:rPr>
          <w:t>5.3.5.1 Estudo II – misturas de carboxamidas</w:t>
        </w:r>
        <w:r w:rsidR="000309E7">
          <w:rPr>
            <w:noProof/>
            <w:webHidden/>
          </w:rPr>
          <w:tab/>
        </w:r>
        <w:r w:rsidR="000309E7">
          <w:rPr>
            <w:noProof/>
            <w:webHidden/>
          </w:rPr>
          <w:fldChar w:fldCharType="begin"/>
        </w:r>
        <w:r w:rsidR="000309E7">
          <w:rPr>
            <w:noProof/>
            <w:webHidden/>
          </w:rPr>
          <w:instrText xml:space="preserve"> PAGEREF _Toc22568261 \h </w:instrText>
        </w:r>
        <w:r w:rsidR="000309E7">
          <w:rPr>
            <w:noProof/>
            <w:webHidden/>
          </w:rPr>
        </w:r>
        <w:r w:rsidR="000309E7">
          <w:rPr>
            <w:noProof/>
            <w:webHidden/>
          </w:rPr>
          <w:fldChar w:fldCharType="separate"/>
        </w:r>
        <w:r w:rsidR="000309E7">
          <w:rPr>
            <w:noProof/>
            <w:webHidden/>
          </w:rPr>
          <w:t>64</w:t>
        </w:r>
        <w:r w:rsidR="000309E7">
          <w:rPr>
            <w:noProof/>
            <w:webHidden/>
          </w:rPr>
          <w:fldChar w:fldCharType="end"/>
        </w:r>
      </w:hyperlink>
    </w:p>
    <w:p w14:paraId="4350510A" w14:textId="569579C1" w:rsidR="000309E7" w:rsidRDefault="00D00510">
      <w:pPr>
        <w:pStyle w:val="Sumrio3"/>
        <w:rPr>
          <w:rFonts w:asciiTheme="minorHAnsi" w:eastAsiaTheme="minorEastAsia" w:hAnsiTheme="minorHAnsi" w:cstheme="minorBidi"/>
          <w:b w:val="0"/>
          <w:sz w:val="22"/>
          <w:szCs w:val="22"/>
          <w:lang w:eastAsia="pt-BR"/>
        </w:rPr>
      </w:pPr>
      <w:hyperlink w:anchor="_Toc22568262" w:history="1">
        <w:r w:rsidR="000309E7" w:rsidRPr="00B41BD8">
          <w:rPr>
            <w:rStyle w:val="Hyperlink"/>
          </w:rPr>
          <w:t>5.3.6 Avaliação de intensidade de doença</w:t>
        </w:r>
        <w:r w:rsidR="000309E7">
          <w:rPr>
            <w:webHidden/>
          </w:rPr>
          <w:tab/>
        </w:r>
        <w:r w:rsidR="000309E7">
          <w:rPr>
            <w:webHidden/>
          </w:rPr>
          <w:fldChar w:fldCharType="begin"/>
        </w:r>
        <w:r w:rsidR="000309E7">
          <w:rPr>
            <w:webHidden/>
          </w:rPr>
          <w:instrText xml:space="preserve"> PAGEREF _Toc22568262 \h </w:instrText>
        </w:r>
        <w:r w:rsidR="000309E7">
          <w:rPr>
            <w:webHidden/>
          </w:rPr>
        </w:r>
        <w:r w:rsidR="000309E7">
          <w:rPr>
            <w:webHidden/>
          </w:rPr>
          <w:fldChar w:fldCharType="separate"/>
        </w:r>
        <w:r w:rsidR="000309E7">
          <w:rPr>
            <w:webHidden/>
          </w:rPr>
          <w:t>64</w:t>
        </w:r>
        <w:r w:rsidR="000309E7">
          <w:rPr>
            <w:webHidden/>
          </w:rPr>
          <w:fldChar w:fldCharType="end"/>
        </w:r>
      </w:hyperlink>
    </w:p>
    <w:p w14:paraId="7B41BB01" w14:textId="7A786E78" w:rsidR="000309E7" w:rsidRDefault="00D00510">
      <w:pPr>
        <w:pStyle w:val="Sumrio3"/>
        <w:rPr>
          <w:rFonts w:asciiTheme="minorHAnsi" w:eastAsiaTheme="minorEastAsia" w:hAnsiTheme="minorHAnsi" w:cstheme="minorBidi"/>
          <w:b w:val="0"/>
          <w:sz w:val="22"/>
          <w:szCs w:val="22"/>
          <w:lang w:eastAsia="pt-BR"/>
        </w:rPr>
      </w:pPr>
      <w:hyperlink w:anchor="_Toc22568263" w:history="1">
        <w:r w:rsidR="000309E7" w:rsidRPr="00B41BD8">
          <w:rPr>
            <w:rStyle w:val="Hyperlink"/>
          </w:rPr>
          <w:t>5.3.7 Análise estatística</w:t>
        </w:r>
        <w:r w:rsidR="000309E7">
          <w:rPr>
            <w:webHidden/>
          </w:rPr>
          <w:tab/>
        </w:r>
        <w:r w:rsidR="000309E7">
          <w:rPr>
            <w:webHidden/>
          </w:rPr>
          <w:fldChar w:fldCharType="begin"/>
        </w:r>
        <w:r w:rsidR="000309E7">
          <w:rPr>
            <w:webHidden/>
          </w:rPr>
          <w:instrText xml:space="preserve"> PAGEREF _Toc22568263 \h </w:instrText>
        </w:r>
        <w:r w:rsidR="000309E7">
          <w:rPr>
            <w:webHidden/>
          </w:rPr>
        </w:r>
        <w:r w:rsidR="000309E7">
          <w:rPr>
            <w:webHidden/>
          </w:rPr>
          <w:fldChar w:fldCharType="separate"/>
        </w:r>
        <w:r w:rsidR="000309E7">
          <w:rPr>
            <w:webHidden/>
          </w:rPr>
          <w:t>65</w:t>
        </w:r>
        <w:r w:rsidR="000309E7">
          <w:rPr>
            <w:webHidden/>
          </w:rPr>
          <w:fldChar w:fldCharType="end"/>
        </w:r>
      </w:hyperlink>
    </w:p>
    <w:p w14:paraId="23B0156B" w14:textId="571C2B91" w:rsidR="000309E7" w:rsidRDefault="00D00510">
      <w:pPr>
        <w:pStyle w:val="Sumrio2"/>
        <w:rPr>
          <w:rFonts w:asciiTheme="minorHAnsi" w:eastAsiaTheme="minorEastAsia" w:hAnsiTheme="minorHAnsi" w:cstheme="minorBidi"/>
          <w:noProof/>
          <w:sz w:val="22"/>
          <w:szCs w:val="22"/>
          <w:lang w:eastAsia="pt-BR"/>
        </w:rPr>
      </w:pPr>
      <w:hyperlink w:anchor="_Toc22568264" w:history="1">
        <w:r w:rsidR="000309E7" w:rsidRPr="00B41BD8">
          <w:rPr>
            <w:rStyle w:val="Hyperlink"/>
            <w:noProof/>
          </w:rPr>
          <w:t>5.4 RESULTADOS</w:t>
        </w:r>
        <w:r w:rsidR="000309E7">
          <w:rPr>
            <w:noProof/>
            <w:webHidden/>
          </w:rPr>
          <w:tab/>
        </w:r>
        <w:r w:rsidR="000309E7">
          <w:rPr>
            <w:noProof/>
            <w:webHidden/>
          </w:rPr>
          <w:fldChar w:fldCharType="begin"/>
        </w:r>
        <w:r w:rsidR="000309E7">
          <w:rPr>
            <w:noProof/>
            <w:webHidden/>
          </w:rPr>
          <w:instrText xml:space="preserve"> PAGEREF _Toc22568264 \h </w:instrText>
        </w:r>
        <w:r w:rsidR="000309E7">
          <w:rPr>
            <w:noProof/>
            <w:webHidden/>
          </w:rPr>
        </w:r>
        <w:r w:rsidR="000309E7">
          <w:rPr>
            <w:noProof/>
            <w:webHidden/>
          </w:rPr>
          <w:fldChar w:fldCharType="separate"/>
        </w:r>
        <w:r w:rsidR="000309E7">
          <w:rPr>
            <w:noProof/>
            <w:webHidden/>
          </w:rPr>
          <w:t>65</w:t>
        </w:r>
        <w:r w:rsidR="000309E7">
          <w:rPr>
            <w:noProof/>
            <w:webHidden/>
          </w:rPr>
          <w:fldChar w:fldCharType="end"/>
        </w:r>
      </w:hyperlink>
    </w:p>
    <w:p w14:paraId="35326DAF" w14:textId="67D0861F" w:rsidR="000309E7" w:rsidRDefault="00D00510">
      <w:pPr>
        <w:pStyle w:val="Sumrio3"/>
        <w:rPr>
          <w:rFonts w:asciiTheme="minorHAnsi" w:eastAsiaTheme="minorEastAsia" w:hAnsiTheme="minorHAnsi" w:cstheme="minorBidi"/>
          <w:b w:val="0"/>
          <w:sz w:val="22"/>
          <w:szCs w:val="22"/>
          <w:lang w:eastAsia="pt-BR"/>
        </w:rPr>
      </w:pPr>
      <w:hyperlink w:anchor="_Toc22568265" w:history="1">
        <w:r w:rsidR="000309E7" w:rsidRPr="00B41BD8">
          <w:rPr>
            <w:rStyle w:val="Hyperlink"/>
          </w:rPr>
          <w:t>5.4.1 Estudo I - carboxamidas isoladas</w:t>
        </w:r>
        <w:r w:rsidR="000309E7">
          <w:rPr>
            <w:webHidden/>
          </w:rPr>
          <w:tab/>
        </w:r>
        <w:r w:rsidR="000309E7">
          <w:rPr>
            <w:webHidden/>
          </w:rPr>
          <w:fldChar w:fldCharType="begin"/>
        </w:r>
        <w:r w:rsidR="000309E7">
          <w:rPr>
            <w:webHidden/>
          </w:rPr>
          <w:instrText xml:space="preserve"> PAGEREF _Toc22568265 \h </w:instrText>
        </w:r>
        <w:r w:rsidR="000309E7">
          <w:rPr>
            <w:webHidden/>
          </w:rPr>
        </w:r>
        <w:r w:rsidR="000309E7">
          <w:rPr>
            <w:webHidden/>
          </w:rPr>
          <w:fldChar w:fldCharType="separate"/>
        </w:r>
        <w:r w:rsidR="000309E7">
          <w:rPr>
            <w:webHidden/>
          </w:rPr>
          <w:t>65</w:t>
        </w:r>
        <w:r w:rsidR="000309E7">
          <w:rPr>
            <w:webHidden/>
          </w:rPr>
          <w:fldChar w:fldCharType="end"/>
        </w:r>
      </w:hyperlink>
    </w:p>
    <w:p w14:paraId="6AA694CF" w14:textId="2CF1A91A" w:rsidR="000309E7" w:rsidRDefault="00D00510">
      <w:pPr>
        <w:pStyle w:val="Sumrio3"/>
        <w:rPr>
          <w:rFonts w:asciiTheme="minorHAnsi" w:eastAsiaTheme="minorEastAsia" w:hAnsiTheme="minorHAnsi" w:cstheme="minorBidi"/>
          <w:b w:val="0"/>
          <w:sz w:val="22"/>
          <w:szCs w:val="22"/>
          <w:lang w:eastAsia="pt-BR"/>
        </w:rPr>
      </w:pPr>
      <w:hyperlink w:anchor="_Toc22568266" w:history="1">
        <w:r w:rsidR="000309E7" w:rsidRPr="00B41BD8">
          <w:rPr>
            <w:rStyle w:val="Hyperlink"/>
          </w:rPr>
          <w:t>5.4.2 Misturas de carboxamidas</w:t>
        </w:r>
        <w:r w:rsidR="000309E7">
          <w:rPr>
            <w:webHidden/>
          </w:rPr>
          <w:tab/>
        </w:r>
        <w:r w:rsidR="000309E7">
          <w:rPr>
            <w:webHidden/>
          </w:rPr>
          <w:fldChar w:fldCharType="begin"/>
        </w:r>
        <w:r w:rsidR="000309E7">
          <w:rPr>
            <w:webHidden/>
          </w:rPr>
          <w:instrText xml:space="preserve"> PAGEREF _Toc22568266 \h </w:instrText>
        </w:r>
        <w:r w:rsidR="000309E7">
          <w:rPr>
            <w:webHidden/>
          </w:rPr>
        </w:r>
        <w:r w:rsidR="000309E7">
          <w:rPr>
            <w:webHidden/>
          </w:rPr>
          <w:fldChar w:fldCharType="separate"/>
        </w:r>
        <w:r w:rsidR="000309E7">
          <w:rPr>
            <w:webHidden/>
          </w:rPr>
          <w:t>68</w:t>
        </w:r>
        <w:r w:rsidR="000309E7">
          <w:rPr>
            <w:webHidden/>
          </w:rPr>
          <w:fldChar w:fldCharType="end"/>
        </w:r>
      </w:hyperlink>
    </w:p>
    <w:p w14:paraId="13A7B8EC" w14:textId="3708F7F3" w:rsidR="000309E7" w:rsidRDefault="00D00510">
      <w:pPr>
        <w:pStyle w:val="Sumrio2"/>
        <w:rPr>
          <w:rFonts w:asciiTheme="minorHAnsi" w:eastAsiaTheme="minorEastAsia" w:hAnsiTheme="minorHAnsi" w:cstheme="minorBidi"/>
          <w:noProof/>
          <w:sz w:val="22"/>
          <w:szCs w:val="22"/>
          <w:lang w:eastAsia="pt-BR"/>
        </w:rPr>
      </w:pPr>
      <w:hyperlink w:anchor="_Toc22568267" w:history="1">
        <w:r w:rsidR="000309E7" w:rsidRPr="00B41BD8">
          <w:rPr>
            <w:rStyle w:val="Hyperlink"/>
            <w:noProof/>
          </w:rPr>
          <w:t>5.5 DISCUSSÃO</w:t>
        </w:r>
        <w:r w:rsidR="000309E7">
          <w:rPr>
            <w:noProof/>
            <w:webHidden/>
          </w:rPr>
          <w:tab/>
        </w:r>
        <w:r w:rsidR="000309E7">
          <w:rPr>
            <w:noProof/>
            <w:webHidden/>
          </w:rPr>
          <w:fldChar w:fldCharType="begin"/>
        </w:r>
        <w:r w:rsidR="000309E7">
          <w:rPr>
            <w:noProof/>
            <w:webHidden/>
          </w:rPr>
          <w:instrText xml:space="preserve"> PAGEREF _Toc22568267 \h </w:instrText>
        </w:r>
        <w:r w:rsidR="000309E7">
          <w:rPr>
            <w:noProof/>
            <w:webHidden/>
          </w:rPr>
        </w:r>
        <w:r w:rsidR="000309E7">
          <w:rPr>
            <w:noProof/>
            <w:webHidden/>
          </w:rPr>
          <w:fldChar w:fldCharType="separate"/>
        </w:r>
        <w:r w:rsidR="000309E7">
          <w:rPr>
            <w:noProof/>
            <w:webHidden/>
          </w:rPr>
          <w:t>78</w:t>
        </w:r>
        <w:r w:rsidR="000309E7">
          <w:rPr>
            <w:noProof/>
            <w:webHidden/>
          </w:rPr>
          <w:fldChar w:fldCharType="end"/>
        </w:r>
      </w:hyperlink>
    </w:p>
    <w:p w14:paraId="246DE28B" w14:textId="0E4EC80F" w:rsidR="000309E7" w:rsidRDefault="00D00510">
      <w:pPr>
        <w:pStyle w:val="Sumrio3"/>
        <w:rPr>
          <w:rFonts w:asciiTheme="minorHAnsi" w:eastAsiaTheme="minorEastAsia" w:hAnsiTheme="minorHAnsi" w:cstheme="minorBidi"/>
          <w:b w:val="0"/>
          <w:sz w:val="22"/>
          <w:szCs w:val="22"/>
          <w:lang w:eastAsia="pt-BR"/>
        </w:rPr>
      </w:pPr>
      <w:hyperlink w:anchor="_Toc22568268" w:history="1">
        <w:r w:rsidR="000309E7" w:rsidRPr="00B41BD8">
          <w:rPr>
            <w:rStyle w:val="Hyperlink"/>
          </w:rPr>
          <w:t>5.5.1. Carboxamidas isoladas</w:t>
        </w:r>
        <w:r w:rsidR="000309E7">
          <w:rPr>
            <w:webHidden/>
          </w:rPr>
          <w:tab/>
        </w:r>
        <w:r w:rsidR="000309E7">
          <w:rPr>
            <w:webHidden/>
          </w:rPr>
          <w:fldChar w:fldCharType="begin"/>
        </w:r>
        <w:r w:rsidR="000309E7">
          <w:rPr>
            <w:webHidden/>
          </w:rPr>
          <w:instrText xml:space="preserve"> PAGEREF _Toc22568268 \h </w:instrText>
        </w:r>
        <w:r w:rsidR="000309E7">
          <w:rPr>
            <w:webHidden/>
          </w:rPr>
        </w:r>
        <w:r w:rsidR="000309E7">
          <w:rPr>
            <w:webHidden/>
          </w:rPr>
          <w:fldChar w:fldCharType="separate"/>
        </w:r>
        <w:r w:rsidR="000309E7">
          <w:rPr>
            <w:webHidden/>
          </w:rPr>
          <w:t>78</w:t>
        </w:r>
        <w:r w:rsidR="000309E7">
          <w:rPr>
            <w:webHidden/>
          </w:rPr>
          <w:fldChar w:fldCharType="end"/>
        </w:r>
      </w:hyperlink>
    </w:p>
    <w:p w14:paraId="2698B9CD" w14:textId="4E995794" w:rsidR="000309E7" w:rsidRDefault="00D00510">
      <w:pPr>
        <w:pStyle w:val="Sumrio3"/>
        <w:rPr>
          <w:rFonts w:asciiTheme="minorHAnsi" w:eastAsiaTheme="minorEastAsia" w:hAnsiTheme="minorHAnsi" w:cstheme="minorBidi"/>
          <w:b w:val="0"/>
          <w:sz w:val="22"/>
          <w:szCs w:val="22"/>
          <w:lang w:eastAsia="pt-BR"/>
        </w:rPr>
      </w:pPr>
      <w:hyperlink w:anchor="_Toc22568269" w:history="1">
        <w:r w:rsidR="000309E7" w:rsidRPr="00B41BD8">
          <w:rPr>
            <w:rStyle w:val="Hyperlink"/>
          </w:rPr>
          <w:t>5.5.2</w:t>
        </w:r>
        <w:r w:rsidR="000309E7" w:rsidRPr="00B41BD8">
          <w:rPr>
            <w:rStyle w:val="Hyperlink"/>
            <w:i/>
          </w:rPr>
          <w:t xml:space="preserve">. </w:t>
        </w:r>
        <w:r w:rsidR="000309E7" w:rsidRPr="00B41BD8">
          <w:rPr>
            <w:rStyle w:val="Hyperlink"/>
          </w:rPr>
          <w:t>Mistura de carboxamidas</w:t>
        </w:r>
        <w:r w:rsidR="000309E7">
          <w:rPr>
            <w:webHidden/>
          </w:rPr>
          <w:tab/>
        </w:r>
        <w:r w:rsidR="000309E7">
          <w:rPr>
            <w:webHidden/>
          </w:rPr>
          <w:fldChar w:fldCharType="begin"/>
        </w:r>
        <w:r w:rsidR="000309E7">
          <w:rPr>
            <w:webHidden/>
          </w:rPr>
          <w:instrText xml:space="preserve"> PAGEREF _Toc22568269 \h </w:instrText>
        </w:r>
        <w:r w:rsidR="000309E7">
          <w:rPr>
            <w:webHidden/>
          </w:rPr>
        </w:r>
        <w:r w:rsidR="000309E7">
          <w:rPr>
            <w:webHidden/>
          </w:rPr>
          <w:fldChar w:fldCharType="separate"/>
        </w:r>
        <w:r w:rsidR="000309E7">
          <w:rPr>
            <w:webHidden/>
          </w:rPr>
          <w:t>80</w:t>
        </w:r>
        <w:r w:rsidR="000309E7">
          <w:rPr>
            <w:webHidden/>
          </w:rPr>
          <w:fldChar w:fldCharType="end"/>
        </w:r>
      </w:hyperlink>
    </w:p>
    <w:p w14:paraId="4C1CB601" w14:textId="02BD811F" w:rsidR="000309E7" w:rsidRDefault="00D00510">
      <w:pPr>
        <w:pStyle w:val="Sumrio1"/>
        <w:rPr>
          <w:rFonts w:asciiTheme="minorHAnsi" w:eastAsiaTheme="minorEastAsia" w:hAnsiTheme="minorHAnsi" w:cstheme="minorBidi"/>
          <w:b w:val="0"/>
          <w:sz w:val="22"/>
          <w:szCs w:val="22"/>
          <w:lang w:eastAsia="pt-BR"/>
        </w:rPr>
      </w:pPr>
      <w:hyperlink w:anchor="_Toc22568270" w:history="1">
        <w:r w:rsidR="000309E7" w:rsidRPr="00B41BD8">
          <w:rPr>
            <w:rStyle w:val="Hyperlink"/>
          </w:rPr>
          <w:t xml:space="preserve">6 </w:t>
        </w:r>
        <w:r w:rsidR="000309E7" w:rsidRPr="00B41BD8">
          <w:rPr>
            <w:rStyle w:val="Hyperlink"/>
            <w:rFonts w:eastAsia="Times New Roman"/>
            <w:lang w:eastAsia="pt-BR"/>
          </w:rPr>
          <w:t xml:space="preserve">LEVANTAMENTO DA FREQUÊNCIA DA MUTAÇÃO I86F NA ENZIMA SUCCINATO DESIDROGENASE EM POPULAÇÕES DE </w:t>
        </w:r>
        <w:r w:rsidR="000309E7" w:rsidRPr="00B41BD8">
          <w:rPr>
            <w:rStyle w:val="Hyperlink"/>
            <w:rFonts w:eastAsia="Times New Roman"/>
            <w:i/>
            <w:lang w:val="pt-PT" w:eastAsia="pt-BR"/>
          </w:rPr>
          <w:t xml:space="preserve">Phakopsora pachyrhizi </w:t>
        </w:r>
        <w:r w:rsidR="000309E7" w:rsidRPr="00B41BD8">
          <w:rPr>
            <w:rStyle w:val="Hyperlink"/>
            <w:rFonts w:eastAsia="Times New Roman"/>
            <w:lang w:eastAsia="pt-BR"/>
          </w:rPr>
          <w:t xml:space="preserve">NO ESTADO DE </w:t>
        </w:r>
        <w:r w:rsidR="000309E7" w:rsidRPr="00B41BD8">
          <w:rPr>
            <w:rStyle w:val="Hyperlink"/>
          </w:rPr>
          <w:t>SANTA</w:t>
        </w:r>
        <w:r w:rsidR="000309E7" w:rsidRPr="00B41BD8">
          <w:rPr>
            <w:rStyle w:val="Hyperlink"/>
            <w:rFonts w:eastAsia="Times New Roman"/>
            <w:lang w:eastAsia="pt-BR"/>
          </w:rPr>
          <w:t xml:space="preserve"> CATARINA</w:t>
        </w:r>
        <w:r w:rsidR="000309E7">
          <w:rPr>
            <w:webHidden/>
          </w:rPr>
          <w:tab/>
        </w:r>
        <w:r w:rsidR="000309E7">
          <w:rPr>
            <w:webHidden/>
          </w:rPr>
          <w:fldChar w:fldCharType="begin"/>
        </w:r>
        <w:r w:rsidR="000309E7">
          <w:rPr>
            <w:webHidden/>
          </w:rPr>
          <w:instrText xml:space="preserve"> PAGEREF _Toc22568270 \h </w:instrText>
        </w:r>
        <w:r w:rsidR="000309E7">
          <w:rPr>
            <w:webHidden/>
          </w:rPr>
        </w:r>
        <w:r w:rsidR="000309E7">
          <w:rPr>
            <w:webHidden/>
          </w:rPr>
          <w:fldChar w:fldCharType="separate"/>
        </w:r>
        <w:r w:rsidR="000309E7">
          <w:rPr>
            <w:webHidden/>
          </w:rPr>
          <w:t>84</w:t>
        </w:r>
        <w:r w:rsidR="000309E7">
          <w:rPr>
            <w:webHidden/>
          </w:rPr>
          <w:fldChar w:fldCharType="end"/>
        </w:r>
      </w:hyperlink>
    </w:p>
    <w:p w14:paraId="047F179D" w14:textId="6CFCAB55" w:rsidR="000309E7" w:rsidRDefault="00D00510">
      <w:pPr>
        <w:pStyle w:val="Sumrio2"/>
        <w:rPr>
          <w:rFonts w:asciiTheme="minorHAnsi" w:eastAsiaTheme="minorEastAsia" w:hAnsiTheme="minorHAnsi" w:cstheme="minorBidi"/>
          <w:noProof/>
          <w:sz w:val="22"/>
          <w:szCs w:val="22"/>
          <w:lang w:eastAsia="pt-BR"/>
        </w:rPr>
      </w:pPr>
      <w:hyperlink w:anchor="_Toc22568271" w:history="1">
        <w:r w:rsidR="000309E7" w:rsidRPr="00B41BD8">
          <w:rPr>
            <w:rStyle w:val="Hyperlink"/>
            <w:noProof/>
          </w:rPr>
          <w:t>6.1 RESUMO</w:t>
        </w:r>
        <w:r w:rsidR="000309E7">
          <w:rPr>
            <w:noProof/>
            <w:webHidden/>
          </w:rPr>
          <w:tab/>
        </w:r>
        <w:r w:rsidR="000309E7">
          <w:rPr>
            <w:noProof/>
            <w:webHidden/>
          </w:rPr>
          <w:fldChar w:fldCharType="begin"/>
        </w:r>
        <w:r w:rsidR="000309E7">
          <w:rPr>
            <w:noProof/>
            <w:webHidden/>
          </w:rPr>
          <w:instrText xml:space="preserve"> PAGEREF _Toc22568271 \h </w:instrText>
        </w:r>
        <w:r w:rsidR="000309E7">
          <w:rPr>
            <w:noProof/>
            <w:webHidden/>
          </w:rPr>
        </w:r>
        <w:r w:rsidR="000309E7">
          <w:rPr>
            <w:noProof/>
            <w:webHidden/>
          </w:rPr>
          <w:fldChar w:fldCharType="separate"/>
        </w:r>
        <w:r w:rsidR="000309E7">
          <w:rPr>
            <w:noProof/>
            <w:webHidden/>
          </w:rPr>
          <w:t>84</w:t>
        </w:r>
        <w:r w:rsidR="000309E7">
          <w:rPr>
            <w:noProof/>
            <w:webHidden/>
          </w:rPr>
          <w:fldChar w:fldCharType="end"/>
        </w:r>
      </w:hyperlink>
    </w:p>
    <w:p w14:paraId="1AB98DF2" w14:textId="0328412B" w:rsidR="000309E7" w:rsidRDefault="00D00510">
      <w:pPr>
        <w:pStyle w:val="Sumrio2"/>
        <w:rPr>
          <w:rFonts w:asciiTheme="minorHAnsi" w:eastAsiaTheme="minorEastAsia" w:hAnsiTheme="minorHAnsi" w:cstheme="minorBidi"/>
          <w:noProof/>
          <w:sz w:val="22"/>
          <w:szCs w:val="22"/>
          <w:lang w:eastAsia="pt-BR"/>
        </w:rPr>
      </w:pPr>
      <w:hyperlink w:anchor="_Toc22568272" w:history="1">
        <w:r w:rsidR="000309E7" w:rsidRPr="00B41BD8">
          <w:rPr>
            <w:rStyle w:val="Hyperlink"/>
            <w:noProof/>
          </w:rPr>
          <w:t>6.2 INTRODUÇÃO</w:t>
        </w:r>
        <w:r w:rsidR="000309E7">
          <w:rPr>
            <w:noProof/>
            <w:webHidden/>
          </w:rPr>
          <w:tab/>
        </w:r>
        <w:r w:rsidR="000309E7">
          <w:rPr>
            <w:noProof/>
            <w:webHidden/>
          </w:rPr>
          <w:fldChar w:fldCharType="begin"/>
        </w:r>
        <w:r w:rsidR="000309E7">
          <w:rPr>
            <w:noProof/>
            <w:webHidden/>
          </w:rPr>
          <w:instrText xml:space="preserve"> PAGEREF _Toc22568272 \h </w:instrText>
        </w:r>
        <w:r w:rsidR="000309E7">
          <w:rPr>
            <w:noProof/>
            <w:webHidden/>
          </w:rPr>
        </w:r>
        <w:r w:rsidR="000309E7">
          <w:rPr>
            <w:noProof/>
            <w:webHidden/>
          </w:rPr>
          <w:fldChar w:fldCharType="separate"/>
        </w:r>
        <w:r w:rsidR="000309E7">
          <w:rPr>
            <w:noProof/>
            <w:webHidden/>
          </w:rPr>
          <w:t>85</w:t>
        </w:r>
        <w:r w:rsidR="000309E7">
          <w:rPr>
            <w:noProof/>
            <w:webHidden/>
          </w:rPr>
          <w:fldChar w:fldCharType="end"/>
        </w:r>
      </w:hyperlink>
    </w:p>
    <w:p w14:paraId="5B874152" w14:textId="4C45775C" w:rsidR="000309E7" w:rsidRDefault="00D00510">
      <w:pPr>
        <w:pStyle w:val="Sumrio2"/>
        <w:rPr>
          <w:rFonts w:asciiTheme="minorHAnsi" w:eastAsiaTheme="minorEastAsia" w:hAnsiTheme="minorHAnsi" w:cstheme="minorBidi"/>
          <w:noProof/>
          <w:sz w:val="22"/>
          <w:szCs w:val="22"/>
          <w:lang w:eastAsia="pt-BR"/>
        </w:rPr>
      </w:pPr>
      <w:hyperlink w:anchor="_Toc22568273" w:history="1">
        <w:r w:rsidR="000309E7" w:rsidRPr="00B41BD8">
          <w:rPr>
            <w:rStyle w:val="Hyperlink"/>
            <w:noProof/>
          </w:rPr>
          <w:t>6.3 MATERIAL E MÉTODOS</w:t>
        </w:r>
        <w:r w:rsidR="000309E7">
          <w:rPr>
            <w:noProof/>
            <w:webHidden/>
          </w:rPr>
          <w:tab/>
        </w:r>
        <w:r w:rsidR="000309E7">
          <w:rPr>
            <w:noProof/>
            <w:webHidden/>
          </w:rPr>
          <w:fldChar w:fldCharType="begin"/>
        </w:r>
        <w:r w:rsidR="000309E7">
          <w:rPr>
            <w:noProof/>
            <w:webHidden/>
          </w:rPr>
          <w:instrText xml:space="preserve"> PAGEREF _Toc22568273 \h </w:instrText>
        </w:r>
        <w:r w:rsidR="000309E7">
          <w:rPr>
            <w:noProof/>
            <w:webHidden/>
          </w:rPr>
        </w:r>
        <w:r w:rsidR="000309E7">
          <w:rPr>
            <w:noProof/>
            <w:webHidden/>
          </w:rPr>
          <w:fldChar w:fldCharType="separate"/>
        </w:r>
        <w:r w:rsidR="000309E7">
          <w:rPr>
            <w:noProof/>
            <w:webHidden/>
          </w:rPr>
          <w:t>86</w:t>
        </w:r>
        <w:r w:rsidR="000309E7">
          <w:rPr>
            <w:noProof/>
            <w:webHidden/>
          </w:rPr>
          <w:fldChar w:fldCharType="end"/>
        </w:r>
      </w:hyperlink>
    </w:p>
    <w:p w14:paraId="6EE1E0C5" w14:textId="7F009920" w:rsidR="000309E7" w:rsidRDefault="00D00510">
      <w:pPr>
        <w:pStyle w:val="Sumrio2"/>
        <w:rPr>
          <w:rFonts w:asciiTheme="minorHAnsi" w:eastAsiaTheme="minorEastAsia" w:hAnsiTheme="minorHAnsi" w:cstheme="minorBidi"/>
          <w:noProof/>
          <w:sz w:val="22"/>
          <w:szCs w:val="22"/>
          <w:lang w:eastAsia="pt-BR"/>
        </w:rPr>
      </w:pPr>
      <w:hyperlink w:anchor="_Toc22568274" w:history="1">
        <w:r w:rsidR="000309E7" w:rsidRPr="00B41BD8">
          <w:rPr>
            <w:rStyle w:val="Hyperlink"/>
            <w:noProof/>
          </w:rPr>
          <w:t>6.4 RESULTADOS</w:t>
        </w:r>
        <w:r w:rsidR="000309E7">
          <w:rPr>
            <w:noProof/>
            <w:webHidden/>
          </w:rPr>
          <w:tab/>
        </w:r>
        <w:r w:rsidR="000309E7">
          <w:rPr>
            <w:noProof/>
            <w:webHidden/>
          </w:rPr>
          <w:fldChar w:fldCharType="begin"/>
        </w:r>
        <w:r w:rsidR="000309E7">
          <w:rPr>
            <w:noProof/>
            <w:webHidden/>
          </w:rPr>
          <w:instrText xml:space="preserve"> PAGEREF _Toc22568274 \h </w:instrText>
        </w:r>
        <w:r w:rsidR="000309E7">
          <w:rPr>
            <w:noProof/>
            <w:webHidden/>
          </w:rPr>
        </w:r>
        <w:r w:rsidR="000309E7">
          <w:rPr>
            <w:noProof/>
            <w:webHidden/>
          </w:rPr>
          <w:fldChar w:fldCharType="separate"/>
        </w:r>
        <w:r w:rsidR="000309E7">
          <w:rPr>
            <w:noProof/>
            <w:webHidden/>
          </w:rPr>
          <w:t>87</w:t>
        </w:r>
        <w:r w:rsidR="000309E7">
          <w:rPr>
            <w:noProof/>
            <w:webHidden/>
          </w:rPr>
          <w:fldChar w:fldCharType="end"/>
        </w:r>
      </w:hyperlink>
    </w:p>
    <w:p w14:paraId="6A78DAAD" w14:textId="04B8D5C7" w:rsidR="000309E7" w:rsidRDefault="00D00510">
      <w:pPr>
        <w:pStyle w:val="Sumrio2"/>
        <w:rPr>
          <w:rFonts w:asciiTheme="minorHAnsi" w:eastAsiaTheme="minorEastAsia" w:hAnsiTheme="minorHAnsi" w:cstheme="minorBidi"/>
          <w:noProof/>
          <w:sz w:val="22"/>
          <w:szCs w:val="22"/>
          <w:lang w:eastAsia="pt-BR"/>
        </w:rPr>
      </w:pPr>
      <w:hyperlink w:anchor="_Toc22568275" w:history="1">
        <w:r w:rsidR="000309E7" w:rsidRPr="00B41BD8">
          <w:rPr>
            <w:rStyle w:val="Hyperlink"/>
            <w:noProof/>
          </w:rPr>
          <w:t>6.5 DISCUSSÃO</w:t>
        </w:r>
        <w:r w:rsidR="000309E7">
          <w:rPr>
            <w:noProof/>
            <w:webHidden/>
          </w:rPr>
          <w:tab/>
        </w:r>
        <w:r w:rsidR="000309E7">
          <w:rPr>
            <w:noProof/>
            <w:webHidden/>
          </w:rPr>
          <w:fldChar w:fldCharType="begin"/>
        </w:r>
        <w:r w:rsidR="000309E7">
          <w:rPr>
            <w:noProof/>
            <w:webHidden/>
          </w:rPr>
          <w:instrText xml:space="preserve"> PAGEREF _Toc22568275 \h </w:instrText>
        </w:r>
        <w:r w:rsidR="000309E7">
          <w:rPr>
            <w:noProof/>
            <w:webHidden/>
          </w:rPr>
        </w:r>
        <w:r w:rsidR="000309E7">
          <w:rPr>
            <w:noProof/>
            <w:webHidden/>
          </w:rPr>
          <w:fldChar w:fldCharType="separate"/>
        </w:r>
        <w:r w:rsidR="000309E7">
          <w:rPr>
            <w:noProof/>
            <w:webHidden/>
          </w:rPr>
          <w:t>97</w:t>
        </w:r>
        <w:r w:rsidR="000309E7">
          <w:rPr>
            <w:noProof/>
            <w:webHidden/>
          </w:rPr>
          <w:fldChar w:fldCharType="end"/>
        </w:r>
      </w:hyperlink>
    </w:p>
    <w:p w14:paraId="396A1B74" w14:textId="6FE8AF3E" w:rsidR="000309E7" w:rsidRDefault="00D00510">
      <w:pPr>
        <w:pStyle w:val="Sumrio2"/>
        <w:rPr>
          <w:rFonts w:asciiTheme="minorHAnsi" w:eastAsiaTheme="minorEastAsia" w:hAnsiTheme="minorHAnsi" w:cstheme="minorBidi"/>
          <w:noProof/>
          <w:sz w:val="22"/>
          <w:szCs w:val="22"/>
          <w:lang w:eastAsia="pt-BR"/>
        </w:rPr>
      </w:pPr>
      <w:hyperlink w:anchor="_Toc22568276" w:history="1">
        <w:r w:rsidR="000309E7" w:rsidRPr="00B41BD8">
          <w:rPr>
            <w:rStyle w:val="Hyperlink"/>
            <w:noProof/>
          </w:rPr>
          <w:t>6.6 CONCLUSÕES</w:t>
        </w:r>
        <w:r w:rsidR="000309E7">
          <w:rPr>
            <w:noProof/>
            <w:webHidden/>
          </w:rPr>
          <w:tab/>
        </w:r>
        <w:r w:rsidR="000309E7">
          <w:rPr>
            <w:noProof/>
            <w:webHidden/>
          </w:rPr>
          <w:fldChar w:fldCharType="begin"/>
        </w:r>
        <w:r w:rsidR="000309E7">
          <w:rPr>
            <w:noProof/>
            <w:webHidden/>
          </w:rPr>
          <w:instrText xml:space="preserve"> PAGEREF _Toc22568276 \h </w:instrText>
        </w:r>
        <w:r w:rsidR="000309E7">
          <w:rPr>
            <w:noProof/>
            <w:webHidden/>
          </w:rPr>
        </w:r>
        <w:r w:rsidR="000309E7">
          <w:rPr>
            <w:noProof/>
            <w:webHidden/>
          </w:rPr>
          <w:fldChar w:fldCharType="separate"/>
        </w:r>
        <w:r w:rsidR="000309E7">
          <w:rPr>
            <w:noProof/>
            <w:webHidden/>
          </w:rPr>
          <w:t>98</w:t>
        </w:r>
        <w:r w:rsidR="000309E7">
          <w:rPr>
            <w:noProof/>
            <w:webHidden/>
          </w:rPr>
          <w:fldChar w:fldCharType="end"/>
        </w:r>
      </w:hyperlink>
    </w:p>
    <w:p w14:paraId="36AC0D9A" w14:textId="7A8E2123" w:rsidR="000309E7" w:rsidRDefault="00D00510">
      <w:pPr>
        <w:pStyle w:val="Sumrio1"/>
        <w:rPr>
          <w:rFonts w:asciiTheme="minorHAnsi" w:eastAsiaTheme="minorEastAsia" w:hAnsiTheme="minorHAnsi" w:cstheme="minorBidi"/>
          <w:b w:val="0"/>
          <w:sz w:val="22"/>
          <w:szCs w:val="22"/>
          <w:lang w:eastAsia="pt-BR"/>
        </w:rPr>
      </w:pPr>
      <w:hyperlink w:anchor="_Toc22568277" w:history="1">
        <w:r w:rsidR="000309E7" w:rsidRPr="00B41BD8">
          <w:rPr>
            <w:rStyle w:val="Hyperlink"/>
          </w:rPr>
          <w:t xml:space="preserve">7 FREQUÊNCIA DA MUTAÇÃO I86F EM POPULAÇÕES DE </w:t>
        </w:r>
        <w:r w:rsidR="000309E7" w:rsidRPr="00B41BD8">
          <w:rPr>
            <w:rStyle w:val="Hyperlink"/>
            <w:i/>
            <w:iCs/>
          </w:rPr>
          <w:t xml:space="preserve">Phakopsora pachyrhizi </w:t>
        </w:r>
        <w:r w:rsidR="000309E7" w:rsidRPr="00B41BD8">
          <w:rPr>
            <w:rStyle w:val="Hyperlink"/>
            <w:iCs/>
          </w:rPr>
          <w:t>SUBMETIDAS A P</w:t>
        </w:r>
        <w:r w:rsidR="000309E7" w:rsidRPr="00B41BD8">
          <w:rPr>
            <w:rStyle w:val="Hyperlink"/>
          </w:rPr>
          <w:t>ROGRAMAS DE APLICAÇÕES DE FUNGICIDAS E RESISTÊNCIA GENÉTICA</w:t>
        </w:r>
        <w:r w:rsidR="000309E7">
          <w:rPr>
            <w:webHidden/>
          </w:rPr>
          <w:tab/>
        </w:r>
        <w:r w:rsidR="000309E7">
          <w:rPr>
            <w:webHidden/>
          </w:rPr>
          <w:fldChar w:fldCharType="begin"/>
        </w:r>
        <w:r w:rsidR="000309E7">
          <w:rPr>
            <w:webHidden/>
          </w:rPr>
          <w:instrText xml:space="preserve"> PAGEREF _Toc22568277 \h </w:instrText>
        </w:r>
        <w:r w:rsidR="000309E7">
          <w:rPr>
            <w:webHidden/>
          </w:rPr>
        </w:r>
        <w:r w:rsidR="000309E7">
          <w:rPr>
            <w:webHidden/>
          </w:rPr>
          <w:fldChar w:fldCharType="separate"/>
        </w:r>
        <w:r w:rsidR="000309E7">
          <w:rPr>
            <w:webHidden/>
          </w:rPr>
          <w:t>99</w:t>
        </w:r>
        <w:r w:rsidR="000309E7">
          <w:rPr>
            <w:webHidden/>
          </w:rPr>
          <w:fldChar w:fldCharType="end"/>
        </w:r>
      </w:hyperlink>
    </w:p>
    <w:p w14:paraId="0192AC55" w14:textId="2BA77BF4" w:rsidR="000309E7" w:rsidRDefault="00D00510">
      <w:pPr>
        <w:pStyle w:val="Sumrio2"/>
        <w:rPr>
          <w:rFonts w:asciiTheme="minorHAnsi" w:eastAsiaTheme="minorEastAsia" w:hAnsiTheme="minorHAnsi" w:cstheme="minorBidi"/>
          <w:noProof/>
          <w:sz w:val="22"/>
          <w:szCs w:val="22"/>
          <w:lang w:eastAsia="pt-BR"/>
        </w:rPr>
      </w:pPr>
      <w:hyperlink w:anchor="_Toc22568278" w:history="1">
        <w:r w:rsidR="000309E7" w:rsidRPr="00B41BD8">
          <w:rPr>
            <w:rStyle w:val="Hyperlink"/>
            <w:noProof/>
          </w:rPr>
          <w:t>7.1 RESUMO</w:t>
        </w:r>
        <w:r w:rsidR="000309E7">
          <w:rPr>
            <w:noProof/>
            <w:webHidden/>
          </w:rPr>
          <w:tab/>
        </w:r>
        <w:r w:rsidR="000309E7">
          <w:rPr>
            <w:noProof/>
            <w:webHidden/>
          </w:rPr>
          <w:fldChar w:fldCharType="begin"/>
        </w:r>
        <w:r w:rsidR="000309E7">
          <w:rPr>
            <w:noProof/>
            <w:webHidden/>
          </w:rPr>
          <w:instrText xml:space="preserve"> PAGEREF _Toc22568278 \h </w:instrText>
        </w:r>
        <w:r w:rsidR="000309E7">
          <w:rPr>
            <w:noProof/>
            <w:webHidden/>
          </w:rPr>
        </w:r>
        <w:r w:rsidR="000309E7">
          <w:rPr>
            <w:noProof/>
            <w:webHidden/>
          </w:rPr>
          <w:fldChar w:fldCharType="separate"/>
        </w:r>
        <w:r w:rsidR="000309E7">
          <w:rPr>
            <w:noProof/>
            <w:webHidden/>
          </w:rPr>
          <w:t>99</w:t>
        </w:r>
        <w:r w:rsidR="000309E7">
          <w:rPr>
            <w:noProof/>
            <w:webHidden/>
          </w:rPr>
          <w:fldChar w:fldCharType="end"/>
        </w:r>
      </w:hyperlink>
    </w:p>
    <w:p w14:paraId="72E9F51E" w14:textId="7B776177" w:rsidR="000309E7" w:rsidRDefault="00D00510">
      <w:pPr>
        <w:pStyle w:val="Sumrio2"/>
        <w:rPr>
          <w:rFonts w:asciiTheme="minorHAnsi" w:eastAsiaTheme="minorEastAsia" w:hAnsiTheme="minorHAnsi" w:cstheme="minorBidi"/>
          <w:noProof/>
          <w:sz w:val="22"/>
          <w:szCs w:val="22"/>
          <w:lang w:eastAsia="pt-BR"/>
        </w:rPr>
      </w:pPr>
      <w:hyperlink w:anchor="_Toc22568279" w:history="1">
        <w:r w:rsidR="000309E7" w:rsidRPr="00B41BD8">
          <w:rPr>
            <w:rStyle w:val="Hyperlink"/>
            <w:noProof/>
          </w:rPr>
          <w:t>7.2 INTRODUÇÃO</w:t>
        </w:r>
        <w:r w:rsidR="000309E7">
          <w:rPr>
            <w:noProof/>
            <w:webHidden/>
          </w:rPr>
          <w:tab/>
        </w:r>
        <w:r w:rsidR="000309E7">
          <w:rPr>
            <w:noProof/>
            <w:webHidden/>
          </w:rPr>
          <w:fldChar w:fldCharType="begin"/>
        </w:r>
        <w:r w:rsidR="000309E7">
          <w:rPr>
            <w:noProof/>
            <w:webHidden/>
          </w:rPr>
          <w:instrText xml:space="preserve"> PAGEREF _Toc22568279 \h </w:instrText>
        </w:r>
        <w:r w:rsidR="000309E7">
          <w:rPr>
            <w:noProof/>
            <w:webHidden/>
          </w:rPr>
        </w:r>
        <w:r w:rsidR="000309E7">
          <w:rPr>
            <w:noProof/>
            <w:webHidden/>
          </w:rPr>
          <w:fldChar w:fldCharType="separate"/>
        </w:r>
        <w:r w:rsidR="000309E7">
          <w:rPr>
            <w:noProof/>
            <w:webHidden/>
          </w:rPr>
          <w:t>100</w:t>
        </w:r>
        <w:r w:rsidR="000309E7">
          <w:rPr>
            <w:noProof/>
            <w:webHidden/>
          </w:rPr>
          <w:fldChar w:fldCharType="end"/>
        </w:r>
      </w:hyperlink>
    </w:p>
    <w:p w14:paraId="146D819A" w14:textId="2E4577EB" w:rsidR="000309E7" w:rsidRDefault="00D00510">
      <w:pPr>
        <w:pStyle w:val="Sumrio2"/>
        <w:rPr>
          <w:rFonts w:asciiTheme="minorHAnsi" w:eastAsiaTheme="minorEastAsia" w:hAnsiTheme="minorHAnsi" w:cstheme="minorBidi"/>
          <w:noProof/>
          <w:sz w:val="22"/>
          <w:szCs w:val="22"/>
          <w:lang w:eastAsia="pt-BR"/>
        </w:rPr>
      </w:pPr>
      <w:hyperlink w:anchor="_Toc22568280" w:history="1">
        <w:r w:rsidR="000309E7" w:rsidRPr="00B41BD8">
          <w:rPr>
            <w:rStyle w:val="Hyperlink"/>
            <w:noProof/>
          </w:rPr>
          <w:t>7.3 MATERIAL E MÉTODOS</w:t>
        </w:r>
        <w:r w:rsidR="000309E7">
          <w:rPr>
            <w:noProof/>
            <w:webHidden/>
          </w:rPr>
          <w:tab/>
        </w:r>
        <w:r w:rsidR="000309E7">
          <w:rPr>
            <w:noProof/>
            <w:webHidden/>
          </w:rPr>
          <w:fldChar w:fldCharType="begin"/>
        </w:r>
        <w:r w:rsidR="000309E7">
          <w:rPr>
            <w:noProof/>
            <w:webHidden/>
          </w:rPr>
          <w:instrText xml:space="preserve"> PAGEREF _Toc22568280 \h </w:instrText>
        </w:r>
        <w:r w:rsidR="000309E7">
          <w:rPr>
            <w:noProof/>
            <w:webHidden/>
          </w:rPr>
        </w:r>
        <w:r w:rsidR="000309E7">
          <w:rPr>
            <w:noProof/>
            <w:webHidden/>
          </w:rPr>
          <w:fldChar w:fldCharType="separate"/>
        </w:r>
        <w:r w:rsidR="000309E7">
          <w:rPr>
            <w:noProof/>
            <w:webHidden/>
          </w:rPr>
          <w:t>102</w:t>
        </w:r>
        <w:r w:rsidR="000309E7">
          <w:rPr>
            <w:noProof/>
            <w:webHidden/>
          </w:rPr>
          <w:fldChar w:fldCharType="end"/>
        </w:r>
      </w:hyperlink>
    </w:p>
    <w:p w14:paraId="4811C025" w14:textId="701903B6" w:rsidR="000309E7" w:rsidRDefault="00D00510">
      <w:pPr>
        <w:pStyle w:val="Sumrio3"/>
        <w:rPr>
          <w:rFonts w:asciiTheme="minorHAnsi" w:eastAsiaTheme="minorEastAsia" w:hAnsiTheme="minorHAnsi" w:cstheme="minorBidi"/>
          <w:b w:val="0"/>
          <w:sz w:val="22"/>
          <w:szCs w:val="22"/>
          <w:lang w:eastAsia="pt-BR"/>
        </w:rPr>
      </w:pPr>
      <w:hyperlink w:anchor="_Toc22568281" w:history="1">
        <w:r w:rsidR="000309E7" w:rsidRPr="00B41BD8">
          <w:rPr>
            <w:rStyle w:val="Hyperlink"/>
          </w:rPr>
          <w:t xml:space="preserve">7.3.1 Efeito de programas de aplicações de fungicidas na ocorrência e frequência da mutação I86F em populações de </w:t>
        </w:r>
        <w:r w:rsidR="000309E7" w:rsidRPr="00B41BD8">
          <w:rPr>
            <w:rStyle w:val="Hyperlink"/>
            <w:i/>
            <w:iCs/>
          </w:rPr>
          <w:t>Phakopsora pachyrhizi</w:t>
        </w:r>
        <w:r w:rsidR="000309E7">
          <w:rPr>
            <w:webHidden/>
          </w:rPr>
          <w:tab/>
        </w:r>
        <w:r w:rsidR="000309E7">
          <w:rPr>
            <w:webHidden/>
          </w:rPr>
          <w:fldChar w:fldCharType="begin"/>
        </w:r>
        <w:r w:rsidR="000309E7">
          <w:rPr>
            <w:webHidden/>
          </w:rPr>
          <w:instrText xml:space="preserve"> PAGEREF _Toc22568281 \h </w:instrText>
        </w:r>
        <w:r w:rsidR="000309E7">
          <w:rPr>
            <w:webHidden/>
          </w:rPr>
        </w:r>
        <w:r w:rsidR="000309E7">
          <w:rPr>
            <w:webHidden/>
          </w:rPr>
          <w:fldChar w:fldCharType="separate"/>
        </w:r>
        <w:r w:rsidR="000309E7">
          <w:rPr>
            <w:webHidden/>
          </w:rPr>
          <w:t>102</w:t>
        </w:r>
        <w:r w:rsidR="000309E7">
          <w:rPr>
            <w:webHidden/>
          </w:rPr>
          <w:fldChar w:fldCharType="end"/>
        </w:r>
      </w:hyperlink>
    </w:p>
    <w:p w14:paraId="6C05250E" w14:textId="0951A4DC" w:rsidR="000309E7" w:rsidRDefault="00D00510">
      <w:pPr>
        <w:pStyle w:val="Sumrio3"/>
        <w:rPr>
          <w:rFonts w:asciiTheme="minorHAnsi" w:eastAsiaTheme="minorEastAsia" w:hAnsiTheme="minorHAnsi" w:cstheme="minorBidi"/>
          <w:b w:val="0"/>
          <w:sz w:val="22"/>
          <w:szCs w:val="22"/>
          <w:lang w:eastAsia="pt-BR"/>
        </w:rPr>
      </w:pPr>
      <w:hyperlink w:anchor="_Toc22568282" w:history="1">
        <w:r w:rsidR="000309E7" w:rsidRPr="00B41BD8">
          <w:rPr>
            <w:rStyle w:val="Hyperlink"/>
          </w:rPr>
          <w:t xml:space="preserve">7.3.2 Ocorrência e frequência da mutação I86F em populações de </w:t>
        </w:r>
        <w:r w:rsidR="000309E7" w:rsidRPr="00B41BD8">
          <w:rPr>
            <w:rStyle w:val="Hyperlink"/>
            <w:i/>
            <w:iCs/>
          </w:rPr>
          <w:t xml:space="preserve">Phakopsora pachyrhizi </w:t>
        </w:r>
        <w:r w:rsidR="000309E7" w:rsidRPr="00B41BD8">
          <w:rPr>
            <w:rStyle w:val="Hyperlink"/>
          </w:rPr>
          <w:t>em</w:t>
        </w:r>
        <w:r w:rsidR="000309E7" w:rsidRPr="00B41BD8">
          <w:rPr>
            <w:rStyle w:val="Hyperlink"/>
            <w:i/>
            <w:iCs/>
          </w:rPr>
          <w:t xml:space="preserve"> </w:t>
        </w:r>
        <w:r w:rsidR="000309E7" w:rsidRPr="00B41BD8">
          <w:rPr>
            <w:rStyle w:val="Hyperlink"/>
          </w:rPr>
          <w:t>cultivares de soja com presença e ausência da tecnologia Inox</w:t>
        </w:r>
        <w:r w:rsidR="000309E7">
          <w:rPr>
            <w:webHidden/>
          </w:rPr>
          <w:tab/>
        </w:r>
        <w:r w:rsidR="000309E7">
          <w:rPr>
            <w:webHidden/>
          </w:rPr>
          <w:fldChar w:fldCharType="begin"/>
        </w:r>
        <w:r w:rsidR="000309E7">
          <w:rPr>
            <w:webHidden/>
          </w:rPr>
          <w:instrText xml:space="preserve"> PAGEREF _Toc22568282 \h </w:instrText>
        </w:r>
        <w:r w:rsidR="000309E7">
          <w:rPr>
            <w:webHidden/>
          </w:rPr>
        </w:r>
        <w:r w:rsidR="000309E7">
          <w:rPr>
            <w:webHidden/>
          </w:rPr>
          <w:fldChar w:fldCharType="separate"/>
        </w:r>
        <w:r w:rsidR="000309E7">
          <w:rPr>
            <w:webHidden/>
          </w:rPr>
          <w:t>104</w:t>
        </w:r>
        <w:r w:rsidR="000309E7">
          <w:rPr>
            <w:webHidden/>
          </w:rPr>
          <w:fldChar w:fldCharType="end"/>
        </w:r>
      </w:hyperlink>
    </w:p>
    <w:p w14:paraId="1C6B6D38" w14:textId="64A73F9C" w:rsidR="000309E7" w:rsidRDefault="00D00510">
      <w:pPr>
        <w:pStyle w:val="Sumrio3"/>
        <w:rPr>
          <w:rFonts w:asciiTheme="minorHAnsi" w:eastAsiaTheme="minorEastAsia" w:hAnsiTheme="minorHAnsi" w:cstheme="minorBidi"/>
          <w:b w:val="0"/>
          <w:sz w:val="22"/>
          <w:szCs w:val="22"/>
          <w:lang w:eastAsia="pt-BR"/>
        </w:rPr>
      </w:pPr>
      <w:hyperlink w:anchor="_Toc22568283" w:history="1">
        <w:r w:rsidR="000309E7" w:rsidRPr="00B41BD8">
          <w:rPr>
            <w:rStyle w:val="Hyperlink"/>
          </w:rPr>
          <w:t xml:space="preserve">7.3.3 Efeito da adição de fungicidas a carboxamidas na ocorrência e frequência da mutação I86F em populações de </w:t>
        </w:r>
        <w:r w:rsidR="000309E7" w:rsidRPr="00B41BD8">
          <w:rPr>
            <w:rStyle w:val="Hyperlink"/>
            <w:i/>
          </w:rPr>
          <w:t>Phakopsora pachyrhizi</w:t>
        </w:r>
        <w:r w:rsidR="000309E7">
          <w:rPr>
            <w:webHidden/>
          </w:rPr>
          <w:tab/>
        </w:r>
        <w:r w:rsidR="000309E7">
          <w:rPr>
            <w:webHidden/>
          </w:rPr>
          <w:fldChar w:fldCharType="begin"/>
        </w:r>
        <w:r w:rsidR="000309E7">
          <w:rPr>
            <w:webHidden/>
          </w:rPr>
          <w:instrText xml:space="preserve"> PAGEREF _Toc22568283 \h </w:instrText>
        </w:r>
        <w:r w:rsidR="000309E7">
          <w:rPr>
            <w:webHidden/>
          </w:rPr>
        </w:r>
        <w:r w:rsidR="000309E7">
          <w:rPr>
            <w:webHidden/>
          </w:rPr>
          <w:fldChar w:fldCharType="separate"/>
        </w:r>
        <w:r w:rsidR="000309E7">
          <w:rPr>
            <w:webHidden/>
          </w:rPr>
          <w:t>105</w:t>
        </w:r>
        <w:r w:rsidR="000309E7">
          <w:rPr>
            <w:webHidden/>
          </w:rPr>
          <w:fldChar w:fldCharType="end"/>
        </w:r>
      </w:hyperlink>
    </w:p>
    <w:p w14:paraId="6049BCCE" w14:textId="55F4A3ED" w:rsidR="000309E7" w:rsidRDefault="00D00510">
      <w:pPr>
        <w:pStyle w:val="Sumrio2"/>
        <w:rPr>
          <w:rFonts w:asciiTheme="minorHAnsi" w:eastAsiaTheme="minorEastAsia" w:hAnsiTheme="minorHAnsi" w:cstheme="minorBidi"/>
          <w:noProof/>
          <w:sz w:val="22"/>
          <w:szCs w:val="22"/>
          <w:lang w:eastAsia="pt-BR"/>
        </w:rPr>
      </w:pPr>
      <w:hyperlink w:anchor="_Toc22568284" w:history="1">
        <w:r w:rsidR="000309E7" w:rsidRPr="00B41BD8">
          <w:rPr>
            <w:rStyle w:val="Hyperlink"/>
            <w:noProof/>
          </w:rPr>
          <w:t>7.4 RESULTADOS</w:t>
        </w:r>
        <w:r w:rsidR="000309E7">
          <w:rPr>
            <w:noProof/>
            <w:webHidden/>
          </w:rPr>
          <w:tab/>
        </w:r>
        <w:r w:rsidR="000309E7">
          <w:rPr>
            <w:noProof/>
            <w:webHidden/>
          </w:rPr>
          <w:fldChar w:fldCharType="begin"/>
        </w:r>
        <w:r w:rsidR="000309E7">
          <w:rPr>
            <w:noProof/>
            <w:webHidden/>
          </w:rPr>
          <w:instrText xml:space="preserve"> PAGEREF _Toc22568284 \h </w:instrText>
        </w:r>
        <w:r w:rsidR="000309E7">
          <w:rPr>
            <w:noProof/>
            <w:webHidden/>
          </w:rPr>
        </w:r>
        <w:r w:rsidR="000309E7">
          <w:rPr>
            <w:noProof/>
            <w:webHidden/>
          </w:rPr>
          <w:fldChar w:fldCharType="separate"/>
        </w:r>
        <w:r w:rsidR="000309E7">
          <w:rPr>
            <w:noProof/>
            <w:webHidden/>
          </w:rPr>
          <w:t>106</w:t>
        </w:r>
        <w:r w:rsidR="000309E7">
          <w:rPr>
            <w:noProof/>
            <w:webHidden/>
          </w:rPr>
          <w:fldChar w:fldCharType="end"/>
        </w:r>
      </w:hyperlink>
    </w:p>
    <w:p w14:paraId="07DD2546" w14:textId="5C9B2AD7" w:rsidR="000309E7" w:rsidRDefault="00D00510">
      <w:pPr>
        <w:pStyle w:val="Sumrio3"/>
        <w:rPr>
          <w:rFonts w:asciiTheme="minorHAnsi" w:eastAsiaTheme="minorEastAsia" w:hAnsiTheme="minorHAnsi" w:cstheme="minorBidi"/>
          <w:b w:val="0"/>
          <w:sz w:val="22"/>
          <w:szCs w:val="22"/>
          <w:lang w:eastAsia="pt-BR"/>
        </w:rPr>
      </w:pPr>
      <w:hyperlink w:anchor="_Toc22568285" w:history="1">
        <w:r w:rsidR="000309E7" w:rsidRPr="00B41BD8">
          <w:rPr>
            <w:rStyle w:val="Hyperlink"/>
          </w:rPr>
          <w:t xml:space="preserve">7.4.1 Efeito de programas de aplicações de fungicidas na ocorrência e frequência da mutação I86F em populações de </w:t>
        </w:r>
        <w:r w:rsidR="000309E7" w:rsidRPr="00B41BD8">
          <w:rPr>
            <w:rStyle w:val="Hyperlink"/>
            <w:i/>
            <w:iCs/>
          </w:rPr>
          <w:t>Phakopsora pachyrhizi</w:t>
        </w:r>
        <w:r w:rsidR="000309E7">
          <w:rPr>
            <w:webHidden/>
          </w:rPr>
          <w:tab/>
        </w:r>
        <w:r w:rsidR="000309E7">
          <w:rPr>
            <w:webHidden/>
          </w:rPr>
          <w:fldChar w:fldCharType="begin"/>
        </w:r>
        <w:r w:rsidR="000309E7">
          <w:rPr>
            <w:webHidden/>
          </w:rPr>
          <w:instrText xml:space="preserve"> PAGEREF _Toc22568285 \h </w:instrText>
        </w:r>
        <w:r w:rsidR="000309E7">
          <w:rPr>
            <w:webHidden/>
          </w:rPr>
        </w:r>
        <w:r w:rsidR="000309E7">
          <w:rPr>
            <w:webHidden/>
          </w:rPr>
          <w:fldChar w:fldCharType="separate"/>
        </w:r>
        <w:r w:rsidR="000309E7">
          <w:rPr>
            <w:webHidden/>
          </w:rPr>
          <w:t>106</w:t>
        </w:r>
        <w:r w:rsidR="000309E7">
          <w:rPr>
            <w:webHidden/>
          </w:rPr>
          <w:fldChar w:fldCharType="end"/>
        </w:r>
      </w:hyperlink>
    </w:p>
    <w:p w14:paraId="49EB9A43" w14:textId="6AD5E57C" w:rsidR="000309E7" w:rsidRDefault="00D00510">
      <w:pPr>
        <w:pStyle w:val="Sumrio3"/>
        <w:rPr>
          <w:rFonts w:asciiTheme="minorHAnsi" w:eastAsiaTheme="minorEastAsia" w:hAnsiTheme="minorHAnsi" w:cstheme="minorBidi"/>
          <w:b w:val="0"/>
          <w:sz w:val="22"/>
          <w:szCs w:val="22"/>
          <w:lang w:eastAsia="pt-BR"/>
        </w:rPr>
      </w:pPr>
      <w:hyperlink w:anchor="_Toc22568286" w:history="1">
        <w:r w:rsidR="000309E7" w:rsidRPr="00B41BD8">
          <w:rPr>
            <w:rStyle w:val="Hyperlink"/>
          </w:rPr>
          <w:t xml:space="preserve">7.4.2 Ocorrência e frequência da mutação I86F em populações de </w:t>
        </w:r>
        <w:r w:rsidR="000309E7" w:rsidRPr="00B41BD8">
          <w:rPr>
            <w:rStyle w:val="Hyperlink"/>
            <w:i/>
            <w:iCs/>
          </w:rPr>
          <w:t xml:space="preserve">Phakopsora pachyrhizi </w:t>
        </w:r>
        <w:r w:rsidR="000309E7" w:rsidRPr="00B41BD8">
          <w:rPr>
            <w:rStyle w:val="Hyperlink"/>
          </w:rPr>
          <w:t>em</w:t>
        </w:r>
        <w:r w:rsidR="000309E7" w:rsidRPr="00B41BD8">
          <w:rPr>
            <w:rStyle w:val="Hyperlink"/>
            <w:i/>
            <w:iCs/>
          </w:rPr>
          <w:t xml:space="preserve"> </w:t>
        </w:r>
        <w:r w:rsidR="000309E7" w:rsidRPr="00B41BD8">
          <w:rPr>
            <w:rStyle w:val="Hyperlink"/>
          </w:rPr>
          <w:t>cultivares de soja com presença e ausência da tecnologia Inox</w:t>
        </w:r>
        <w:r w:rsidR="000309E7">
          <w:rPr>
            <w:webHidden/>
          </w:rPr>
          <w:tab/>
        </w:r>
        <w:r w:rsidR="000309E7">
          <w:rPr>
            <w:webHidden/>
          </w:rPr>
          <w:fldChar w:fldCharType="begin"/>
        </w:r>
        <w:r w:rsidR="000309E7">
          <w:rPr>
            <w:webHidden/>
          </w:rPr>
          <w:instrText xml:space="preserve"> PAGEREF _Toc22568286 \h </w:instrText>
        </w:r>
        <w:r w:rsidR="000309E7">
          <w:rPr>
            <w:webHidden/>
          </w:rPr>
        </w:r>
        <w:r w:rsidR="000309E7">
          <w:rPr>
            <w:webHidden/>
          </w:rPr>
          <w:fldChar w:fldCharType="separate"/>
        </w:r>
        <w:r w:rsidR="000309E7">
          <w:rPr>
            <w:webHidden/>
          </w:rPr>
          <w:t>109</w:t>
        </w:r>
        <w:r w:rsidR="000309E7">
          <w:rPr>
            <w:webHidden/>
          </w:rPr>
          <w:fldChar w:fldCharType="end"/>
        </w:r>
      </w:hyperlink>
    </w:p>
    <w:p w14:paraId="6E89E024" w14:textId="480C26E7" w:rsidR="000309E7" w:rsidRDefault="00D00510">
      <w:pPr>
        <w:pStyle w:val="Sumrio4"/>
        <w:rPr>
          <w:rFonts w:asciiTheme="minorHAnsi" w:eastAsiaTheme="minorEastAsia" w:hAnsiTheme="minorHAnsi" w:cstheme="minorBidi"/>
          <w:noProof/>
          <w:sz w:val="22"/>
          <w:szCs w:val="22"/>
          <w:lang w:eastAsia="pt-BR"/>
        </w:rPr>
      </w:pPr>
      <w:hyperlink w:anchor="_Toc22568287" w:history="1">
        <w:r w:rsidR="000309E7" w:rsidRPr="00B41BD8">
          <w:rPr>
            <w:rStyle w:val="Hyperlink"/>
            <w:noProof/>
          </w:rPr>
          <w:t>7.4.2.1 Cultivar 1 – TMG7262 RR</w:t>
        </w:r>
        <w:r w:rsidR="000309E7">
          <w:rPr>
            <w:noProof/>
            <w:webHidden/>
          </w:rPr>
          <w:tab/>
        </w:r>
        <w:r w:rsidR="000309E7">
          <w:rPr>
            <w:noProof/>
            <w:webHidden/>
          </w:rPr>
          <w:fldChar w:fldCharType="begin"/>
        </w:r>
        <w:r w:rsidR="000309E7">
          <w:rPr>
            <w:noProof/>
            <w:webHidden/>
          </w:rPr>
          <w:instrText xml:space="preserve"> PAGEREF _Toc22568287 \h </w:instrText>
        </w:r>
        <w:r w:rsidR="000309E7">
          <w:rPr>
            <w:noProof/>
            <w:webHidden/>
          </w:rPr>
        </w:r>
        <w:r w:rsidR="000309E7">
          <w:rPr>
            <w:noProof/>
            <w:webHidden/>
          </w:rPr>
          <w:fldChar w:fldCharType="separate"/>
        </w:r>
        <w:r w:rsidR="000309E7">
          <w:rPr>
            <w:noProof/>
            <w:webHidden/>
          </w:rPr>
          <w:t>110</w:t>
        </w:r>
        <w:r w:rsidR="000309E7">
          <w:rPr>
            <w:noProof/>
            <w:webHidden/>
          </w:rPr>
          <w:fldChar w:fldCharType="end"/>
        </w:r>
      </w:hyperlink>
    </w:p>
    <w:p w14:paraId="3A68C32F" w14:textId="173FA0DA" w:rsidR="000309E7" w:rsidRDefault="00D00510">
      <w:pPr>
        <w:pStyle w:val="Sumrio4"/>
        <w:rPr>
          <w:rFonts w:asciiTheme="minorHAnsi" w:eastAsiaTheme="minorEastAsia" w:hAnsiTheme="minorHAnsi" w:cstheme="minorBidi"/>
          <w:noProof/>
          <w:sz w:val="22"/>
          <w:szCs w:val="22"/>
          <w:lang w:eastAsia="pt-BR"/>
        </w:rPr>
      </w:pPr>
      <w:hyperlink w:anchor="_Toc22568288" w:history="1">
        <w:r w:rsidR="000309E7" w:rsidRPr="00B41BD8">
          <w:rPr>
            <w:rStyle w:val="Hyperlink"/>
            <w:noProof/>
          </w:rPr>
          <w:t>6.4.2.2 Cultivar 2 – BMX Lança IPRO</w:t>
        </w:r>
        <w:r w:rsidR="000309E7">
          <w:rPr>
            <w:noProof/>
            <w:webHidden/>
          </w:rPr>
          <w:tab/>
        </w:r>
        <w:r w:rsidR="000309E7">
          <w:rPr>
            <w:noProof/>
            <w:webHidden/>
          </w:rPr>
          <w:fldChar w:fldCharType="begin"/>
        </w:r>
        <w:r w:rsidR="000309E7">
          <w:rPr>
            <w:noProof/>
            <w:webHidden/>
          </w:rPr>
          <w:instrText xml:space="preserve"> PAGEREF _Toc22568288 \h </w:instrText>
        </w:r>
        <w:r w:rsidR="000309E7">
          <w:rPr>
            <w:noProof/>
            <w:webHidden/>
          </w:rPr>
        </w:r>
        <w:r w:rsidR="000309E7">
          <w:rPr>
            <w:noProof/>
            <w:webHidden/>
          </w:rPr>
          <w:fldChar w:fldCharType="separate"/>
        </w:r>
        <w:r w:rsidR="000309E7">
          <w:rPr>
            <w:noProof/>
            <w:webHidden/>
          </w:rPr>
          <w:t>111</w:t>
        </w:r>
        <w:r w:rsidR="000309E7">
          <w:rPr>
            <w:noProof/>
            <w:webHidden/>
          </w:rPr>
          <w:fldChar w:fldCharType="end"/>
        </w:r>
      </w:hyperlink>
    </w:p>
    <w:p w14:paraId="6014B086" w14:textId="71AAC170" w:rsidR="000309E7" w:rsidRDefault="00D00510">
      <w:pPr>
        <w:pStyle w:val="Sumrio3"/>
        <w:rPr>
          <w:rFonts w:asciiTheme="minorHAnsi" w:eastAsiaTheme="minorEastAsia" w:hAnsiTheme="minorHAnsi" w:cstheme="minorBidi"/>
          <w:b w:val="0"/>
          <w:sz w:val="22"/>
          <w:szCs w:val="22"/>
          <w:lang w:eastAsia="pt-BR"/>
        </w:rPr>
      </w:pPr>
      <w:hyperlink w:anchor="_Toc22568289" w:history="1">
        <w:r w:rsidR="000309E7" w:rsidRPr="00B41BD8">
          <w:rPr>
            <w:rStyle w:val="Hyperlink"/>
          </w:rPr>
          <w:t xml:space="preserve">7.4.3 Efeito da adição de fungicidas a carboxamidas na ocorrência e frequência da mutação I86F em populações de </w:t>
        </w:r>
        <w:r w:rsidR="000309E7" w:rsidRPr="00B41BD8">
          <w:rPr>
            <w:rStyle w:val="Hyperlink"/>
            <w:i/>
          </w:rPr>
          <w:t>Phakopsora pachyrhizi</w:t>
        </w:r>
        <w:r w:rsidR="000309E7">
          <w:rPr>
            <w:webHidden/>
          </w:rPr>
          <w:tab/>
        </w:r>
        <w:r w:rsidR="000309E7">
          <w:rPr>
            <w:webHidden/>
          </w:rPr>
          <w:fldChar w:fldCharType="begin"/>
        </w:r>
        <w:r w:rsidR="000309E7">
          <w:rPr>
            <w:webHidden/>
          </w:rPr>
          <w:instrText xml:space="preserve"> PAGEREF _Toc22568289 \h </w:instrText>
        </w:r>
        <w:r w:rsidR="000309E7">
          <w:rPr>
            <w:webHidden/>
          </w:rPr>
        </w:r>
        <w:r w:rsidR="000309E7">
          <w:rPr>
            <w:webHidden/>
          </w:rPr>
          <w:fldChar w:fldCharType="separate"/>
        </w:r>
        <w:r w:rsidR="000309E7">
          <w:rPr>
            <w:webHidden/>
          </w:rPr>
          <w:t>113</w:t>
        </w:r>
        <w:r w:rsidR="000309E7">
          <w:rPr>
            <w:webHidden/>
          </w:rPr>
          <w:fldChar w:fldCharType="end"/>
        </w:r>
      </w:hyperlink>
    </w:p>
    <w:p w14:paraId="14C4E557" w14:textId="615C8E98" w:rsidR="000309E7" w:rsidRDefault="00D00510">
      <w:pPr>
        <w:pStyle w:val="Sumrio2"/>
        <w:rPr>
          <w:rFonts w:asciiTheme="minorHAnsi" w:eastAsiaTheme="minorEastAsia" w:hAnsiTheme="minorHAnsi" w:cstheme="minorBidi"/>
          <w:noProof/>
          <w:sz w:val="22"/>
          <w:szCs w:val="22"/>
          <w:lang w:eastAsia="pt-BR"/>
        </w:rPr>
      </w:pPr>
      <w:hyperlink w:anchor="_Toc22568290" w:history="1">
        <w:r w:rsidR="000309E7" w:rsidRPr="00B41BD8">
          <w:rPr>
            <w:rStyle w:val="Hyperlink"/>
            <w:noProof/>
          </w:rPr>
          <w:t>7.5 DISCUSSÃO</w:t>
        </w:r>
        <w:r w:rsidR="000309E7">
          <w:rPr>
            <w:noProof/>
            <w:webHidden/>
          </w:rPr>
          <w:tab/>
        </w:r>
        <w:r w:rsidR="000309E7">
          <w:rPr>
            <w:noProof/>
            <w:webHidden/>
          </w:rPr>
          <w:fldChar w:fldCharType="begin"/>
        </w:r>
        <w:r w:rsidR="000309E7">
          <w:rPr>
            <w:noProof/>
            <w:webHidden/>
          </w:rPr>
          <w:instrText xml:space="preserve"> PAGEREF _Toc22568290 \h </w:instrText>
        </w:r>
        <w:r w:rsidR="000309E7">
          <w:rPr>
            <w:noProof/>
            <w:webHidden/>
          </w:rPr>
        </w:r>
        <w:r w:rsidR="000309E7">
          <w:rPr>
            <w:noProof/>
            <w:webHidden/>
          </w:rPr>
          <w:fldChar w:fldCharType="separate"/>
        </w:r>
        <w:r w:rsidR="000309E7">
          <w:rPr>
            <w:noProof/>
            <w:webHidden/>
          </w:rPr>
          <w:t>114</w:t>
        </w:r>
        <w:r w:rsidR="000309E7">
          <w:rPr>
            <w:noProof/>
            <w:webHidden/>
          </w:rPr>
          <w:fldChar w:fldCharType="end"/>
        </w:r>
      </w:hyperlink>
    </w:p>
    <w:p w14:paraId="609EFA38" w14:textId="35D1FAF2" w:rsidR="000309E7" w:rsidRDefault="00D00510">
      <w:pPr>
        <w:pStyle w:val="Sumrio3"/>
        <w:rPr>
          <w:rFonts w:asciiTheme="minorHAnsi" w:eastAsiaTheme="minorEastAsia" w:hAnsiTheme="minorHAnsi" w:cstheme="minorBidi"/>
          <w:b w:val="0"/>
          <w:sz w:val="22"/>
          <w:szCs w:val="22"/>
          <w:lang w:eastAsia="pt-BR"/>
        </w:rPr>
      </w:pPr>
      <w:hyperlink w:anchor="_Toc22568291" w:history="1">
        <w:r w:rsidR="000309E7" w:rsidRPr="00B41BD8">
          <w:rPr>
            <w:rStyle w:val="Hyperlink"/>
          </w:rPr>
          <w:t xml:space="preserve">7.5.1 Efeito de programas de aplicações de fungicidas na ocorrência e frequência da mutação I86F em populações de </w:t>
        </w:r>
        <w:r w:rsidR="000309E7" w:rsidRPr="00B41BD8">
          <w:rPr>
            <w:rStyle w:val="Hyperlink"/>
            <w:i/>
            <w:iCs/>
          </w:rPr>
          <w:t>Phakopsora pachyrhizi</w:t>
        </w:r>
        <w:r w:rsidR="000309E7">
          <w:rPr>
            <w:webHidden/>
          </w:rPr>
          <w:tab/>
        </w:r>
        <w:r w:rsidR="000309E7">
          <w:rPr>
            <w:webHidden/>
          </w:rPr>
          <w:fldChar w:fldCharType="begin"/>
        </w:r>
        <w:r w:rsidR="000309E7">
          <w:rPr>
            <w:webHidden/>
          </w:rPr>
          <w:instrText xml:space="preserve"> PAGEREF _Toc22568291 \h </w:instrText>
        </w:r>
        <w:r w:rsidR="000309E7">
          <w:rPr>
            <w:webHidden/>
          </w:rPr>
        </w:r>
        <w:r w:rsidR="000309E7">
          <w:rPr>
            <w:webHidden/>
          </w:rPr>
          <w:fldChar w:fldCharType="separate"/>
        </w:r>
        <w:r w:rsidR="000309E7">
          <w:rPr>
            <w:webHidden/>
          </w:rPr>
          <w:t>114</w:t>
        </w:r>
        <w:r w:rsidR="000309E7">
          <w:rPr>
            <w:webHidden/>
          </w:rPr>
          <w:fldChar w:fldCharType="end"/>
        </w:r>
      </w:hyperlink>
    </w:p>
    <w:p w14:paraId="4DF21859" w14:textId="28A0FB8D" w:rsidR="000309E7" w:rsidRDefault="00D00510">
      <w:pPr>
        <w:pStyle w:val="Sumrio3"/>
        <w:rPr>
          <w:rFonts w:asciiTheme="minorHAnsi" w:eastAsiaTheme="minorEastAsia" w:hAnsiTheme="minorHAnsi" w:cstheme="minorBidi"/>
          <w:b w:val="0"/>
          <w:sz w:val="22"/>
          <w:szCs w:val="22"/>
          <w:lang w:eastAsia="pt-BR"/>
        </w:rPr>
      </w:pPr>
      <w:hyperlink w:anchor="_Toc22568292" w:history="1">
        <w:r w:rsidR="000309E7" w:rsidRPr="00B41BD8">
          <w:rPr>
            <w:rStyle w:val="Hyperlink"/>
          </w:rPr>
          <w:t xml:space="preserve">7.5.2 Ocorrência e frequência da mutação I86F em populações de </w:t>
        </w:r>
        <w:r w:rsidR="000309E7" w:rsidRPr="00B41BD8">
          <w:rPr>
            <w:rStyle w:val="Hyperlink"/>
            <w:i/>
            <w:iCs/>
          </w:rPr>
          <w:t xml:space="preserve">Phakopsora pachyrhizi </w:t>
        </w:r>
        <w:r w:rsidR="000309E7" w:rsidRPr="00B41BD8">
          <w:rPr>
            <w:rStyle w:val="Hyperlink"/>
          </w:rPr>
          <w:t>em</w:t>
        </w:r>
        <w:r w:rsidR="000309E7" w:rsidRPr="00B41BD8">
          <w:rPr>
            <w:rStyle w:val="Hyperlink"/>
            <w:i/>
            <w:iCs/>
          </w:rPr>
          <w:t xml:space="preserve"> </w:t>
        </w:r>
        <w:r w:rsidR="000309E7" w:rsidRPr="00B41BD8">
          <w:rPr>
            <w:rStyle w:val="Hyperlink"/>
          </w:rPr>
          <w:t>cultivares de soja com presença e ausência da tecnologia Inox</w:t>
        </w:r>
        <w:r w:rsidR="000309E7">
          <w:rPr>
            <w:webHidden/>
          </w:rPr>
          <w:tab/>
        </w:r>
        <w:r w:rsidR="000309E7">
          <w:rPr>
            <w:webHidden/>
          </w:rPr>
          <w:fldChar w:fldCharType="begin"/>
        </w:r>
        <w:r w:rsidR="000309E7">
          <w:rPr>
            <w:webHidden/>
          </w:rPr>
          <w:instrText xml:space="preserve"> PAGEREF _Toc22568292 \h </w:instrText>
        </w:r>
        <w:r w:rsidR="000309E7">
          <w:rPr>
            <w:webHidden/>
          </w:rPr>
        </w:r>
        <w:r w:rsidR="000309E7">
          <w:rPr>
            <w:webHidden/>
          </w:rPr>
          <w:fldChar w:fldCharType="separate"/>
        </w:r>
        <w:r w:rsidR="000309E7">
          <w:rPr>
            <w:webHidden/>
          </w:rPr>
          <w:t>117</w:t>
        </w:r>
        <w:r w:rsidR="000309E7">
          <w:rPr>
            <w:webHidden/>
          </w:rPr>
          <w:fldChar w:fldCharType="end"/>
        </w:r>
      </w:hyperlink>
    </w:p>
    <w:p w14:paraId="5B9CFEA6" w14:textId="14C6AD7B" w:rsidR="000309E7" w:rsidRDefault="00D00510">
      <w:pPr>
        <w:pStyle w:val="Sumrio3"/>
        <w:rPr>
          <w:rFonts w:asciiTheme="minorHAnsi" w:eastAsiaTheme="minorEastAsia" w:hAnsiTheme="minorHAnsi" w:cstheme="minorBidi"/>
          <w:b w:val="0"/>
          <w:sz w:val="22"/>
          <w:szCs w:val="22"/>
          <w:lang w:eastAsia="pt-BR"/>
        </w:rPr>
      </w:pPr>
      <w:hyperlink w:anchor="_Toc22568293" w:history="1">
        <w:r w:rsidR="000309E7" w:rsidRPr="00B41BD8">
          <w:rPr>
            <w:rStyle w:val="Hyperlink"/>
          </w:rPr>
          <w:t xml:space="preserve">7.5.3 Efeito da adição de fungicidas a carboxamidas na ocorrência e frequência da mutação I86F em populações de </w:t>
        </w:r>
        <w:r w:rsidR="000309E7" w:rsidRPr="00B41BD8">
          <w:rPr>
            <w:rStyle w:val="Hyperlink"/>
            <w:i/>
          </w:rPr>
          <w:t>Phakopsora pachyrhizi</w:t>
        </w:r>
        <w:r w:rsidR="000309E7">
          <w:rPr>
            <w:webHidden/>
          </w:rPr>
          <w:tab/>
        </w:r>
        <w:r w:rsidR="000309E7">
          <w:rPr>
            <w:webHidden/>
          </w:rPr>
          <w:fldChar w:fldCharType="begin"/>
        </w:r>
        <w:r w:rsidR="000309E7">
          <w:rPr>
            <w:webHidden/>
          </w:rPr>
          <w:instrText xml:space="preserve"> PAGEREF _Toc22568293 \h </w:instrText>
        </w:r>
        <w:r w:rsidR="000309E7">
          <w:rPr>
            <w:webHidden/>
          </w:rPr>
        </w:r>
        <w:r w:rsidR="000309E7">
          <w:rPr>
            <w:webHidden/>
          </w:rPr>
          <w:fldChar w:fldCharType="separate"/>
        </w:r>
        <w:r w:rsidR="000309E7">
          <w:rPr>
            <w:webHidden/>
          </w:rPr>
          <w:t>117</w:t>
        </w:r>
        <w:r w:rsidR="000309E7">
          <w:rPr>
            <w:webHidden/>
          </w:rPr>
          <w:fldChar w:fldCharType="end"/>
        </w:r>
      </w:hyperlink>
    </w:p>
    <w:p w14:paraId="30E20ADC" w14:textId="7E1F846C" w:rsidR="000309E7" w:rsidRDefault="00D00510">
      <w:pPr>
        <w:pStyle w:val="Sumrio2"/>
        <w:rPr>
          <w:rFonts w:asciiTheme="minorHAnsi" w:eastAsiaTheme="minorEastAsia" w:hAnsiTheme="minorHAnsi" w:cstheme="minorBidi"/>
          <w:noProof/>
          <w:sz w:val="22"/>
          <w:szCs w:val="22"/>
          <w:lang w:eastAsia="pt-BR"/>
        </w:rPr>
      </w:pPr>
      <w:hyperlink w:anchor="_Toc22568294" w:history="1">
        <w:r w:rsidR="000309E7" w:rsidRPr="00B41BD8">
          <w:rPr>
            <w:rStyle w:val="Hyperlink"/>
            <w:noProof/>
          </w:rPr>
          <w:t>7.6 CONCLUSÕES</w:t>
        </w:r>
        <w:r w:rsidR="000309E7">
          <w:rPr>
            <w:noProof/>
            <w:webHidden/>
          </w:rPr>
          <w:tab/>
        </w:r>
        <w:r w:rsidR="000309E7">
          <w:rPr>
            <w:noProof/>
            <w:webHidden/>
          </w:rPr>
          <w:fldChar w:fldCharType="begin"/>
        </w:r>
        <w:r w:rsidR="000309E7">
          <w:rPr>
            <w:noProof/>
            <w:webHidden/>
          </w:rPr>
          <w:instrText xml:space="preserve"> PAGEREF _Toc22568294 \h </w:instrText>
        </w:r>
        <w:r w:rsidR="000309E7">
          <w:rPr>
            <w:noProof/>
            <w:webHidden/>
          </w:rPr>
        </w:r>
        <w:r w:rsidR="000309E7">
          <w:rPr>
            <w:noProof/>
            <w:webHidden/>
          </w:rPr>
          <w:fldChar w:fldCharType="separate"/>
        </w:r>
        <w:r w:rsidR="000309E7">
          <w:rPr>
            <w:noProof/>
            <w:webHidden/>
          </w:rPr>
          <w:t>119</w:t>
        </w:r>
        <w:r w:rsidR="000309E7">
          <w:rPr>
            <w:noProof/>
            <w:webHidden/>
          </w:rPr>
          <w:fldChar w:fldCharType="end"/>
        </w:r>
      </w:hyperlink>
    </w:p>
    <w:p w14:paraId="6AC76A9E" w14:textId="4F3870B8" w:rsidR="000309E7" w:rsidRDefault="00D00510">
      <w:pPr>
        <w:pStyle w:val="Sumrio1"/>
        <w:rPr>
          <w:rFonts w:asciiTheme="minorHAnsi" w:eastAsiaTheme="minorEastAsia" w:hAnsiTheme="minorHAnsi" w:cstheme="minorBidi"/>
          <w:b w:val="0"/>
          <w:sz w:val="22"/>
          <w:szCs w:val="22"/>
          <w:lang w:eastAsia="pt-BR"/>
        </w:rPr>
      </w:pPr>
      <w:hyperlink w:anchor="_Toc22568295" w:history="1">
        <w:r w:rsidR="000309E7" w:rsidRPr="00B41BD8">
          <w:rPr>
            <w:rStyle w:val="Hyperlink"/>
          </w:rPr>
          <w:t>REFERÊNCIAS</w:t>
        </w:r>
        <w:r w:rsidR="000309E7">
          <w:rPr>
            <w:webHidden/>
          </w:rPr>
          <w:tab/>
        </w:r>
        <w:r w:rsidR="000309E7">
          <w:rPr>
            <w:webHidden/>
          </w:rPr>
          <w:fldChar w:fldCharType="begin"/>
        </w:r>
        <w:r w:rsidR="000309E7">
          <w:rPr>
            <w:webHidden/>
          </w:rPr>
          <w:instrText xml:space="preserve"> PAGEREF _Toc22568295 \h </w:instrText>
        </w:r>
        <w:r w:rsidR="000309E7">
          <w:rPr>
            <w:webHidden/>
          </w:rPr>
        </w:r>
        <w:r w:rsidR="000309E7">
          <w:rPr>
            <w:webHidden/>
          </w:rPr>
          <w:fldChar w:fldCharType="separate"/>
        </w:r>
        <w:r w:rsidR="000309E7">
          <w:rPr>
            <w:webHidden/>
          </w:rPr>
          <w:t>120</w:t>
        </w:r>
        <w:r w:rsidR="000309E7">
          <w:rPr>
            <w:webHidden/>
          </w:rPr>
          <w:fldChar w:fldCharType="end"/>
        </w:r>
      </w:hyperlink>
    </w:p>
    <w:p w14:paraId="7F522149" w14:textId="381B01AC" w:rsidR="000309E7" w:rsidRDefault="00D00510">
      <w:pPr>
        <w:pStyle w:val="Sumrio1"/>
        <w:rPr>
          <w:rFonts w:asciiTheme="minorHAnsi" w:eastAsiaTheme="minorEastAsia" w:hAnsiTheme="minorHAnsi" w:cstheme="minorBidi"/>
          <w:b w:val="0"/>
          <w:sz w:val="22"/>
          <w:szCs w:val="22"/>
          <w:lang w:eastAsia="pt-BR"/>
        </w:rPr>
      </w:pPr>
      <w:hyperlink w:anchor="_Toc22568296" w:history="1">
        <w:r w:rsidR="000309E7" w:rsidRPr="00B41BD8">
          <w:rPr>
            <w:rStyle w:val="Hyperlink"/>
          </w:rPr>
          <w:t>ANEXOS</w:t>
        </w:r>
        <w:r w:rsidR="000309E7">
          <w:rPr>
            <w:webHidden/>
          </w:rPr>
          <w:tab/>
        </w:r>
        <w:r w:rsidR="000309E7">
          <w:rPr>
            <w:webHidden/>
          </w:rPr>
          <w:fldChar w:fldCharType="begin"/>
        </w:r>
        <w:r w:rsidR="000309E7">
          <w:rPr>
            <w:webHidden/>
          </w:rPr>
          <w:instrText xml:space="preserve"> PAGEREF _Toc22568296 \h </w:instrText>
        </w:r>
        <w:r w:rsidR="000309E7">
          <w:rPr>
            <w:webHidden/>
          </w:rPr>
        </w:r>
        <w:r w:rsidR="000309E7">
          <w:rPr>
            <w:webHidden/>
          </w:rPr>
          <w:fldChar w:fldCharType="separate"/>
        </w:r>
        <w:r w:rsidR="000309E7">
          <w:rPr>
            <w:webHidden/>
          </w:rPr>
          <w:t>135</w:t>
        </w:r>
        <w:r w:rsidR="000309E7">
          <w:rPr>
            <w:webHidden/>
          </w:rPr>
          <w:fldChar w:fldCharType="end"/>
        </w:r>
      </w:hyperlink>
    </w:p>
    <w:p w14:paraId="0CD3F152" w14:textId="140BA86C" w:rsidR="000309E7" w:rsidRDefault="00D00510">
      <w:pPr>
        <w:pStyle w:val="Sumrio2"/>
        <w:rPr>
          <w:rFonts w:asciiTheme="minorHAnsi" w:eastAsiaTheme="minorEastAsia" w:hAnsiTheme="minorHAnsi" w:cstheme="minorBidi"/>
          <w:noProof/>
          <w:sz w:val="22"/>
          <w:szCs w:val="22"/>
          <w:lang w:eastAsia="pt-BR"/>
        </w:rPr>
      </w:pPr>
      <w:hyperlink w:anchor="_Toc22568297" w:history="1">
        <w:r w:rsidR="000309E7" w:rsidRPr="00B41BD8">
          <w:rPr>
            <w:rStyle w:val="Hyperlink"/>
            <w:noProof/>
          </w:rPr>
          <w:t xml:space="preserve">ANEXO 1. Contrastes estatísticos, médias e probabilidade de significância realizados pelo teste t, com os resultados observados na </w:t>
        </w:r>
        <w:r w:rsidR="000309E7" w:rsidRPr="00B41BD8">
          <w:rPr>
            <w:rStyle w:val="Hyperlink"/>
            <w:bCs/>
            <w:noProof/>
          </w:rPr>
          <w:t xml:space="preserve">avaliação de programas de aplicações de fungicidas na ocorrência e frequência da mutação I86F em populações de </w:t>
        </w:r>
        <w:r w:rsidR="000309E7" w:rsidRPr="00B41BD8">
          <w:rPr>
            <w:rStyle w:val="Hyperlink"/>
            <w:bCs/>
            <w:i/>
            <w:iCs/>
            <w:noProof/>
          </w:rPr>
          <w:t xml:space="preserve">Phakopsora pachyrhizi </w:t>
        </w:r>
        <w:r w:rsidR="000309E7" w:rsidRPr="00B41BD8">
          <w:rPr>
            <w:rStyle w:val="Hyperlink"/>
            <w:bCs/>
            <w:noProof/>
            <w:kern w:val="24"/>
          </w:rPr>
          <w:t>Lages, 2019.</w:t>
        </w:r>
        <w:r w:rsidR="000309E7">
          <w:rPr>
            <w:noProof/>
            <w:webHidden/>
          </w:rPr>
          <w:tab/>
        </w:r>
        <w:r w:rsidR="000309E7">
          <w:rPr>
            <w:noProof/>
            <w:webHidden/>
          </w:rPr>
          <w:fldChar w:fldCharType="begin"/>
        </w:r>
        <w:r w:rsidR="000309E7">
          <w:rPr>
            <w:noProof/>
            <w:webHidden/>
          </w:rPr>
          <w:instrText xml:space="preserve"> PAGEREF _Toc22568297 \h </w:instrText>
        </w:r>
        <w:r w:rsidR="000309E7">
          <w:rPr>
            <w:noProof/>
            <w:webHidden/>
          </w:rPr>
        </w:r>
        <w:r w:rsidR="000309E7">
          <w:rPr>
            <w:noProof/>
            <w:webHidden/>
          </w:rPr>
          <w:fldChar w:fldCharType="separate"/>
        </w:r>
        <w:r w:rsidR="000309E7">
          <w:rPr>
            <w:noProof/>
            <w:webHidden/>
          </w:rPr>
          <w:t>135</w:t>
        </w:r>
        <w:r w:rsidR="000309E7">
          <w:rPr>
            <w:noProof/>
            <w:webHidden/>
          </w:rPr>
          <w:fldChar w:fldCharType="end"/>
        </w:r>
      </w:hyperlink>
    </w:p>
    <w:p w14:paraId="39DD9DBF" w14:textId="22AAC39E" w:rsidR="000309E7" w:rsidRDefault="00D00510">
      <w:pPr>
        <w:pStyle w:val="Sumrio2"/>
        <w:rPr>
          <w:rFonts w:asciiTheme="minorHAnsi" w:eastAsiaTheme="minorEastAsia" w:hAnsiTheme="minorHAnsi" w:cstheme="minorBidi"/>
          <w:noProof/>
          <w:sz w:val="22"/>
          <w:szCs w:val="22"/>
          <w:lang w:eastAsia="pt-BR"/>
        </w:rPr>
      </w:pPr>
      <w:hyperlink w:anchor="_Toc22568298" w:history="1">
        <w:r w:rsidR="000309E7" w:rsidRPr="00B41BD8">
          <w:rPr>
            <w:rStyle w:val="Hyperlink"/>
            <w:noProof/>
          </w:rPr>
          <w:t xml:space="preserve">ANEXO 2. Contrastes estatísticos, médias e probabilidade de significância realizados pelo teste t, com os resultados observados na avaliação da </w:t>
        </w:r>
        <w:r w:rsidR="000309E7" w:rsidRPr="00B41BD8">
          <w:rPr>
            <w:rStyle w:val="Hyperlink"/>
            <w:bCs/>
            <w:noProof/>
            <w:kern w:val="24"/>
          </w:rPr>
          <w:t xml:space="preserve">frequência da mutação I86F em populações de </w:t>
        </w:r>
        <w:r w:rsidR="000309E7" w:rsidRPr="00B41BD8">
          <w:rPr>
            <w:rStyle w:val="Hyperlink"/>
            <w:bCs/>
            <w:i/>
            <w:iCs/>
            <w:noProof/>
            <w:kern w:val="24"/>
          </w:rPr>
          <w:t xml:space="preserve">Phakopsora pachyrhizi </w:t>
        </w:r>
        <w:r w:rsidR="000309E7" w:rsidRPr="00B41BD8">
          <w:rPr>
            <w:rStyle w:val="Hyperlink"/>
            <w:bCs/>
            <w:noProof/>
            <w:kern w:val="24"/>
          </w:rPr>
          <w:t>obtidas de</w:t>
        </w:r>
        <w:r w:rsidR="000309E7" w:rsidRPr="00B41BD8">
          <w:rPr>
            <w:rStyle w:val="Hyperlink"/>
            <w:bCs/>
            <w:i/>
            <w:iCs/>
            <w:noProof/>
            <w:kern w:val="24"/>
          </w:rPr>
          <w:t xml:space="preserve"> </w:t>
        </w:r>
        <w:r w:rsidR="000309E7" w:rsidRPr="00B41BD8">
          <w:rPr>
            <w:rStyle w:val="Hyperlink"/>
            <w:bCs/>
            <w:noProof/>
            <w:kern w:val="24"/>
          </w:rPr>
          <w:t>cultivares de soja com presença e ausência da tecnologia Inox. Lages, 2019.</w:t>
        </w:r>
        <w:r w:rsidR="000309E7">
          <w:rPr>
            <w:noProof/>
            <w:webHidden/>
          </w:rPr>
          <w:tab/>
        </w:r>
        <w:r w:rsidR="000309E7">
          <w:rPr>
            <w:noProof/>
            <w:webHidden/>
          </w:rPr>
          <w:fldChar w:fldCharType="begin"/>
        </w:r>
        <w:r w:rsidR="000309E7">
          <w:rPr>
            <w:noProof/>
            <w:webHidden/>
          </w:rPr>
          <w:instrText xml:space="preserve"> PAGEREF _Toc22568298 \h </w:instrText>
        </w:r>
        <w:r w:rsidR="000309E7">
          <w:rPr>
            <w:noProof/>
            <w:webHidden/>
          </w:rPr>
        </w:r>
        <w:r w:rsidR="000309E7">
          <w:rPr>
            <w:noProof/>
            <w:webHidden/>
          </w:rPr>
          <w:fldChar w:fldCharType="separate"/>
        </w:r>
        <w:r w:rsidR="000309E7">
          <w:rPr>
            <w:noProof/>
            <w:webHidden/>
          </w:rPr>
          <w:t>141</w:t>
        </w:r>
        <w:r w:rsidR="000309E7">
          <w:rPr>
            <w:noProof/>
            <w:webHidden/>
          </w:rPr>
          <w:fldChar w:fldCharType="end"/>
        </w:r>
      </w:hyperlink>
    </w:p>
    <w:p w14:paraId="05F982C1" w14:textId="7790B932" w:rsidR="000309E7" w:rsidRDefault="00D00510">
      <w:pPr>
        <w:pStyle w:val="Sumrio2"/>
        <w:rPr>
          <w:rFonts w:asciiTheme="minorHAnsi" w:eastAsiaTheme="minorEastAsia" w:hAnsiTheme="minorHAnsi" w:cstheme="minorBidi"/>
          <w:noProof/>
          <w:sz w:val="22"/>
          <w:szCs w:val="22"/>
          <w:lang w:eastAsia="pt-BR"/>
        </w:rPr>
      </w:pPr>
      <w:hyperlink w:anchor="_Toc22568299" w:history="1">
        <w:r w:rsidR="000309E7" w:rsidRPr="00B41BD8">
          <w:rPr>
            <w:rStyle w:val="Hyperlink"/>
            <w:noProof/>
          </w:rPr>
          <w:t xml:space="preserve">ANEXO 3. Contrastes estatísticos, médias e probabilidade de significância realizados pelo teste t, com os resultados obtidos pela avaliação </w:t>
        </w:r>
        <w:r w:rsidR="000309E7" w:rsidRPr="00B41BD8">
          <w:rPr>
            <w:rStyle w:val="Hyperlink"/>
            <w:bCs/>
            <w:noProof/>
            <w:kern w:val="24"/>
          </w:rPr>
          <w:t xml:space="preserve">da adição de fungicidas a carboxamidas na ocorrência e frequência da mutação I86F em populações de </w:t>
        </w:r>
        <w:r w:rsidR="000309E7" w:rsidRPr="00B41BD8">
          <w:rPr>
            <w:rStyle w:val="Hyperlink"/>
            <w:bCs/>
            <w:i/>
            <w:iCs/>
            <w:noProof/>
            <w:kern w:val="24"/>
          </w:rPr>
          <w:t>Phakopsora pachyrhizi</w:t>
        </w:r>
        <w:r w:rsidR="000309E7" w:rsidRPr="00B41BD8">
          <w:rPr>
            <w:rStyle w:val="Hyperlink"/>
            <w:bCs/>
            <w:noProof/>
            <w:kern w:val="24"/>
          </w:rPr>
          <w:t>. Lages, 2019.</w:t>
        </w:r>
        <w:r w:rsidR="000309E7">
          <w:rPr>
            <w:noProof/>
            <w:webHidden/>
          </w:rPr>
          <w:tab/>
        </w:r>
        <w:r w:rsidR="000309E7">
          <w:rPr>
            <w:noProof/>
            <w:webHidden/>
          </w:rPr>
          <w:fldChar w:fldCharType="begin"/>
        </w:r>
        <w:r w:rsidR="000309E7">
          <w:rPr>
            <w:noProof/>
            <w:webHidden/>
          </w:rPr>
          <w:instrText xml:space="preserve"> PAGEREF _Toc22568299 \h </w:instrText>
        </w:r>
        <w:r w:rsidR="000309E7">
          <w:rPr>
            <w:noProof/>
            <w:webHidden/>
          </w:rPr>
        </w:r>
        <w:r w:rsidR="000309E7">
          <w:rPr>
            <w:noProof/>
            <w:webHidden/>
          </w:rPr>
          <w:fldChar w:fldCharType="separate"/>
        </w:r>
        <w:r w:rsidR="000309E7">
          <w:rPr>
            <w:noProof/>
            <w:webHidden/>
          </w:rPr>
          <w:t>147</w:t>
        </w:r>
        <w:r w:rsidR="000309E7">
          <w:rPr>
            <w:noProof/>
            <w:webHidden/>
          </w:rPr>
          <w:fldChar w:fldCharType="end"/>
        </w:r>
      </w:hyperlink>
    </w:p>
    <w:p w14:paraId="427D1F72" w14:textId="58408175" w:rsidR="00F558EF" w:rsidRDefault="00BC7DEC" w:rsidP="004A48E5">
      <w:pPr>
        <w:ind w:firstLine="0"/>
        <w:rPr>
          <w:b/>
        </w:rPr>
      </w:pPr>
      <w:r>
        <w:rPr>
          <w:b/>
        </w:rPr>
        <w:fldChar w:fldCharType="end"/>
      </w:r>
    </w:p>
    <w:p w14:paraId="3628AADD" w14:textId="512FC3F0" w:rsidR="007811C1" w:rsidRDefault="007811C1" w:rsidP="004A48E5">
      <w:pPr>
        <w:ind w:firstLine="0"/>
        <w:rPr>
          <w:b/>
        </w:rPr>
      </w:pPr>
    </w:p>
    <w:p w14:paraId="307CBE5B" w14:textId="547C5829" w:rsidR="007811C1" w:rsidRDefault="007811C1" w:rsidP="004A48E5">
      <w:pPr>
        <w:ind w:firstLine="0"/>
        <w:rPr>
          <w:b/>
        </w:rPr>
      </w:pPr>
    </w:p>
    <w:p w14:paraId="414F0160" w14:textId="4EC36A10" w:rsidR="007811C1" w:rsidRDefault="007811C1" w:rsidP="004A48E5">
      <w:pPr>
        <w:ind w:firstLine="0"/>
        <w:rPr>
          <w:b/>
        </w:rPr>
      </w:pPr>
    </w:p>
    <w:p w14:paraId="39C8D895" w14:textId="304059E9" w:rsidR="007811C1" w:rsidRDefault="007811C1" w:rsidP="004A48E5">
      <w:pPr>
        <w:ind w:firstLine="0"/>
        <w:rPr>
          <w:b/>
        </w:rPr>
      </w:pPr>
    </w:p>
    <w:p w14:paraId="2FC6081A" w14:textId="5CFFEBFB" w:rsidR="007811C1" w:rsidRDefault="007811C1" w:rsidP="004A48E5">
      <w:pPr>
        <w:ind w:firstLine="0"/>
        <w:rPr>
          <w:b/>
        </w:rPr>
      </w:pPr>
    </w:p>
    <w:p w14:paraId="610CD353" w14:textId="7AD8D26A" w:rsidR="007811C1" w:rsidRDefault="007811C1" w:rsidP="004A48E5">
      <w:pPr>
        <w:ind w:firstLine="0"/>
        <w:rPr>
          <w:b/>
        </w:rPr>
      </w:pPr>
    </w:p>
    <w:p w14:paraId="6B0D2A4F" w14:textId="77777777" w:rsidR="007811C1" w:rsidRPr="00B7238F" w:rsidRDefault="007811C1" w:rsidP="004A48E5">
      <w:pPr>
        <w:ind w:firstLine="0"/>
        <w:rPr>
          <w:highlight w:val="yellow"/>
        </w:rPr>
      </w:pPr>
    </w:p>
    <w:p w14:paraId="06B9ABA2" w14:textId="77777777" w:rsidR="007811C1" w:rsidRDefault="007811C1" w:rsidP="00877ED1">
      <w:pPr>
        <w:pStyle w:val="Ttulo1"/>
        <w:sectPr w:rsidR="007811C1" w:rsidSect="00731E3D">
          <w:headerReference w:type="even" r:id="rId10"/>
          <w:headerReference w:type="default" r:id="rId11"/>
          <w:pgSz w:w="11906" w:h="16838" w:code="9"/>
          <w:pgMar w:top="1701" w:right="1134" w:bottom="1134" w:left="1701" w:header="709" w:footer="709" w:gutter="0"/>
          <w:cols w:space="708"/>
          <w:docGrid w:linePitch="360"/>
        </w:sectPr>
      </w:pPr>
      <w:bookmarkStart w:id="0" w:name="_Toc516580479"/>
      <w:bookmarkStart w:id="1" w:name="_Toc517105654"/>
    </w:p>
    <w:p w14:paraId="014E5435" w14:textId="2A8335F4" w:rsidR="00BF19A5" w:rsidRPr="00B7238F" w:rsidRDefault="00BF19A5" w:rsidP="003C3EFD">
      <w:pPr>
        <w:pStyle w:val="Ttulo1"/>
        <w:spacing w:after="0" w:line="360" w:lineRule="auto"/>
      </w:pPr>
      <w:bookmarkStart w:id="2" w:name="_Toc22568213"/>
      <w:r w:rsidRPr="00B7238F">
        <w:t>1 INTRODUÇÃO</w:t>
      </w:r>
      <w:bookmarkEnd w:id="0"/>
      <w:bookmarkEnd w:id="1"/>
      <w:bookmarkEnd w:id="2"/>
    </w:p>
    <w:p w14:paraId="6EDDFA49" w14:textId="77777777" w:rsidR="007E077C" w:rsidRDefault="007E077C" w:rsidP="003C3EFD">
      <w:pPr>
        <w:spacing w:after="0" w:line="360" w:lineRule="auto"/>
      </w:pPr>
    </w:p>
    <w:p w14:paraId="604BABEB" w14:textId="7D98ED8B" w:rsidR="00BB7A14" w:rsidRPr="00B7238F" w:rsidRDefault="00364C28" w:rsidP="003C3EFD">
      <w:pPr>
        <w:spacing w:after="0" w:line="360" w:lineRule="auto"/>
      </w:pPr>
      <w:r w:rsidRPr="00B7238F">
        <w:t>A cultura da soja (</w:t>
      </w:r>
      <w:r w:rsidRPr="00B7238F">
        <w:rPr>
          <w:i/>
        </w:rPr>
        <w:t xml:space="preserve">Glycine max </w:t>
      </w:r>
      <w:r w:rsidRPr="00B7238F">
        <w:t xml:space="preserve">(L.) Merr.) está entre as mais importantes plantas de lavouras cultivadas no Brasil, devido ao seu valor socioeconômico, e expressão no mercado externo e interno (HIRAKURI &amp; LAZZAROTTO, 2014). O Brasil é o segundo maior produtor mundial de soja, atrás dos Estados Unidos. A área cultivada com soja no Brasil quase triplicou nos últimos vinte anos, aumentando de 11,38 milhões de hectares na safra de 1997/98 para 35,82 milhões de hectares na safra de 2018/19 (CONAB, 2019). A expectativa de produção total é de 114,84 milhões de toneladas, com produtividade média de 3,20 toneladas por hectare. Os principais estados produtores de soja são Mato Grosso, Paraná e Rio Grande do Sul (CONAB, 2019). </w:t>
      </w:r>
    </w:p>
    <w:p w14:paraId="55C00373" w14:textId="72DB40A3" w:rsidR="00364C28" w:rsidRPr="00B7238F" w:rsidRDefault="00364C28" w:rsidP="003C3EFD">
      <w:pPr>
        <w:spacing w:after="0" w:line="360" w:lineRule="auto"/>
        <w:rPr>
          <w:szCs w:val="22"/>
        </w:rPr>
      </w:pPr>
      <w:r w:rsidRPr="00B7238F">
        <w:t>O potencial de rendimento de grãos de soja tem sido limitado em função do sistema de implantação da lavoura, condições de clima durante o ciclo de desenvolvimento da cultura, sistema de rotação e sucessão de culturas, manejo e fertilidade do solo, escolha de cultivares, qualidade de sementes, manejo de plantas daninhas, pragas, doenças e tecnologia de colheita (</w:t>
      </w:r>
      <w:bookmarkStart w:id="3" w:name="_Hlk11837482"/>
      <w:r w:rsidRPr="00B7238F">
        <w:t>REUNIÃO, 2014</w:t>
      </w:r>
      <w:bookmarkEnd w:id="3"/>
      <w:r w:rsidRPr="00B7238F">
        <w:t>).</w:t>
      </w:r>
    </w:p>
    <w:p w14:paraId="7A66DBDC" w14:textId="77777777" w:rsidR="00193284" w:rsidRDefault="00364C28" w:rsidP="003C3EFD">
      <w:pPr>
        <w:pStyle w:val="SemEspaamento"/>
        <w:spacing w:line="360" w:lineRule="auto"/>
        <w:ind w:firstLine="709"/>
        <w:jc w:val="both"/>
        <w:rPr>
          <w:rFonts w:ascii="Times New Roman" w:hAnsi="Times New Roman"/>
          <w:sz w:val="24"/>
          <w:szCs w:val="24"/>
        </w:rPr>
      </w:pPr>
      <w:r w:rsidRPr="00B7238F">
        <w:rPr>
          <w:rFonts w:ascii="Times New Roman" w:hAnsi="Times New Roman"/>
          <w:sz w:val="24"/>
          <w:szCs w:val="24"/>
        </w:rPr>
        <w:t>No Brasil, as principais doenças são ferrugem asiática da soja (FAS) (</w:t>
      </w:r>
      <w:r w:rsidRPr="00B7238F">
        <w:rPr>
          <w:rFonts w:ascii="Times New Roman" w:hAnsi="Times New Roman"/>
          <w:i/>
          <w:sz w:val="24"/>
          <w:szCs w:val="24"/>
        </w:rPr>
        <w:t xml:space="preserve">Phakopsora pachyrhizi </w:t>
      </w:r>
      <w:r w:rsidRPr="00B7238F">
        <w:rPr>
          <w:rFonts w:ascii="Times New Roman" w:hAnsi="Times New Roman"/>
          <w:sz w:val="24"/>
          <w:szCs w:val="24"/>
        </w:rPr>
        <w:t>Sydow &amp; Sydow), oídio (</w:t>
      </w:r>
      <w:r w:rsidRPr="00B7238F">
        <w:rPr>
          <w:rFonts w:ascii="Times New Roman" w:hAnsi="Times New Roman"/>
          <w:i/>
          <w:sz w:val="24"/>
          <w:szCs w:val="24"/>
        </w:rPr>
        <w:t xml:space="preserve">Erysiphe diffusa </w:t>
      </w:r>
      <w:r w:rsidRPr="00B7238F">
        <w:rPr>
          <w:rFonts w:ascii="Times New Roman" w:hAnsi="Times New Roman"/>
          <w:sz w:val="24"/>
          <w:szCs w:val="24"/>
        </w:rPr>
        <w:t>Cke. &amp; Pk), antracnose (</w:t>
      </w:r>
      <w:r w:rsidRPr="00B7238F">
        <w:rPr>
          <w:rFonts w:ascii="Times New Roman" w:hAnsi="Times New Roman"/>
          <w:i/>
          <w:sz w:val="24"/>
          <w:szCs w:val="24"/>
        </w:rPr>
        <w:t xml:space="preserve">Colletotrichum truncatum </w:t>
      </w:r>
      <w:r w:rsidRPr="00B7238F">
        <w:rPr>
          <w:rFonts w:ascii="Times New Roman" w:hAnsi="Times New Roman"/>
          <w:sz w:val="24"/>
          <w:szCs w:val="24"/>
        </w:rPr>
        <w:t>Andrus &amp; Moore), cercosporiose (</w:t>
      </w:r>
      <w:r w:rsidRPr="00B7238F">
        <w:rPr>
          <w:rFonts w:ascii="Times New Roman" w:hAnsi="Times New Roman"/>
          <w:i/>
          <w:sz w:val="24"/>
          <w:szCs w:val="24"/>
        </w:rPr>
        <w:t>Cercospora kikuchii</w:t>
      </w:r>
      <w:r w:rsidRPr="00B7238F">
        <w:rPr>
          <w:rFonts w:ascii="Times New Roman" w:hAnsi="Times New Roman"/>
          <w:sz w:val="24"/>
          <w:szCs w:val="24"/>
        </w:rPr>
        <w:t>), mancha parda (</w:t>
      </w:r>
      <w:r w:rsidRPr="00B7238F">
        <w:rPr>
          <w:rFonts w:ascii="Times New Roman" w:hAnsi="Times New Roman"/>
          <w:i/>
          <w:sz w:val="24"/>
          <w:szCs w:val="24"/>
        </w:rPr>
        <w:t xml:space="preserve">Septoria glycines </w:t>
      </w:r>
      <w:r w:rsidRPr="00B7238F">
        <w:rPr>
          <w:rFonts w:ascii="Times New Roman" w:hAnsi="Times New Roman"/>
          <w:sz w:val="24"/>
          <w:szCs w:val="24"/>
        </w:rPr>
        <w:t>Hemmi), mancha alvo (</w:t>
      </w:r>
      <w:r w:rsidRPr="00B7238F">
        <w:rPr>
          <w:rFonts w:ascii="Times New Roman" w:hAnsi="Times New Roman"/>
          <w:i/>
          <w:sz w:val="24"/>
          <w:szCs w:val="24"/>
        </w:rPr>
        <w:t>Corynespora cassiicola</w:t>
      </w:r>
      <w:r w:rsidRPr="00B7238F">
        <w:rPr>
          <w:rFonts w:ascii="Times New Roman" w:hAnsi="Times New Roman"/>
          <w:sz w:val="24"/>
          <w:szCs w:val="24"/>
        </w:rPr>
        <w:t xml:space="preserve"> Berk &amp; Curt.), crestamento bacteriano (</w:t>
      </w:r>
      <w:r w:rsidRPr="00B7238F">
        <w:rPr>
          <w:rFonts w:ascii="Times New Roman" w:hAnsi="Times New Roman"/>
          <w:i/>
          <w:sz w:val="24"/>
          <w:szCs w:val="24"/>
        </w:rPr>
        <w:t xml:space="preserve">Pseudomonas savastanoi </w:t>
      </w:r>
      <w:r w:rsidRPr="00B7238F">
        <w:rPr>
          <w:rFonts w:ascii="Times New Roman" w:hAnsi="Times New Roman"/>
          <w:sz w:val="24"/>
          <w:szCs w:val="24"/>
        </w:rPr>
        <w:t xml:space="preserve">pv. </w:t>
      </w:r>
      <w:r w:rsidRPr="00B7238F">
        <w:rPr>
          <w:rFonts w:ascii="Times New Roman" w:hAnsi="Times New Roman"/>
          <w:i/>
          <w:sz w:val="24"/>
          <w:szCs w:val="24"/>
        </w:rPr>
        <w:t xml:space="preserve">glycinea </w:t>
      </w:r>
      <w:r w:rsidRPr="00B7238F">
        <w:rPr>
          <w:rFonts w:ascii="Times New Roman" w:hAnsi="Times New Roman"/>
          <w:sz w:val="24"/>
          <w:szCs w:val="24"/>
        </w:rPr>
        <w:t>Heald), míldio (</w:t>
      </w:r>
      <w:r w:rsidRPr="00B7238F">
        <w:rPr>
          <w:rFonts w:ascii="Times New Roman" w:hAnsi="Times New Roman"/>
          <w:i/>
          <w:sz w:val="24"/>
          <w:szCs w:val="24"/>
        </w:rPr>
        <w:t xml:space="preserve">Peronospora manshurica </w:t>
      </w:r>
      <w:r w:rsidRPr="00B7238F">
        <w:rPr>
          <w:rFonts w:ascii="Times New Roman" w:hAnsi="Times New Roman"/>
          <w:sz w:val="24"/>
          <w:szCs w:val="24"/>
        </w:rPr>
        <w:t>Sydow), seca da haste e da vagem (</w:t>
      </w:r>
      <w:r w:rsidRPr="00B7238F">
        <w:rPr>
          <w:rFonts w:ascii="Times New Roman" w:hAnsi="Times New Roman"/>
          <w:i/>
          <w:sz w:val="24"/>
          <w:szCs w:val="24"/>
        </w:rPr>
        <w:t>Phomopsis phaseoli</w:t>
      </w:r>
      <w:r w:rsidRPr="00B7238F">
        <w:rPr>
          <w:rFonts w:ascii="Times New Roman" w:hAnsi="Times New Roman"/>
          <w:sz w:val="24"/>
          <w:szCs w:val="24"/>
        </w:rPr>
        <w:t xml:space="preserve"> (Desmaz) Sacc.), mofo branco (</w:t>
      </w:r>
      <w:r w:rsidRPr="00B7238F">
        <w:rPr>
          <w:rFonts w:ascii="Times New Roman" w:hAnsi="Times New Roman"/>
          <w:i/>
          <w:sz w:val="24"/>
          <w:szCs w:val="24"/>
        </w:rPr>
        <w:t>Sclerotinia sclerotiorum</w:t>
      </w:r>
      <w:r w:rsidRPr="00B7238F">
        <w:rPr>
          <w:rFonts w:ascii="Times New Roman" w:hAnsi="Times New Roman"/>
          <w:sz w:val="24"/>
          <w:szCs w:val="24"/>
        </w:rPr>
        <w:t xml:space="preserve"> (Lib) De Bary), podridão de fitóftora (</w:t>
      </w:r>
      <w:r w:rsidRPr="00B7238F">
        <w:rPr>
          <w:rFonts w:ascii="Times New Roman" w:hAnsi="Times New Roman"/>
          <w:i/>
          <w:sz w:val="24"/>
          <w:szCs w:val="24"/>
        </w:rPr>
        <w:t>Phytophthora sojae</w:t>
      </w:r>
      <w:r w:rsidRPr="00B7238F">
        <w:rPr>
          <w:rFonts w:ascii="Times New Roman" w:hAnsi="Times New Roman"/>
          <w:sz w:val="24"/>
          <w:szCs w:val="24"/>
        </w:rPr>
        <w:t xml:space="preserve"> Kauffmann &amp; Gardemann), podridão de fusarium (complexo de </w:t>
      </w:r>
      <w:r w:rsidRPr="00B7238F">
        <w:rPr>
          <w:rFonts w:ascii="Times New Roman" w:hAnsi="Times New Roman"/>
          <w:i/>
          <w:sz w:val="24"/>
          <w:szCs w:val="24"/>
        </w:rPr>
        <w:t>Fusarium</w:t>
      </w:r>
      <w:r w:rsidRPr="00B7238F">
        <w:rPr>
          <w:rFonts w:ascii="Times New Roman" w:hAnsi="Times New Roman"/>
          <w:sz w:val="24"/>
          <w:szCs w:val="24"/>
        </w:rPr>
        <w:t>), podridão cinzenta da raiz (</w:t>
      </w:r>
      <w:r w:rsidRPr="00B7238F">
        <w:rPr>
          <w:rFonts w:ascii="Times New Roman" w:hAnsi="Times New Roman"/>
          <w:i/>
          <w:sz w:val="24"/>
          <w:szCs w:val="24"/>
        </w:rPr>
        <w:t xml:space="preserve">Macrophomina phaseolina </w:t>
      </w:r>
      <w:r w:rsidRPr="00B7238F">
        <w:rPr>
          <w:rFonts w:ascii="Times New Roman" w:hAnsi="Times New Roman"/>
          <w:sz w:val="24"/>
          <w:szCs w:val="24"/>
        </w:rPr>
        <w:t>Tassi), rizoctoniose (</w:t>
      </w:r>
      <w:r w:rsidRPr="00B7238F">
        <w:rPr>
          <w:rFonts w:ascii="Times New Roman" w:hAnsi="Times New Roman"/>
          <w:i/>
          <w:sz w:val="24"/>
          <w:szCs w:val="24"/>
        </w:rPr>
        <w:t>Rhizoctonia solani</w:t>
      </w:r>
      <w:r w:rsidRPr="00B7238F">
        <w:rPr>
          <w:rFonts w:ascii="Times New Roman" w:hAnsi="Times New Roman"/>
          <w:sz w:val="24"/>
          <w:szCs w:val="24"/>
        </w:rPr>
        <w:t xml:space="preserve"> Kuhn) e geográfico da haste e da raiz (</w:t>
      </w:r>
      <w:r w:rsidRPr="00B7238F">
        <w:rPr>
          <w:rFonts w:ascii="Times New Roman" w:hAnsi="Times New Roman"/>
          <w:i/>
          <w:sz w:val="24"/>
          <w:szCs w:val="24"/>
        </w:rPr>
        <w:t xml:space="preserve">Phomopsis </w:t>
      </w:r>
      <w:r w:rsidRPr="00B7238F">
        <w:rPr>
          <w:rFonts w:ascii="Times New Roman" w:hAnsi="Times New Roman"/>
          <w:sz w:val="24"/>
          <w:szCs w:val="24"/>
        </w:rPr>
        <w:t>spp.)(</w:t>
      </w:r>
      <w:bookmarkStart w:id="4" w:name="_Hlk11837504"/>
      <w:r w:rsidRPr="00B7238F">
        <w:rPr>
          <w:rFonts w:ascii="Times New Roman" w:hAnsi="Times New Roman"/>
          <w:sz w:val="24"/>
          <w:szCs w:val="24"/>
        </w:rPr>
        <w:t>REIS et al., 2012</w:t>
      </w:r>
      <w:bookmarkEnd w:id="4"/>
      <w:r w:rsidRPr="00B7238F">
        <w:rPr>
          <w:rFonts w:ascii="Times New Roman" w:hAnsi="Times New Roman"/>
          <w:sz w:val="24"/>
          <w:szCs w:val="24"/>
        </w:rPr>
        <w:t xml:space="preserve">). </w:t>
      </w:r>
    </w:p>
    <w:p w14:paraId="3FCD53B3" w14:textId="5F84881E" w:rsidR="00364C28" w:rsidRPr="00B7238F" w:rsidRDefault="00364C28" w:rsidP="003C3EFD">
      <w:pPr>
        <w:pStyle w:val="SemEspaamento"/>
        <w:spacing w:line="360" w:lineRule="auto"/>
        <w:ind w:firstLine="709"/>
        <w:jc w:val="both"/>
        <w:rPr>
          <w:rFonts w:ascii="Times New Roman" w:hAnsi="Times New Roman"/>
          <w:sz w:val="24"/>
          <w:szCs w:val="24"/>
        </w:rPr>
      </w:pPr>
      <w:r w:rsidRPr="00B7238F">
        <w:rPr>
          <w:rFonts w:ascii="Times New Roman" w:hAnsi="Times New Roman"/>
          <w:sz w:val="24"/>
          <w:szCs w:val="24"/>
        </w:rPr>
        <w:t>A FAS é a principal doença foliar da cultura no Brasil (</w:t>
      </w:r>
      <w:bookmarkStart w:id="5" w:name="_Hlk11837519"/>
      <w:r w:rsidRPr="00B7238F">
        <w:rPr>
          <w:rFonts w:ascii="Times New Roman" w:hAnsi="Times New Roman"/>
          <w:sz w:val="24"/>
          <w:szCs w:val="24"/>
        </w:rPr>
        <w:t>GODOY et al, 2016</w:t>
      </w:r>
      <w:bookmarkEnd w:id="5"/>
      <w:r w:rsidRPr="00B7238F">
        <w:rPr>
          <w:rFonts w:ascii="Times New Roman" w:hAnsi="Times New Roman"/>
          <w:sz w:val="24"/>
          <w:szCs w:val="24"/>
        </w:rPr>
        <w:t>). Podem ocorrer danos de até 90% no rendimento de grãos de soja, quando não são realizadas medidas de controle (</w:t>
      </w:r>
      <w:bookmarkStart w:id="6" w:name="_Hlk11837535"/>
      <w:r w:rsidRPr="00B7238F">
        <w:rPr>
          <w:rFonts w:ascii="Times New Roman" w:hAnsi="Times New Roman"/>
          <w:sz w:val="24"/>
          <w:szCs w:val="24"/>
        </w:rPr>
        <w:t>HARTMAN, WANG &amp; TSCHANZ, 1991</w:t>
      </w:r>
      <w:bookmarkEnd w:id="6"/>
      <w:r w:rsidRPr="00B7238F">
        <w:rPr>
          <w:rFonts w:ascii="Times New Roman" w:hAnsi="Times New Roman"/>
          <w:sz w:val="24"/>
          <w:szCs w:val="24"/>
        </w:rPr>
        <w:t>).</w:t>
      </w:r>
    </w:p>
    <w:p w14:paraId="0217CC1D" w14:textId="77777777" w:rsidR="00193284" w:rsidRDefault="00364C28" w:rsidP="003C3EFD">
      <w:pPr>
        <w:spacing w:after="0" w:line="360" w:lineRule="auto"/>
      </w:pPr>
      <w:r w:rsidRPr="00B7238F">
        <w:t xml:space="preserve">As condições climáticas das regiões produtoras de soja no Brasil são propícias ao desenvolvimento de </w:t>
      </w:r>
      <w:r w:rsidRPr="00B7238F">
        <w:rPr>
          <w:i/>
        </w:rPr>
        <w:t>P. pachyrhizi</w:t>
      </w:r>
      <w:r w:rsidRPr="00B7238F">
        <w:t>, que é favorecido por chuvas bem distribuídas e longos períodos de molhamento (</w:t>
      </w:r>
      <w:bookmarkStart w:id="7" w:name="_Hlk11837558"/>
      <w:r w:rsidRPr="00B7238F">
        <w:t xml:space="preserve">DEL PONTE </w:t>
      </w:r>
      <w:r w:rsidRPr="00B7238F">
        <w:rPr>
          <w:iCs/>
        </w:rPr>
        <w:t>et al</w:t>
      </w:r>
      <w:r w:rsidRPr="00B7238F">
        <w:t>., 2008</w:t>
      </w:r>
      <w:bookmarkEnd w:id="7"/>
      <w:r w:rsidRPr="00B7238F">
        <w:t>). A sobrevivência do inóculo do fungo no período de entressafra ocorre em algumas regiões do Paraguai, Bolívia e Brasil, onde se realiza o cultivo de soja segunda safra, e em plantas voluntárias. A presença da soja garante a sobrevivência do fungo e consequente disseminação dos uredosporos para as lavouras implantadas na safra brasileira.</w:t>
      </w:r>
    </w:p>
    <w:p w14:paraId="7BD770A3" w14:textId="77777777" w:rsidR="00193284" w:rsidRDefault="00364C28" w:rsidP="003C3EFD">
      <w:pPr>
        <w:spacing w:after="0" w:line="360" w:lineRule="auto"/>
      </w:pPr>
      <w:r w:rsidRPr="00B7238F">
        <w:t>As principais medidas de manejo da FAS são a utilização de cultivares de ciclo precoce, realização da semeadura no início da época recomendada, eliminação de plantas voluntárias e/ou não cultivo na entressafra (vazio sanitário), utilização de cultivares com genes de resistência e aplicação de fungicidas preventivamente ou no aparecimento dos primeiros sintomas (GODOY et al., 201</w:t>
      </w:r>
      <w:r w:rsidR="00EC0174" w:rsidRPr="00B7238F">
        <w:t>8</w:t>
      </w:r>
      <w:r w:rsidRPr="00B7238F">
        <w:t xml:space="preserve">). De acordo com </w:t>
      </w:r>
      <w:bookmarkStart w:id="8" w:name="_Hlk11837616"/>
      <w:r w:rsidRPr="00B7238F">
        <w:t xml:space="preserve">Xavier et al. (2015) </w:t>
      </w:r>
      <w:bookmarkEnd w:id="8"/>
      <w:r w:rsidRPr="00B7238F">
        <w:t>a única estratégia de controle que viabiliza a semeadura de soja, na presença da doença, é a utilização de fungicidas.</w:t>
      </w:r>
    </w:p>
    <w:p w14:paraId="07FC28EB" w14:textId="77777777" w:rsidR="00193284" w:rsidRDefault="00364C28" w:rsidP="003C3EFD">
      <w:pPr>
        <w:spacing w:after="0" w:line="360" w:lineRule="auto"/>
      </w:pPr>
      <w:r w:rsidRPr="00B7238F">
        <w:t>A dificuldade de controle da FAS se deve a não existência de cultivares com nível de resistência satisfatória, a deficiência em tecnologia de aplicação de fungicidas, a redução de eficiência dos fungicidas (</w:t>
      </w:r>
      <w:bookmarkStart w:id="9" w:name="_Hlk11837634"/>
      <w:r w:rsidRPr="00B7238F">
        <w:t>GODOY et al.</w:t>
      </w:r>
      <w:r w:rsidR="009C4BA5" w:rsidRPr="00B7238F">
        <w:t>,</w:t>
      </w:r>
      <w:r w:rsidRPr="00B7238F">
        <w:t xml:space="preserve"> 2016</w:t>
      </w:r>
      <w:bookmarkEnd w:id="9"/>
      <w:r w:rsidRPr="00B7238F">
        <w:t>) e a aplicações de fungicidas sem critérios que avaliem os fatores epidemiológicos da doença.</w:t>
      </w:r>
    </w:p>
    <w:p w14:paraId="504D4F77" w14:textId="77777777" w:rsidR="00193284" w:rsidRDefault="00364C28" w:rsidP="003C3EFD">
      <w:pPr>
        <w:spacing w:after="0" w:line="360" w:lineRule="auto"/>
      </w:pPr>
      <w:r w:rsidRPr="00B7238F">
        <w:t>A partir da safra 2013/14 aumentou o número de relatos por agricultores e técnicos de falhas no controle químico. Isto deve-se principalmente à redução na eficiência de fungicidas, o que foi comprovado nos ensaios do consórcio antiferrugem nas safras 2013/14, 2014/15 e 2015/16 (</w:t>
      </w:r>
      <w:bookmarkStart w:id="10" w:name="_Hlk11837662"/>
      <w:r w:rsidRPr="00B7238F">
        <w:t>GODOY et al., 2014; 2015; 2016; 2017; 2018</w:t>
      </w:r>
      <w:bookmarkEnd w:id="10"/>
      <w:r w:rsidRPr="00B7238F">
        <w:t>).</w:t>
      </w:r>
    </w:p>
    <w:p w14:paraId="3468B091" w14:textId="77777777" w:rsidR="00193284" w:rsidRDefault="003E054B" w:rsidP="003C3EFD">
      <w:pPr>
        <w:spacing w:after="0" w:line="360" w:lineRule="auto"/>
      </w:pPr>
      <w:r w:rsidRPr="00B7238F">
        <w:t xml:space="preserve">Muitos trabalhos têm sido desenvolvidos recentemente no Brasil avaliando a eficiência de fungicidas no controle de </w:t>
      </w:r>
      <w:r w:rsidRPr="00B7238F">
        <w:rPr>
          <w:i/>
        </w:rPr>
        <w:t>P. pachyrhizi</w:t>
      </w:r>
      <w:r w:rsidRPr="00B7238F">
        <w:t xml:space="preserve"> (</w:t>
      </w:r>
      <w:bookmarkStart w:id="11" w:name="_Hlk11837693"/>
      <w:r w:rsidRPr="00B7238F">
        <w:t>DANELLI, REIS &amp; BOARETTO, 2015; REIS, DEUNER &amp; ZANATTA, 2015; XAVIER et al., 2015; REIS, ZANATTA &amp; ZANATTA, 2016</w:t>
      </w:r>
      <w:bookmarkEnd w:id="11"/>
      <w:r w:rsidRPr="00B7238F">
        <w:t xml:space="preserve">). Por outro lado, no que se referem à eficiência de carboxamidas aplicadas em diferentes fases do processo de infecção do fungo não há informações, especialmente com </w:t>
      </w:r>
      <w:r w:rsidR="00482039" w:rsidRPr="00B7238F">
        <w:t xml:space="preserve">populações </w:t>
      </w:r>
      <w:r w:rsidRPr="00B7238F">
        <w:t xml:space="preserve">de </w:t>
      </w:r>
      <w:r w:rsidRPr="00B7238F">
        <w:rPr>
          <w:i/>
        </w:rPr>
        <w:t>P. pachyrhizi</w:t>
      </w:r>
      <w:r w:rsidRPr="00B7238F">
        <w:t xml:space="preserve"> provenientes do estado de Santa Catarina.</w:t>
      </w:r>
    </w:p>
    <w:p w14:paraId="21CFFB31" w14:textId="720A49E2" w:rsidR="00193284" w:rsidRDefault="003E054B" w:rsidP="003C3EFD">
      <w:pPr>
        <w:spacing w:after="0" w:line="360" w:lineRule="auto"/>
      </w:pPr>
      <w:r w:rsidRPr="00B7238F">
        <w:t xml:space="preserve">A utilização de fungicidas sitio </w:t>
      </w:r>
      <w:r w:rsidR="009C71B9" w:rsidRPr="00B7238F">
        <w:t>específico</w:t>
      </w:r>
      <w:r w:rsidRPr="00B7238F">
        <w:t xml:space="preserve"> em áreas extensas, com aplicações repetidos dos mesmos mecanismos de ação, pode levar a seleção de isolado do patógeno com menor sensibilidade a fungicidas (</w:t>
      </w:r>
      <w:bookmarkStart w:id="12" w:name="_Hlk11837744"/>
      <w:r w:rsidRPr="00B7238F">
        <w:t>BOSCH &amp; GILLIGAN, 2008; BOSCH et al., 2014</w:t>
      </w:r>
      <w:bookmarkEnd w:id="12"/>
      <w:r w:rsidRPr="00B7238F">
        <w:t xml:space="preserve">). No Brasil foram relatadas mutações em </w:t>
      </w:r>
      <w:r w:rsidRPr="00B7238F">
        <w:rPr>
          <w:i/>
        </w:rPr>
        <w:t>P. pachyrhizi</w:t>
      </w:r>
      <w:r w:rsidRPr="00B7238F">
        <w:t>, nos genes CYP51, CYTB e na subunidade C da enzima succinato desidrogenase (SDH), as quais conferem redução da sensibilidade a fungicidas dos grupos químicos dos triazóis, estrobilurinas e carboxamidas (</w:t>
      </w:r>
      <w:bookmarkStart w:id="13" w:name="_Hlk11837768"/>
      <w:r w:rsidRPr="00B7238F">
        <w:t>SCHIMTZ et al., 2013; KLOSOWSKI et al., 2016; SIMÕES et al., 2017</w:t>
      </w:r>
      <w:bookmarkEnd w:id="13"/>
      <w:r w:rsidRPr="00B7238F">
        <w:t>).</w:t>
      </w:r>
    </w:p>
    <w:p w14:paraId="69B47825" w14:textId="5A6E2453" w:rsidR="00193284" w:rsidRDefault="003E054B" w:rsidP="003C3EFD">
      <w:pPr>
        <w:spacing w:after="0" w:line="360" w:lineRule="auto"/>
      </w:pPr>
      <w:r w:rsidRPr="00B7238F">
        <w:t xml:space="preserve">O primeiro relato da mutação I86F, na subunidade C da enzima SDH em </w:t>
      </w:r>
      <w:r w:rsidRPr="00B7238F">
        <w:rPr>
          <w:i/>
        </w:rPr>
        <w:t xml:space="preserve">P. pachyrhizi </w:t>
      </w:r>
      <w:r w:rsidRPr="00B7238F">
        <w:t xml:space="preserve">ocorreu em 2017 (SIMÕES et al., 2017). </w:t>
      </w:r>
      <w:r w:rsidR="00DF3685">
        <w:t xml:space="preserve">A qual ocasiona a troca do </w:t>
      </w:r>
      <w:r w:rsidR="005D21C8">
        <w:t>aminoácido</w:t>
      </w:r>
      <w:r w:rsidR="00DF3685">
        <w:t xml:space="preserve"> isoleucina por fenilalanina no códon 86 do gene SdhC do fungo </w:t>
      </w:r>
      <w:r w:rsidR="00DF3685" w:rsidRPr="00DF3685">
        <w:rPr>
          <w:i/>
        </w:rPr>
        <w:t>P. pachyrhizi</w:t>
      </w:r>
      <w:r w:rsidR="00DF3685">
        <w:t xml:space="preserve">. </w:t>
      </w:r>
      <w:r w:rsidRPr="00B7238F">
        <w:t xml:space="preserve">Contudo, há necessidade da realização de estudos da distribuição da mutação nas regiões onde é cultivado soja, frequência da mutação em </w:t>
      </w:r>
      <w:r w:rsidR="00220564">
        <w:t>populações</w:t>
      </w:r>
      <w:r w:rsidRPr="00B7238F">
        <w:t>, fator de resistência a fungicidas do grupo das carboxamidas, adaptabilidade do fungo</w:t>
      </w:r>
      <w:r w:rsidR="00220564">
        <w:t>, e estratégias de manejo de resistência a fungicidas deste grupo</w:t>
      </w:r>
      <w:r w:rsidRPr="00B7238F">
        <w:t xml:space="preserve">. O comportamento da mutação nas populações do patógeno durante os próximos anos agrícolas, poderá ser influenciado pela frequência inicial, pressão de seleção e adaptabilidade de </w:t>
      </w:r>
      <w:r w:rsidRPr="00B7238F">
        <w:rPr>
          <w:i/>
        </w:rPr>
        <w:t>P. pachyrhizi</w:t>
      </w:r>
      <w:r w:rsidRPr="00B7238F">
        <w:t xml:space="preserve"> (BOSCH et a., 2014; </w:t>
      </w:r>
      <w:bookmarkStart w:id="14" w:name="_Hlk11837823"/>
      <w:r w:rsidRPr="00B7238F">
        <w:t>KLOSOWSKI et al., 2016b</w:t>
      </w:r>
      <w:bookmarkEnd w:id="14"/>
      <w:r w:rsidRPr="00B7238F">
        <w:t xml:space="preserve">). </w:t>
      </w:r>
    </w:p>
    <w:p w14:paraId="5C574815" w14:textId="77777777" w:rsidR="00193284" w:rsidRDefault="003E054B" w:rsidP="003C3EFD">
      <w:pPr>
        <w:spacing w:after="0" w:line="360" w:lineRule="auto"/>
      </w:pPr>
      <w:r w:rsidRPr="00B7238F">
        <w:t xml:space="preserve">No estado de Santa Catarina, não há relato da mutação I86F em </w:t>
      </w:r>
      <w:r w:rsidRPr="00B7238F">
        <w:rPr>
          <w:i/>
        </w:rPr>
        <w:t xml:space="preserve">P. pachyrhizi. </w:t>
      </w:r>
      <w:r w:rsidRPr="00B7238F">
        <w:t xml:space="preserve">Além disso, não </w:t>
      </w:r>
      <w:r w:rsidR="00852521" w:rsidRPr="00B7238F">
        <w:t xml:space="preserve">foram encontrados na literatura </w:t>
      </w:r>
      <w:r w:rsidRPr="00B7238F">
        <w:t xml:space="preserve">estudos de eficiência de controle da </w:t>
      </w:r>
      <w:r w:rsidR="00852521" w:rsidRPr="00B7238F">
        <w:t>FAS realizados no estado</w:t>
      </w:r>
      <w:r w:rsidR="0052782A" w:rsidRPr="00B7238F">
        <w:t xml:space="preserve"> nas últim</w:t>
      </w:r>
      <w:r w:rsidR="00852521" w:rsidRPr="00B7238F">
        <w:t>a</w:t>
      </w:r>
      <w:r w:rsidR="0052782A" w:rsidRPr="00B7238F">
        <w:t>s cinco safras</w:t>
      </w:r>
      <w:r w:rsidRPr="00B7238F">
        <w:t>.</w:t>
      </w:r>
    </w:p>
    <w:p w14:paraId="5D66A5DD" w14:textId="21581B12" w:rsidR="0043763E" w:rsidRDefault="003E054B" w:rsidP="003C3EFD">
      <w:pPr>
        <w:spacing w:after="0" w:line="360" w:lineRule="auto"/>
      </w:pPr>
      <w:r w:rsidRPr="00B7238F">
        <w:t xml:space="preserve">Neste sentido importantes contribuições, referem-se à obtenção de informações sobre: 1) eficiência de carboxamidas aplicadas isoladas e/ou em mistura com outros fungicidas no controle de </w:t>
      </w:r>
      <w:r w:rsidR="00482039" w:rsidRPr="00B7238F">
        <w:t>populações</w:t>
      </w:r>
      <w:r w:rsidRPr="00B7238F">
        <w:t xml:space="preserve"> de </w:t>
      </w:r>
      <w:r w:rsidRPr="00B7238F">
        <w:rPr>
          <w:i/>
          <w:iCs/>
        </w:rPr>
        <w:t xml:space="preserve">P. pachyrhizi </w:t>
      </w:r>
      <w:r w:rsidRPr="00B7238F">
        <w:rPr>
          <w:iCs/>
        </w:rPr>
        <w:t>com a mutação I86F</w:t>
      </w:r>
      <w:r w:rsidRPr="00B7238F">
        <w:t xml:space="preserve">, em diferentes fases do processo de infecção do fungo; 2) ocorrência, distribuição e frequência da mutação I86F em </w:t>
      </w:r>
      <w:r w:rsidR="00482039" w:rsidRPr="00B7238F">
        <w:t>populações</w:t>
      </w:r>
      <w:r w:rsidRPr="00B7238F">
        <w:t xml:space="preserve"> do patógeno no estado de Santa Catarina; 3) quantificar o efeito de diferentes programas de aplicação de fungicidas na  evolução da mutação I86F; 4) verificar o efeito de da utilização de cultivares com resistência genética na frequência da mutação I86F.</w:t>
      </w:r>
    </w:p>
    <w:p w14:paraId="059E6692" w14:textId="7A96D00D" w:rsidR="0043763E" w:rsidRDefault="0043763E" w:rsidP="003C3EFD">
      <w:pPr>
        <w:spacing w:line="360" w:lineRule="auto"/>
      </w:pPr>
    </w:p>
    <w:p w14:paraId="06B87691" w14:textId="77777777" w:rsidR="00E8652E" w:rsidRPr="00B7238F" w:rsidRDefault="00E8652E" w:rsidP="003C3EFD">
      <w:pPr>
        <w:spacing w:line="360" w:lineRule="auto"/>
      </w:pPr>
    </w:p>
    <w:p w14:paraId="0AA5728A" w14:textId="0827BEA6" w:rsidR="0043763E" w:rsidRPr="00B7238F" w:rsidRDefault="0043763E" w:rsidP="003C3EFD">
      <w:pPr>
        <w:spacing w:line="360" w:lineRule="auto"/>
      </w:pPr>
    </w:p>
    <w:p w14:paraId="77C9A7B7" w14:textId="0E340747" w:rsidR="0043763E" w:rsidRPr="00B7238F" w:rsidRDefault="0043763E" w:rsidP="003C3EFD">
      <w:pPr>
        <w:spacing w:line="360" w:lineRule="auto"/>
      </w:pPr>
    </w:p>
    <w:p w14:paraId="7D07E291" w14:textId="328BC239" w:rsidR="0043763E" w:rsidRPr="00B7238F" w:rsidRDefault="0043763E" w:rsidP="003C3EFD">
      <w:pPr>
        <w:spacing w:line="360" w:lineRule="auto"/>
      </w:pPr>
    </w:p>
    <w:p w14:paraId="36A6CDC3" w14:textId="7E0FCA97" w:rsidR="0043763E" w:rsidRDefault="0043763E" w:rsidP="003C3EFD">
      <w:pPr>
        <w:spacing w:line="360" w:lineRule="auto"/>
      </w:pPr>
    </w:p>
    <w:p w14:paraId="3EDC065B" w14:textId="19ECA282" w:rsidR="00F77C58" w:rsidRDefault="00F77C58" w:rsidP="003C3EFD">
      <w:pPr>
        <w:spacing w:line="360" w:lineRule="auto"/>
      </w:pPr>
    </w:p>
    <w:p w14:paraId="262319B7" w14:textId="2B9E35B5" w:rsidR="00F77C58" w:rsidRDefault="00F77C58" w:rsidP="003C3EFD">
      <w:pPr>
        <w:spacing w:line="360" w:lineRule="auto"/>
      </w:pPr>
    </w:p>
    <w:p w14:paraId="6F7F2B61" w14:textId="7CB02524" w:rsidR="00F77C58" w:rsidRDefault="00F77C58" w:rsidP="003C3EFD">
      <w:pPr>
        <w:spacing w:line="360" w:lineRule="auto"/>
      </w:pPr>
    </w:p>
    <w:p w14:paraId="0C8DCE7E" w14:textId="77777777" w:rsidR="00F77C58" w:rsidRPr="00B7238F" w:rsidRDefault="00F77C58" w:rsidP="003C3EFD">
      <w:pPr>
        <w:spacing w:line="360" w:lineRule="auto"/>
      </w:pPr>
    </w:p>
    <w:p w14:paraId="39FDFD4A" w14:textId="6DA94541" w:rsidR="0043763E" w:rsidRDefault="0043763E" w:rsidP="003C3EFD">
      <w:pPr>
        <w:spacing w:line="360" w:lineRule="auto"/>
      </w:pPr>
    </w:p>
    <w:p w14:paraId="529E431C" w14:textId="3014755B" w:rsidR="00AA0AD2" w:rsidRDefault="00AA0AD2" w:rsidP="003C3EFD">
      <w:pPr>
        <w:spacing w:line="360" w:lineRule="auto"/>
        <w:ind w:firstLine="0"/>
      </w:pPr>
    </w:p>
    <w:p w14:paraId="1BE6EA0B" w14:textId="04AD7480" w:rsidR="003C3EFD" w:rsidRDefault="003C3EFD" w:rsidP="003C3EFD">
      <w:pPr>
        <w:autoSpaceDE/>
        <w:autoSpaceDN/>
        <w:adjustRightInd/>
        <w:spacing w:line="360" w:lineRule="auto"/>
        <w:ind w:firstLine="0"/>
        <w:jc w:val="left"/>
      </w:pPr>
      <w:r>
        <w:br w:type="page"/>
      </w:r>
    </w:p>
    <w:p w14:paraId="27325A6D" w14:textId="60B92808" w:rsidR="003E054B" w:rsidRPr="00B7238F" w:rsidRDefault="00AA0AD2" w:rsidP="003C3EFD">
      <w:pPr>
        <w:pStyle w:val="Ttulo1"/>
        <w:spacing w:after="0" w:line="360" w:lineRule="auto"/>
      </w:pPr>
      <w:bookmarkStart w:id="15" w:name="_Toc22568214"/>
      <w:r w:rsidRPr="00B7238F">
        <w:t xml:space="preserve">2 </w:t>
      </w:r>
      <w:r w:rsidR="003E054B" w:rsidRPr="00B7238F">
        <w:t xml:space="preserve">FERRUGEM </w:t>
      </w:r>
      <w:r w:rsidR="003E054B" w:rsidRPr="00E8652E">
        <w:t>ASIÁTICA</w:t>
      </w:r>
      <w:r w:rsidR="003E054B" w:rsidRPr="00B7238F">
        <w:t xml:space="preserve"> DA SOJA (FAS)</w:t>
      </w:r>
      <w:bookmarkEnd w:id="15"/>
    </w:p>
    <w:p w14:paraId="704C094E" w14:textId="77777777" w:rsidR="00F77C58" w:rsidRDefault="00F77C58" w:rsidP="003C3EFD">
      <w:pPr>
        <w:spacing w:after="0" w:line="360" w:lineRule="auto"/>
        <w:ind w:firstLine="0"/>
      </w:pPr>
    </w:p>
    <w:p w14:paraId="0410DA65" w14:textId="77777777" w:rsidR="00F77C58" w:rsidRDefault="003E054B" w:rsidP="003C3EFD">
      <w:pPr>
        <w:spacing w:after="0" w:line="360" w:lineRule="auto"/>
        <w:ind w:firstLine="708"/>
      </w:pPr>
      <w:r w:rsidRPr="00B7238F">
        <w:t xml:space="preserve">A ferrugem asiática, causada pelo fungo </w:t>
      </w:r>
      <w:r w:rsidRPr="00B7238F">
        <w:rPr>
          <w:i/>
          <w:iCs/>
        </w:rPr>
        <w:t>Phakopsora pachyrhizi</w:t>
      </w:r>
      <w:r w:rsidRPr="00B7238F">
        <w:rPr>
          <w:iCs/>
        </w:rPr>
        <w:t xml:space="preserve"> Sydow &amp; Sydow</w:t>
      </w:r>
      <w:r w:rsidRPr="00B7238F">
        <w:t>, foi descrita pela primeira vez no Japão,</w:t>
      </w:r>
      <w:r w:rsidRPr="00B7238F">
        <w:rPr>
          <w:i/>
          <w:iCs/>
        </w:rPr>
        <w:t xml:space="preserve"> </w:t>
      </w:r>
      <w:r w:rsidRPr="00B7238F">
        <w:t>em 1902 (</w:t>
      </w:r>
      <w:bookmarkStart w:id="16" w:name="_Hlk11837853"/>
      <w:r w:rsidRPr="00B7238F">
        <w:t>HENNINGS, 1903</w:t>
      </w:r>
      <w:bookmarkEnd w:id="16"/>
      <w:r w:rsidRPr="00B7238F">
        <w:t>).  No início do século XX foi detectada em toda a Ásia e Oceania (</w:t>
      </w:r>
      <w:bookmarkStart w:id="17" w:name="_Hlk11837870"/>
      <w:r w:rsidRPr="00B7238F">
        <w:t>BROMFIELD, 1984</w:t>
      </w:r>
      <w:bookmarkEnd w:id="17"/>
      <w:r w:rsidRPr="00B7238F">
        <w:t>), e em meados da década de 1990 foi relatada pela primeira vez no continente africano (</w:t>
      </w:r>
      <w:bookmarkStart w:id="18" w:name="_Hlk11837887"/>
      <w:r w:rsidRPr="00B7238F">
        <w:t>PRETORIUS et al., 2001</w:t>
      </w:r>
      <w:bookmarkEnd w:id="18"/>
      <w:r w:rsidRPr="00B7238F">
        <w:t>). Na América do Sul foi relatada pela primeira vez no ano de 2001 no Paraguai e Brasil (</w:t>
      </w:r>
      <w:bookmarkStart w:id="19" w:name="_Hlk11837901"/>
      <w:r w:rsidRPr="00B7238F">
        <w:t>YORINORY &amp; MOREL, 2002</w:t>
      </w:r>
      <w:bookmarkEnd w:id="19"/>
      <w:r w:rsidRPr="00B7238F">
        <w:t>), e posteriormente em 2002 na Argentina (</w:t>
      </w:r>
      <w:bookmarkStart w:id="20" w:name="_Hlk11837921"/>
      <w:r w:rsidRPr="00B7238F">
        <w:t>ROSSI, 2003</w:t>
      </w:r>
      <w:bookmarkEnd w:id="20"/>
      <w:r w:rsidRPr="00B7238F">
        <w:t>). Nos Estados Unidos, foi relatada pela primeira vez no Havaí em 1994 (</w:t>
      </w:r>
      <w:bookmarkStart w:id="21" w:name="_Hlk11837947"/>
      <w:r w:rsidRPr="00B7238F">
        <w:t>KILGORE, HEU &amp; GARDNER, 1994</w:t>
      </w:r>
      <w:bookmarkEnd w:id="21"/>
      <w:r w:rsidRPr="00B7238F">
        <w:t>), e posteriormente no continente do país em 2004 (</w:t>
      </w:r>
      <w:bookmarkStart w:id="22" w:name="_Hlk11837965"/>
      <w:r w:rsidRPr="00B7238F">
        <w:t>SCHNEIDER et al., 2005</w:t>
      </w:r>
      <w:bookmarkEnd w:id="22"/>
      <w:r w:rsidRPr="00B7238F">
        <w:t>).</w:t>
      </w:r>
    </w:p>
    <w:p w14:paraId="65F5ACB3" w14:textId="77777777" w:rsidR="00F77C58" w:rsidRDefault="003E054B" w:rsidP="003C3EFD">
      <w:pPr>
        <w:spacing w:after="0" w:line="360" w:lineRule="auto"/>
        <w:ind w:firstLine="708"/>
      </w:pPr>
      <w:r w:rsidRPr="00B7238F">
        <w:t>A FAS ocorre em todas as principais regiões produtores de soja no Brasil (</w:t>
      </w:r>
      <w:bookmarkStart w:id="23" w:name="_Hlk11838000"/>
      <w:r w:rsidRPr="00B7238F">
        <w:t>DALLA LANA et al., 2015</w:t>
      </w:r>
      <w:bookmarkEnd w:id="23"/>
      <w:r w:rsidRPr="00B7238F">
        <w:t>), sendo considerada a principal doença foliar da cultura, em virtude da frequência de ocorrência e da severidade (GODOY et al., 2016). Epidemias de FAS podem causar rápido amarelecimento e desfolha precoce, prejudicando a formação de vagens e grãos, e consequentemente reduzindo o rendimento de grãos de soja (</w:t>
      </w:r>
      <w:bookmarkStart w:id="24" w:name="_Hlk11838025"/>
      <w:r w:rsidRPr="00B7238F">
        <w:t>YANG et al., 1991; KUMUDINI et al., 2008</w:t>
      </w:r>
      <w:bookmarkEnd w:id="24"/>
      <w:r w:rsidRPr="00B7238F">
        <w:t>).</w:t>
      </w:r>
      <w:bookmarkStart w:id="25" w:name="OLE_LINK5"/>
      <w:bookmarkEnd w:id="25"/>
    </w:p>
    <w:p w14:paraId="1F418FD7" w14:textId="77777777" w:rsidR="00F77C58" w:rsidRDefault="00F77C58" w:rsidP="003C3EFD">
      <w:pPr>
        <w:spacing w:after="0" w:line="360" w:lineRule="auto"/>
        <w:ind w:firstLine="708"/>
      </w:pPr>
    </w:p>
    <w:p w14:paraId="78E40996" w14:textId="1CEF3143" w:rsidR="000802C6" w:rsidRDefault="00AA0AD2" w:rsidP="003C3EFD">
      <w:pPr>
        <w:pStyle w:val="Ttulo2"/>
        <w:spacing w:before="0" w:after="0" w:line="360" w:lineRule="auto"/>
      </w:pPr>
      <w:bookmarkStart w:id="26" w:name="_Toc22568215"/>
      <w:r w:rsidRPr="00B7238F">
        <w:t xml:space="preserve">2.1 </w:t>
      </w:r>
      <w:r w:rsidR="008C3102" w:rsidRPr="00B7238F">
        <w:t>TAXONOMIA E ETIOLOGIA DO AGENTE CAUSAL</w:t>
      </w:r>
      <w:bookmarkEnd w:id="26"/>
    </w:p>
    <w:p w14:paraId="7D5BBD43" w14:textId="77777777" w:rsidR="005F7854" w:rsidRPr="00C670BA" w:rsidRDefault="005F7854" w:rsidP="003C3EFD">
      <w:pPr>
        <w:spacing w:after="0" w:line="360" w:lineRule="auto"/>
      </w:pPr>
    </w:p>
    <w:p w14:paraId="4CCC7739" w14:textId="77777777" w:rsidR="00F77C58" w:rsidRDefault="000802C6" w:rsidP="003C3EFD">
      <w:pPr>
        <w:spacing w:after="0" w:line="360" w:lineRule="auto"/>
      </w:pPr>
      <w:r w:rsidRPr="00B7238F">
        <w:t xml:space="preserve">O fungo agente causal da FAS pertence à classe Basidiomicetes, ordem Uredinales, Família Phakopsoraceae, gênero </w:t>
      </w:r>
      <w:r w:rsidRPr="00B7238F">
        <w:rPr>
          <w:i/>
          <w:iCs/>
        </w:rPr>
        <w:t xml:space="preserve">Phakopsora </w:t>
      </w:r>
      <w:r w:rsidRPr="00B7238F">
        <w:t xml:space="preserve">e espécie </w:t>
      </w:r>
      <w:r w:rsidRPr="00B7238F">
        <w:rPr>
          <w:i/>
          <w:iCs/>
        </w:rPr>
        <w:t>pachyrhizi</w:t>
      </w:r>
      <w:r w:rsidRPr="00B7238F">
        <w:t xml:space="preserve">. Alguns sinônimos para </w:t>
      </w:r>
      <w:r w:rsidRPr="00B7238F">
        <w:rPr>
          <w:i/>
          <w:iCs/>
        </w:rPr>
        <w:t xml:space="preserve">P. pachyrhizi </w:t>
      </w:r>
      <w:r w:rsidRPr="00B7238F">
        <w:t xml:space="preserve">são: </w:t>
      </w:r>
      <w:r w:rsidRPr="00B7238F">
        <w:rPr>
          <w:i/>
          <w:iCs/>
        </w:rPr>
        <w:t>Malupa sojae</w:t>
      </w:r>
      <w:r w:rsidRPr="00B7238F">
        <w:t xml:space="preserve">, </w:t>
      </w:r>
      <w:r w:rsidRPr="00B7238F">
        <w:rPr>
          <w:i/>
          <w:iCs/>
        </w:rPr>
        <w:t>Malupa vignae, Phakopsora sojae, Phakopsora vignae, Physopella</w:t>
      </w:r>
      <w:r w:rsidRPr="00B7238F">
        <w:t xml:space="preserve"> </w:t>
      </w:r>
      <w:r w:rsidRPr="00B7238F">
        <w:rPr>
          <w:i/>
          <w:iCs/>
        </w:rPr>
        <w:t xml:space="preserve">pachyrhizi, Uredo sojae, Uredo vignae </w:t>
      </w:r>
      <w:r w:rsidRPr="00B7238F">
        <w:t xml:space="preserve">e </w:t>
      </w:r>
      <w:r w:rsidRPr="00B7238F">
        <w:rPr>
          <w:i/>
          <w:iCs/>
        </w:rPr>
        <w:t xml:space="preserve">Uromyces sojae </w:t>
      </w:r>
      <w:r w:rsidRPr="00B7238F">
        <w:t>(</w:t>
      </w:r>
      <w:bookmarkStart w:id="27" w:name="_Hlk11838060"/>
      <w:r w:rsidRPr="00B7238F">
        <w:t>SINCLAIR &amp; HARTMAN, 1999</w:t>
      </w:r>
      <w:bookmarkEnd w:id="27"/>
      <w:r w:rsidRPr="00B7238F">
        <w:t>).</w:t>
      </w:r>
    </w:p>
    <w:p w14:paraId="7AD1E8F8" w14:textId="77777777" w:rsidR="00F77C58" w:rsidRDefault="000802C6" w:rsidP="003C3EFD">
      <w:pPr>
        <w:spacing w:after="0" w:line="360" w:lineRule="auto"/>
      </w:pPr>
      <w:r w:rsidRPr="00B7238F">
        <w:t>Os fungos pertencentes ao grupo das ferrugens podem produzir cinco diferentes estádios em seu ciclo de vida: estádio 0 (espermogônios produtores de espermácias e hifas receptivas), estádio I (aécia produzindo aeciosporos), estádio II (urédia produzindo uredosporos), estádio III (télia produzindo teliósporos) e estádio IV (basídias produzindo basidiósporos (</w:t>
      </w:r>
      <w:bookmarkStart w:id="28" w:name="_Hlk11838081"/>
      <w:r w:rsidRPr="00B7238F">
        <w:t>ALEXOPOULOS et al.,1996</w:t>
      </w:r>
      <w:bookmarkEnd w:id="28"/>
      <w:r w:rsidRPr="00B7238F">
        <w:t>).</w:t>
      </w:r>
    </w:p>
    <w:p w14:paraId="37F68010" w14:textId="5ACCB894" w:rsidR="000802C6" w:rsidRPr="00B7238F" w:rsidRDefault="000802C6" w:rsidP="003C3EFD">
      <w:pPr>
        <w:spacing w:after="0" w:line="360" w:lineRule="auto"/>
      </w:pPr>
      <w:r w:rsidRPr="00B7238F">
        <w:rPr>
          <w:iCs/>
        </w:rPr>
        <w:t xml:space="preserve">O fungo </w:t>
      </w:r>
      <w:r w:rsidRPr="00B7238F">
        <w:rPr>
          <w:i/>
          <w:iCs/>
        </w:rPr>
        <w:t xml:space="preserve">P. pachyrhizi </w:t>
      </w:r>
      <w:r w:rsidRPr="00B7238F">
        <w:t>é descrito em seus estádios de urédia e télia, não sendo relatado nos demais estádios. Também não está totalmente esclarecido a função da fase de télia (</w:t>
      </w:r>
      <w:bookmarkStart w:id="29" w:name="_Hlk11838104"/>
      <w:r w:rsidRPr="0005468C">
        <w:t>MARCHETTI et al., 1975; YEH et al., 1981</w:t>
      </w:r>
      <w:bookmarkEnd w:id="29"/>
      <w:r w:rsidRPr="0005468C">
        <w:t xml:space="preserve">). A fase teleomórfica de </w:t>
      </w:r>
      <w:r w:rsidRPr="004B0A23">
        <w:rPr>
          <w:i/>
        </w:rPr>
        <w:t xml:space="preserve">P. pachyrhizi </w:t>
      </w:r>
      <w:r w:rsidRPr="0005468C">
        <w:t>apresenta teliósporos irregularmente distribuídos em camadas de 2 a 7 espóros; as paredes dos teliósporos variam do amarelo ao pardo-claro, tendo espessura de 1 μm até 3 μm nos esporos mais externos da camada. Na fase anamórfica, os uredosporos medem 15-24 x 18-34 μm, são ovóides com paredes de 1,0 μm de espessura e densamente equinulados, hialinos, amarelos ou marrom claros (</w:t>
      </w:r>
      <w:bookmarkStart w:id="30" w:name="_Hlk11838136"/>
      <w:r w:rsidRPr="0005468C">
        <w:t>HENNEN &amp; REID, 2002; HARTMAN et al., 1999</w:t>
      </w:r>
      <w:bookmarkEnd w:id="30"/>
      <w:r w:rsidRPr="0005468C">
        <w:t>).</w:t>
      </w:r>
      <w:r w:rsidRPr="00B7238F">
        <w:t xml:space="preserve"> </w:t>
      </w:r>
    </w:p>
    <w:p w14:paraId="232C4807" w14:textId="77777777" w:rsidR="0005468C" w:rsidRDefault="0005468C" w:rsidP="003C3EFD">
      <w:pPr>
        <w:spacing w:after="0" w:line="360" w:lineRule="auto"/>
      </w:pPr>
      <w:bookmarkStart w:id="31" w:name="_Toc516580483"/>
      <w:bookmarkStart w:id="32" w:name="_Toc517105658"/>
    </w:p>
    <w:p w14:paraId="5E076652" w14:textId="35FCB1D2" w:rsidR="00F16ED7" w:rsidRDefault="00F16ED7" w:rsidP="003C3EFD">
      <w:pPr>
        <w:pStyle w:val="Ttulo2"/>
        <w:spacing w:before="0" w:after="0" w:line="360" w:lineRule="auto"/>
      </w:pPr>
      <w:bookmarkStart w:id="33" w:name="_Toc22568216"/>
      <w:r>
        <w:t xml:space="preserve">2.2 </w:t>
      </w:r>
      <w:r w:rsidR="008C3102" w:rsidRPr="00B7238F">
        <w:t>EPIDEMIOLOGIA</w:t>
      </w:r>
      <w:bookmarkEnd w:id="33"/>
    </w:p>
    <w:p w14:paraId="3A3E9876" w14:textId="77777777" w:rsidR="00C32978" w:rsidRPr="00C32978" w:rsidRDefault="00C32978" w:rsidP="003C3EFD">
      <w:pPr>
        <w:spacing w:after="0" w:line="360" w:lineRule="auto"/>
      </w:pPr>
    </w:p>
    <w:p w14:paraId="1EEA32D5" w14:textId="4E8FB4EF" w:rsidR="00BC4ADC" w:rsidRPr="00B7238F" w:rsidRDefault="00C32978" w:rsidP="003C3EFD">
      <w:pPr>
        <w:pStyle w:val="Ttulo3"/>
        <w:spacing w:before="0" w:after="0" w:line="360" w:lineRule="auto"/>
      </w:pPr>
      <w:bookmarkStart w:id="34" w:name="_Toc22568217"/>
      <w:r w:rsidRPr="00C32978">
        <w:t>2.2.1</w:t>
      </w:r>
      <w:r>
        <w:t xml:space="preserve"> </w:t>
      </w:r>
      <w:r w:rsidRPr="00C32978">
        <w:t>Sobrevivência</w:t>
      </w:r>
      <w:bookmarkEnd w:id="34"/>
      <w:r>
        <w:t xml:space="preserve"> </w:t>
      </w:r>
    </w:p>
    <w:p w14:paraId="3104BE0C" w14:textId="77777777" w:rsidR="00C32978" w:rsidRDefault="00C32978" w:rsidP="003C3EFD">
      <w:pPr>
        <w:spacing w:after="0" w:line="360" w:lineRule="auto"/>
      </w:pPr>
    </w:p>
    <w:p w14:paraId="6572C702" w14:textId="77777777" w:rsidR="00F77C58" w:rsidRDefault="00BC4ADC" w:rsidP="003C3EFD">
      <w:pPr>
        <w:spacing w:after="0" w:line="360" w:lineRule="auto"/>
      </w:pPr>
      <w:r w:rsidRPr="00B7238F">
        <w:t xml:space="preserve">O fungo </w:t>
      </w:r>
      <w:r w:rsidRPr="00B7238F">
        <w:rPr>
          <w:i/>
        </w:rPr>
        <w:t>P. pachyrhizi</w:t>
      </w:r>
      <w:r w:rsidRPr="00B7238F">
        <w:rPr>
          <w:i/>
          <w:iCs/>
        </w:rPr>
        <w:t xml:space="preserve"> </w:t>
      </w:r>
      <w:r w:rsidRPr="00B7238F">
        <w:rPr>
          <w:iCs/>
        </w:rPr>
        <w:t>é um patógeno</w:t>
      </w:r>
      <w:r w:rsidRPr="00B7238F">
        <w:t xml:space="preserve"> biotrófico dependendo nutricionalmente dos tecidos vivos do hospedeiro, para extrair os nutrientes essenciais e realizar suas atividades vitais (</w:t>
      </w:r>
      <w:bookmarkStart w:id="35" w:name="_Hlk11838164"/>
      <w:r w:rsidRPr="00B7238F">
        <w:t>BROMFIELD, 1984</w:t>
      </w:r>
      <w:bookmarkEnd w:id="35"/>
      <w:r w:rsidRPr="00B7238F">
        <w:t>). A fonte de inóculo primária é constituída por plantas de soja infectadas e/ou hospedeiros secundários que abrigam os esporos em seu estágio uredial (</w:t>
      </w:r>
      <w:bookmarkStart w:id="36" w:name="_Hlk11838182"/>
      <w:r w:rsidRPr="00B7238F">
        <w:t>YORINORY et al., 2005; HARMON et al., 2005; DEL PONTE et al., 2008</w:t>
      </w:r>
      <w:bookmarkEnd w:id="36"/>
      <w:r w:rsidRPr="00B7238F">
        <w:t>).</w:t>
      </w:r>
    </w:p>
    <w:p w14:paraId="2A381CF4" w14:textId="4A52CC41" w:rsidR="00BC4ADC" w:rsidRPr="00B7238F" w:rsidRDefault="00BC4ADC" w:rsidP="003C3EFD">
      <w:pPr>
        <w:spacing w:after="0" w:line="360" w:lineRule="auto"/>
      </w:pPr>
      <w:r w:rsidRPr="00B7238F">
        <w:t>Durante a entressafra, as principais formas de sobrevivência do inóculo primário no sul do Brasil, são plantas voluntárias e hospedeiros secundários. Onde não há a ocorrência de geadas e/ou invernos rigorosos, também pode ocorrer a sobrevivência de plantas voluntárias em lavouras de inverno, pastagens e próximo a rodovias, as quais constituem importante fonte de inóculo primário. Na região das Missões e Noroeste do estado do Rio Grande do Sul, Oeste do estado de Santa Catarina e em algumas regiões do Paraguai próximas da fronteira com o Brasil, pode ocorrer o cultivo de soja em segunda safra, a qual é cultivada entre os meses de janeiro a julho. Nessa situação o patógeno sobrevive e se reproduz,</w:t>
      </w:r>
      <w:r w:rsidRPr="00B7238F">
        <w:rPr>
          <w:i/>
        </w:rPr>
        <w:t xml:space="preserve"> </w:t>
      </w:r>
      <w:r w:rsidRPr="00B7238F">
        <w:t>constituindo este cultivo importante fonte de inóculo inicial para as lavouras de soja cultivadas na safra.</w:t>
      </w:r>
    </w:p>
    <w:p w14:paraId="60E3E8F8" w14:textId="5E3C8424" w:rsidR="00160097" w:rsidRPr="00B7238F" w:rsidRDefault="00BC4ADC" w:rsidP="003C3EFD">
      <w:pPr>
        <w:spacing w:after="0" w:line="360" w:lineRule="auto"/>
      </w:pPr>
      <w:r w:rsidRPr="00B7238F">
        <w:t>Em condições de laboratório, na ausência de hospedeiros, os uredosporos do patógeno se mantem viáveis por um período de aproximadamente 50 dias (</w:t>
      </w:r>
      <w:bookmarkStart w:id="37" w:name="_Hlk11838221"/>
      <w:r w:rsidRPr="00B7238F">
        <w:t>CALDWELL &amp; LAING, 2001</w:t>
      </w:r>
      <w:bookmarkEnd w:id="37"/>
      <w:r w:rsidRPr="00B7238F">
        <w:t>). Contudo, quando associados a sementes de soja os uredosporos apresentaram viabilidade entre 2 e 4%, aos 90 dias após o armazenamento das sementes (</w:t>
      </w:r>
      <w:bookmarkStart w:id="38" w:name="_Hlk11838241"/>
      <w:r w:rsidRPr="00B7238F">
        <w:t>MAGNANI et al., 2012</w:t>
      </w:r>
      <w:bookmarkEnd w:id="38"/>
      <w:r w:rsidRPr="00B7238F">
        <w:t>). A realização de um período sem cultivo de soja durante 90 dias (vazio sanitário), proporciona a redução da densidade de inóculo no início da próxima estação de cultivo, diminuindo assim o risco da ocorrência de epidemias de FAS em estádios iniciais da cultura. Nessa situação ocorre menor número de ciclos da doença, há redução da severidade, menor desfolha e dano da doença.</w:t>
      </w:r>
    </w:p>
    <w:p w14:paraId="3A7CE11B" w14:textId="15B9E59B" w:rsidR="00C72042" w:rsidRDefault="00C72042" w:rsidP="003C3EFD">
      <w:pPr>
        <w:spacing w:after="0" w:line="360" w:lineRule="auto"/>
      </w:pPr>
    </w:p>
    <w:p w14:paraId="17AA3245" w14:textId="77777777" w:rsidR="005F7854" w:rsidRPr="00B7238F" w:rsidRDefault="005F7854" w:rsidP="003C3EFD">
      <w:pPr>
        <w:spacing w:after="0" w:line="360" w:lineRule="auto"/>
      </w:pPr>
    </w:p>
    <w:p w14:paraId="5C75C60B" w14:textId="52EFB829" w:rsidR="00BC4ADC" w:rsidRPr="00B7238F" w:rsidRDefault="001B266F" w:rsidP="003C3EFD">
      <w:pPr>
        <w:pStyle w:val="Ttulo3"/>
        <w:spacing w:line="360" w:lineRule="auto"/>
      </w:pPr>
      <w:bookmarkStart w:id="39" w:name="_Toc22568218"/>
      <w:r>
        <w:t>2.2.</w:t>
      </w:r>
      <w:r w:rsidR="006436AE">
        <w:t>2</w:t>
      </w:r>
      <w:r>
        <w:t xml:space="preserve"> Disseminação</w:t>
      </w:r>
      <w:bookmarkEnd w:id="39"/>
    </w:p>
    <w:p w14:paraId="7D5972C6" w14:textId="77777777" w:rsidR="00160097" w:rsidRPr="00B7238F" w:rsidRDefault="00160097" w:rsidP="003C3EFD">
      <w:pPr>
        <w:spacing w:after="0" w:line="360" w:lineRule="auto"/>
      </w:pPr>
    </w:p>
    <w:p w14:paraId="1835A780" w14:textId="77777777" w:rsidR="00B97176" w:rsidRDefault="00BC4ADC" w:rsidP="003C3EFD">
      <w:pPr>
        <w:spacing w:after="0" w:line="360" w:lineRule="auto"/>
      </w:pPr>
      <w:r w:rsidRPr="00B7238F">
        <w:t>Os uredosporos produzidos nas folhas de hospedeiros infectados são pequenos e leves, podendo serem removidos das urédias presentes nos folíolos e disseminados a longas distâncias pelo vento, sendo assim depositados em folíolos de soja (</w:t>
      </w:r>
      <w:bookmarkStart w:id="40" w:name="_Hlk11838296"/>
      <w:r w:rsidRPr="00B7238F">
        <w:t>KRUPPA et al., 2006; ZIDEK, 2007</w:t>
      </w:r>
      <w:bookmarkEnd w:id="40"/>
      <w:r w:rsidRPr="00B7238F">
        <w:t>).  Ao ocorrer a deposição dos uredosporos sobre a superfície foliar do hospedeiro, permanecem em repouso até ocorrer condições ambientais favoráveis a germinação e infecção (REIS et al., 2012).</w:t>
      </w:r>
    </w:p>
    <w:p w14:paraId="6A724A10" w14:textId="77777777" w:rsidR="00B97176" w:rsidRDefault="00BC4ADC" w:rsidP="003C3EFD">
      <w:pPr>
        <w:spacing w:after="0" w:line="360" w:lineRule="auto"/>
      </w:pPr>
      <w:r w:rsidRPr="00B7238F">
        <w:t>A porcentagem de esporos que consegue ser removido das urédias presentes nos folíolos de soja e alcançar a corrente de ar para serem disseminados a longa distância, é maior quando o dossel das plantas de soja encontrasse mais aberto (</w:t>
      </w:r>
      <w:bookmarkStart w:id="41" w:name="_Hlk11838324"/>
      <w:r w:rsidRPr="00B7238F">
        <w:t>ZIDEK, 2007</w:t>
      </w:r>
      <w:bookmarkEnd w:id="41"/>
      <w:r w:rsidRPr="00B7238F">
        <w:t>).</w:t>
      </w:r>
    </w:p>
    <w:p w14:paraId="1ECAC3E4" w14:textId="2E137A39" w:rsidR="00BC4ADC" w:rsidRDefault="00BC4ADC" w:rsidP="003C3EFD">
      <w:pPr>
        <w:spacing w:after="0" w:line="360" w:lineRule="auto"/>
      </w:pPr>
      <w:r w:rsidRPr="00B7238F">
        <w:t>Deste modo arranjo e arquitetura de plantas de soja, que proporcionam maior IAF e fechamento de entre-linha mais precoce, podem diminuir o percentual de uredosporos que são disseminados a longa distância.</w:t>
      </w:r>
    </w:p>
    <w:p w14:paraId="43A4E1C8" w14:textId="2776A0E1" w:rsidR="00BC4ADC" w:rsidRPr="00B7238F" w:rsidRDefault="00BC4ADC" w:rsidP="003C3EFD">
      <w:pPr>
        <w:spacing w:after="0" w:line="360" w:lineRule="auto"/>
      </w:pPr>
    </w:p>
    <w:p w14:paraId="0D06AECF" w14:textId="3C72AF8B" w:rsidR="00BC4ADC" w:rsidRPr="00B7238F" w:rsidRDefault="001B266F" w:rsidP="003C3EFD">
      <w:pPr>
        <w:pStyle w:val="Ttulo3"/>
        <w:spacing w:line="360" w:lineRule="auto"/>
      </w:pPr>
      <w:bookmarkStart w:id="42" w:name="_Toc22568219"/>
      <w:r>
        <w:t>2.2.</w:t>
      </w:r>
      <w:r w:rsidR="006436AE">
        <w:t xml:space="preserve">3 </w:t>
      </w:r>
      <w:r w:rsidR="008C3102" w:rsidRPr="00B7238F">
        <w:t>P</w:t>
      </w:r>
      <w:r w:rsidR="006436AE">
        <w:t>rocessos de infecção e fatores do ambiente</w:t>
      </w:r>
      <w:bookmarkEnd w:id="42"/>
    </w:p>
    <w:bookmarkEnd w:id="31"/>
    <w:bookmarkEnd w:id="32"/>
    <w:p w14:paraId="7B897404" w14:textId="4D434D5E" w:rsidR="00BC4ADC" w:rsidRPr="00B7238F" w:rsidRDefault="00BC4ADC" w:rsidP="003C3EFD">
      <w:pPr>
        <w:spacing w:after="0" w:line="360" w:lineRule="auto"/>
      </w:pPr>
    </w:p>
    <w:p w14:paraId="05DC4351" w14:textId="77777777" w:rsidR="00B97176" w:rsidRDefault="00BC4ADC" w:rsidP="003C3EFD">
      <w:pPr>
        <w:spacing w:after="0" w:line="360" w:lineRule="auto"/>
      </w:pPr>
      <w:r w:rsidRPr="00B7238F">
        <w:t>As condições ambientais, principalmente as relacionadas com os fatores meteorológicos, apresentam importância na compreensão da epidemiologia da FAS (</w:t>
      </w:r>
      <w:bookmarkStart w:id="43" w:name="_Hlk11838347"/>
      <w:r w:rsidRPr="00B7238F">
        <w:t>MARCHETTI et al., 1976; BROMFIELD, 1984; TCHANZ et al., 1984; DEL PONTE et al., 2006</w:t>
      </w:r>
      <w:bookmarkEnd w:id="43"/>
      <w:r w:rsidRPr="00B7238F">
        <w:t>).</w:t>
      </w:r>
    </w:p>
    <w:p w14:paraId="7A0F3A6A" w14:textId="77777777" w:rsidR="00B97176" w:rsidRDefault="00BC4ADC" w:rsidP="003C3EFD">
      <w:pPr>
        <w:spacing w:after="0" w:line="360" w:lineRule="auto"/>
      </w:pPr>
      <w:r w:rsidRPr="00B7238F">
        <w:t xml:space="preserve">A germinação de esporos de </w:t>
      </w:r>
      <w:r w:rsidRPr="00B7238F">
        <w:rPr>
          <w:i/>
        </w:rPr>
        <w:t>P. pachyrhizi</w:t>
      </w:r>
      <w:r w:rsidRPr="00B7238F">
        <w:t>, formação do tubo germinativo e do apressório, penetração, colonização e esporulação do fungo são influenciadas por temperatura, molhamento foliar, fotoperíodo, radiação solar e nebulosidade. A germinação de esporos e formação do tubo germinativo são as subfases do processo de infecção do fungo mais influenciadas por estes fatores metereológicos (</w:t>
      </w:r>
      <w:bookmarkStart w:id="44" w:name="_Hlk11838388"/>
      <w:r w:rsidRPr="00B7238F">
        <w:t>MELCHING et al., 1989; ALVES et al., 2007; BONDE et al., 2007; BLUM et al., 2015</w:t>
      </w:r>
      <w:bookmarkEnd w:id="44"/>
      <w:r w:rsidRPr="00B7238F">
        <w:t xml:space="preserve">). </w:t>
      </w:r>
    </w:p>
    <w:p w14:paraId="0C7C3121" w14:textId="77777777" w:rsidR="00B97176" w:rsidRDefault="00BC4ADC" w:rsidP="003C3EFD">
      <w:pPr>
        <w:spacing w:after="0" w:line="360" w:lineRule="auto"/>
      </w:pPr>
      <w:r w:rsidRPr="00B7238F">
        <w:t>A germinação de esporos ocorre entre uma e duas horas após a inoculação, com molhamento foliar contínuo e temperatura entre 15 e 25°C (BONDE et al., 2007). Os tubos germinativos dos uredosporos apresentam comprimento variando entre 5 e 400 μm, e as suas extremidades aumentam de volume formando o apressório (</w:t>
      </w:r>
      <w:bookmarkStart w:id="45" w:name="_Hlk11838414"/>
      <w:r w:rsidRPr="00B7238F">
        <w:t>KOCH et al., 1983</w:t>
      </w:r>
      <w:bookmarkEnd w:id="45"/>
      <w:r w:rsidRPr="00B7238F">
        <w:t>). A formação do apressório ocorre entre quatro e seis horas após a inoculação. A germinação de esporos e a formação de apressórios estão relacionados com o genótipo de soja (</w:t>
      </w:r>
      <w:bookmarkStart w:id="46" w:name="_Hlk11838433"/>
      <w:r w:rsidRPr="00B7238F">
        <w:t>ZAMBENEDETTI et al., 2007; 2007b</w:t>
      </w:r>
      <w:bookmarkEnd w:id="46"/>
      <w:r w:rsidRPr="00B7238F">
        <w:t>).</w:t>
      </w:r>
    </w:p>
    <w:p w14:paraId="684FD8E4" w14:textId="77777777" w:rsidR="00B97176" w:rsidRDefault="00BC4ADC" w:rsidP="003C3EFD">
      <w:pPr>
        <w:spacing w:after="0" w:line="360" w:lineRule="auto"/>
      </w:pPr>
      <w:r w:rsidRPr="00B7238F">
        <w:t>A principal forma de penetração ocorre na junção das células da epiderme; sendo baixa a ocorrência de penetração pelos estômatos e, quando isto ocorre, não há formação de apressórios (ZAMBENEDETTI et al., 2007; 2007b).</w:t>
      </w:r>
    </w:p>
    <w:p w14:paraId="3314F8A1" w14:textId="637A5D08" w:rsidR="00BC4ADC" w:rsidRPr="00B7238F" w:rsidRDefault="00BC4ADC" w:rsidP="003C3EFD">
      <w:pPr>
        <w:spacing w:after="0" w:line="360" w:lineRule="auto"/>
      </w:pPr>
      <w:r w:rsidRPr="00B7238F">
        <w:t>Após a penetração do fungo, ocorre colonização do tecido vegetal através do crescimento miceliano intercelular. A formação de lesões angulares ocorre em virtude do crescimento das hifas ser restrito as nervuras do folíolo. Lesões visíveis podem ser observadas aproximadamente seis dias após a inoculação. A formação de urédias ocorre por uma agregação de hifas, formando o primórdio uredial, sendo visíveis oito a nove dias após a inoculação (</w:t>
      </w:r>
      <w:bookmarkStart w:id="47" w:name="_Hlk11838957"/>
      <w:r w:rsidRPr="00B7238F">
        <w:t>ZAMBENEDETTI, 2005</w:t>
      </w:r>
      <w:bookmarkEnd w:id="47"/>
      <w:r w:rsidRPr="00B7238F">
        <w:t>). Os uredospóros são formados três a quatro dias após a formação das urédias, podendo novas urédias serem formadas até o 28° dia após a inoculação (REIS et al., 2012).</w:t>
      </w:r>
    </w:p>
    <w:p w14:paraId="0FB7A644" w14:textId="77777777" w:rsidR="00B22E2A" w:rsidRPr="00B7238F" w:rsidRDefault="00B22E2A" w:rsidP="003C3EFD">
      <w:pPr>
        <w:spacing w:after="0" w:line="360" w:lineRule="auto"/>
      </w:pPr>
    </w:p>
    <w:p w14:paraId="2BD2CAA7" w14:textId="4CB6F1F3" w:rsidR="008C3102" w:rsidRPr="003019EA" w:rsidRDefault="00D77FEF" w:rsidP="003C3EFD">
      <w:pPr>
        <w:pStyle w:val="Ttulo4"/>
        <w:spacing w:before="0" w:after="0" w:line="360" w:lineRule="auto"/>
        <w:rPr>
          <w:b/>
        </w:rPr>
      </w:pPr>
      <w:bookmarkStart w:id="48" w:name="_Toc22568220"/>
      <w:r w:rsidRPr="003019EA">
        <w:rPr>
          <w:b/>
        </w:rPr>
        <w:t>2.2.</w:t>
      </w:r>
      <w:r w:rsidR="003019EA">
        <w:rPr>
          <w:b/>
        </w:rPr>
        <w:t>3.</w:t>
      </w:r>
      <w:r w:rsidR="008F7EE4">
        <w:rPr>
          <w:b/>
        </w:rPr>
        <w:t>1</w:t>
      </w:r>
      <w:r w:rsidRPr="003019EA">
        <w:rPr>
          <w:b/>
        </w:rPr>
        <w:t xml:space="preserve"> </w:t>
      </w:r>
      <w:r w:rsidR="008C3102" w:rsidRPr="008F7EE4">
        <w:t>T</w:t>
      </w:r>
      <w:r w:rsidRPr="008F7EE4">
        <w:t>emperatura</w:t>
      </w:r>
      <w:bookmarkEnd w:id="48"/>
      <w:r w:rsidRPr="003019EA">
        <w:rPr>
          <w:b/>
        </w:rPr>
        <w:t xml:space="preserve"> </w:t>
      </w:r>
    </w:p>
    <w:p w14:paraId="7842650E" w14:textId="77777777" w:rsidR="00D77FEF" w:rsidRPr="00D77FEF" w:rsidRDefault="00D77FEF" w:rsidP="003C3EFD">
      <w:pPr>
        <w:spacing w:after="0" w:line="360" w:lineRule="auto"/>
      </w:pPr>
    </w:p>
    <w:p w14:paraId="1DA42CFE" w14:textId="77777777" w:rsidR="00CA6CFD" w:rsidRPr="00B7238F" w:rsidRDefault="00CA6CFD" w:rsidP="003C3EFD">
      <w:pPr>
        <w:spacing w:after="0" w:line="360" w:lineRule="auto"/>
      </w:pPr>
      <w:r w:rsidRPr="00B7238F">
        <w:t>A temperatura ideal para germinação de uredosporos apresenta variação, sendo relatadas de 15 a 25°C (</w:t>
      </w:r>
      <w:bookmarkStart w:id="49" w:name="_Hlk11838986"/>
      <w:r w:rsidRPr="00B7238F">
        <w:t>MARCHETTI et al., 1976</w:t>
      </w:r>
      <w:bookmarkEnd w:id="49"/>
      <w:r w:rsidRPr="00B7238F">
        <w:t>), 18 a 26 °C (</w:t>
      </w:r>
      <w:bookmarkStart w:id="50" w:name="_Hlk11839003"/>
      <w:r w:rsidRPr="00B7238F">
        <w:t>GODOY &amp; FLAUSINO, 2004</w:t>
      </w:r>
      <w:bookmarkEnd w:id="50"/>
      <w:r w:rsidRPr="00B7238F">
        <w:t>), 21,8 a 23,4 °C (</w:t>
      </w:r>
      <w:bookmarkStart w:id="51" w:name="_Hlk11839020"/>
      <w:r w:rsidRPr="00B7238F">
        <w:t>BONDE et al., 2007</w:t>
      </w:r>
      <w:bookmarkEnd w:id="51"/>
      <w:r w:rsidRPr="00B7238F">
        <w:t>) e 21,8 e 22,3°C (</w:t>
      </w:r>
      <w:bookmarkStart w:id="52" w:name="_Hlk11839040"/>
      <w:r w:rsidRPr="00B7238F">
        <w:t>BLUM et al., 2015</w:t>
      </w:r>
      <w:bookmarkEnd w:id="52"/>
      <w:r w:rsidRPr="00B7238F">
        <w:t>). Para o crescimento do tubo germinativo há informação de temperatura ideal de 21 a 24,4°C (</w:t>
      </w:r>
      <w:bookmarkStart w:id="53" w:name="_Hlk11839058"/>
      <w:r w:rsidRPr="00B7238F">
        <w:t>BONDE et al., 2007</w:t>
      </w:r>
      <w:bookmarkEnd w:id="53"/>
      <w:r w:rsidRPr="00B7238F">
        <w:t>) e de 21,4 e 22,1 °C (</w:t>
      </w:r>
      <w:bookmarkStart w:id="54" w:name="_Hlk11839079"/>
      <w:r w:rsidRPr="00B7238F">
        <w:t>BLUM et al., 2015</w:t>
      </w:r>
      <w:bookmarkEnd w:id="54"/>
      <w:r w:rsidRPr="00B7238F">
        <w:t>). Maiores intensidades da FAS ocorrem com temperaturas de 20 °C (</w:t>
      </w:r>
      <w:bookmarkStart w:id="55" w:name="_Hlk11839101"/>
      <w:r w:rsidRPr="00B7238F">
        <w:t>VALE et al., 1990; ALVES et al., 2007</w:t>
      </w:r>
      <w:bookmarkEnd w:id="55"/>
      <w:r w:rsidRPr="00B7238F">
        <w:t>) e 18 a 26 °C (</w:t>
      </w:r>
      <w:bookmarkStart w:id="56" w:name="_Hlk11839125"/>
      <w:r w:rsidRPr="00B7238F">
        <w:t>CASEY et al., 1990</w:t>
      </w:r>
      <w:bookmarkEnd w:id="56"/>
      <w:r w:rsidRPr="00B7238F">
        <w:t xml:space="preserve">). </w:t>
      </w:r>
    </w:p>
    <w:p w14:paraId="5D3B0781" w14:textId="36BFB0FB" w:rsidR="00C72042" w:rsidRDefault="00CA6CFD" w:rsidP="003C3EFD">
      <w:pPr>
        <w:spacing w:after="0" w:line="360" w:lineRule="auto"/>
      </w:pPr>
      <w:r w:rsidRPr="00B7238F">
        <w:t>Temperaturas extremas podem afetar a germinação de uredosporos, crescimento do tubo germinativo e a ocorrência da doença. A temperatura mínima que permite a formação de lesões em folíolos é 9 °C (</w:t>
      </w:r>
      <w:bookmarkStart w:id="57" w:name="_Hlk11839339"/>
      <w:r w:rsidRPr="00B7238F">
        <w:t>MELCHING et al., 1989</w:t>
      </w:r>
      <w:bookmarkEnd w:id="57"/>
      <w:r w:rsidRPr="00B7238F">
        <w:t xml:space="preserve">). Entretanto, </w:t>
      </w:r>
      <w:bookmarkStart w:id="58" w:name="_Hlk11839353"/>
      <w:r w:rsidRPr="00B7238F">
        <w:t xml:space="preserve">Casey (1990) </w:t>
      </w:r>
      <w:bookmarkEnd w:id="58"/>
      <w:r w:rsidRPr="00B7238F">
        <w:t xml:space="preserve">observou a não formação de lesões em temperaturas abaixo de 15°C, resultados que diferem dos obtidos por </w:t>
      </w:r>
      <w:bookmarkStart w:id="59" w:name="_Hlk11839375"/>
      <w:r w:rsidRPr="00B7238F">
        <w:t>Alves e colaboradores (2007)</w:t>
      </w:r>
      <w:bookmarkEnd w:id="59"/>
      <w:r w:rsidRPr="00B7238F">
        <w:t xml:space="preserve"> os quais observaram que sob temperaturas inferiores a 15°C houve redução na intensidade da </w:t>
      </w:r>
      <w:r w:rsidR="00613D9E" w:rsidRPr="00B7238F">
        <w:t>doença,</w:t>
      </w:r>
      <w:r w:rsidRPr="00B7238F">
        <w:t xml:space="preserve"> mas ainda assim ocorreu a formação de lesões. Da mesma forma, Blum et al. (2015) relataram redução da germinação de esporos e comprimento do tubo germinativo a 10°C, porém esta temperatura não foi capaz de inibir totalmente a germinação de esporos e crescimento do tubo germinativo. A germinação não foi observada a 27,5°C (</w:t>
      </w:r>
      <w:bookmarkStart w:id="60" w:name="_Hlk11839406"/>
      <w:r w:rsidRPr="00B7238F">
        <w:t>MARCHETTI et al., 1976</w:t>
      </w:r>
      <w:bookmarkEnd w:id="60"/>
      <w:r w:rsidRPr="00B7238F">
        <w:t>) e 30°C (</w:t>
      </w:r>
      <w:bookmarkStart w:id="61" w:name="_Hlk11839428"/>
      <w:r w:rsidRPr="00B7238F">
        <w:t>BONDE et al, 2007</w:t>
      </w:r>
      <w:bookmarkEnd w:id="61"/>
      <w:r w:rsidRPr="00B7238F">
        <w:t xml:space="preserve">), entretanto, Blum et al. (2015) relataram haver germinação de esporos e formação do tubo germinativo a 35°C. Segundo </w:t>
      </w:r>
      <w:bookmarkStart w:id="62" w:name="_Hlk11839443"/>
      <w:r w:rsidRPr="00B7238F">
        <w:t xml:space="preserve">Bonde et al. (2007) </w:t>
      </w:r>
      <w:bookmarkEnd w:id="62"/>
      <w:r w:rsidRPr="00B7238F">
        <w:t>não há diferença entre isolados na temperatura ótima para germinação de esporos e formação do tubo germinativo.</w:t>
      </w:r>
    </w:p>
    <w:p w14:paraId="3CD0F0BB" w14:textId="77777777" w:rsidR="00C72042" w:rsidRDefault="00CA6CFD" w:rsidP="003C3EFD">
      <w:pPr>
        <w:spacing w:after="0" w:line="360" w:lineRule="auto"/>
      </w:pPr>
      <w:r w:rsidRPr="00B7238F">
        <w:t xml:space="preserve">De acordo com </w:t>
      </w:r>
      <w:bookmarkStart w:id="63" w:name="_Hlk11839467"/>
      <w:r w:rsidRPr="00B7238F">
        <w:t xml:space="preserve">Melching et al. (1989) </w:t>
      </w:r>
      <w:bookmarkEnd w:id="63"/>
      <w:r w:rsidRPr="00B7238F">
        <w:t xml:space="preserve">nenhuma lesão foliar é formada quando a temperatura está acima de 28,5°C. Resultados semelhantes foram encontrados por </w:t>
      </w:r>
      <w:bookmarkStart w:id="64" w:name="_Hlk11839488"/>
      <w:r w:rsidRPr="00B7238F">
        <w:t xml:space="preserve">Casey (1990) </w:t>
      </w:r>
      <w:bookmarkEnd w:id="64"/>
      <w:r w:rsidRPr="00B7238F">
        <w:t xml:space="preserve">não havendo a formação de lesões a 30°C. Entretanto, Alves et al. (2007) observaram a formação de lesões a 30°C. As diferenças encontradas podem ter ocorrido pela variação no genótipo e interação entre temperatura e molhamento foliar (ALVES et al., 2007). </w:t>
      </w:r>
    </w:p>
    <w:p w14:paraId="5E54C937" w14:textId="77777777" w:rsidR="00C72042" w:rsidRDefault="00CA6CFD" w:rsidP="003C3EFD">
      <w:pPr>
        <w:spacing w:after="0" w:line="360" w:lineRule="auto"/>
        <w:rPr>
          <w:lang w:val="pt-PT"/>
        </w:rPr>
      </w:pPr>
      <w:r w:rsidRPr="00B7238F">
        <w:t>Temperaturas de 29, 33 e 37</w:t>
      </w:r>
      <w:r w:rsidRPr="00B7238F">
        <w:rPr>
          <w:lang w:val="pt-PT"/>
        </w:rPr>
        <w:t>°</w:t>
      </w:r>
      <w:r w:rsidRPr="00B7238F">
        <w:t>C por uma hora durante o dia diminuíram a esporulação em 36, 19 e 0%, respectivamente, quando comparadas com temperaturas de 21 e 25</w:t>
      </w:r>
      <w:r w:rsidRPr="00B7238F">
        <w:rPr>
          <w:lang w:val="pt-PT"/>
        </w:rPr>
        <w:t xml:space="preserve"> ° C (</w:t>
      </w:r>
      <w:bookmarkStart w:id="65" w:name="_Hlk11839503"/>
      <w:r w:rsidRPr="00B7238F">
        <w:rPr>
          <w:lang w:val="pt-PT"/>
        </w:rPr>
        <w:t>BONDE et al., 2012</w:t>
      </w:r>
      <w:bookmarkEnd w:id="65"/>
      <w:r w:rsidRPr="00B7238F">
        <w:rPr>
          <w:lang w:val="pt-PT"/>
        </w:rPr>
        <w:t>).</w:t>
      </w:r>
    </w:p>
    <w:p w14:paraId="0C4BA756" w14:textId="77777777" w:rsidR="00C72042" w:rsidRDefault="00CA6CFD" w:rsidP="003C3EFD">
      <w:pPr>
        <w:spacing w:after="0" w:line="360" w:lineRule="auto"/>
        <w:rPr>
          <w:lang w:val="pt-PT"/>
        </w:rPr>
      </w:pPr>
      <w:r w:rsidRPr="00B7238F">
        <w:t xml:space="preserve"> Folíolos de soja submetidos a temperatura de </w:t>
      </w:r>
      <w:r w:rsidRPr="00B7238F">
        <w:rPr>
          <w:lang w:val="pt-PT"/>
        </w:rPr>
        <w:t>35 °C durante uma hora em três dias consecutivos (15 dias após a inoculação), reduziram a esporulação em 50%, exigindo 9 a 12 dias para iniciar a esporulação novamente (</w:t>
      </w:r>
      <w:bookmarkStart w:id="66" w:name="_Hlk11839518"/>
      <w:r w:rsidRPr="00B7238F">
        <w:rPr>
          <w:lang w:val="pt-PT"/>
        </w:rPr>
        <w:t>BONDE et al., 2013</w:t>
      </w:r>
      <w:bookmarkEnd w:id="66"/>
      <w:r w:rsidRPr="00B7238F">
        <w:rPr>
          <w:lang w:val="pt-PT"/>
        </w:rPr>
        <w:t>). Além disso, três dias consecutivos com temperatura de 37 °C, começando após a inoculação e posterior ao período de molhamento, reduziu o número de lesões em 60%. O efeito de temperaturas superiores a 30 °C na redução do número de lesões e esporulação, associado a maior intensidade da FAS próximo a 20 °C pode explicar o registro nas últimas safras de epidemias mais severas na região sul do Brasil.</w:t>
      </w:r>
    </w:p>
    <w:p w14:paraId="49618123" w14:textId="19452290" w:rsidR="00CA6CFD" w:rsidRPr="00B7238F" w:rsidRDefault="00CA6CFD" w:rsidP="003C3EFD">
      <w:pPr>
        <w:spacing w:after="0" w:line="360" w:lineRule="auto"/>
      </w:pPr>
      <w:r w:rsidRPr="00B7238F">
        <w:t>A formação de teliósporos é rara em regiões onde não há temperatura em torno de 10ºC (</w:t>
      </w:r>
      <w:bookmarkStart w:id="67" w:name="_Hlk11839536"/>
      <w:r w:rsidRPr="00B7238F">
        <w:t>BROMFIELD,1984</w:t>
      </w:r>
      <w:bookmarkEnd w:id="67"/>
      <w:r w:rsidRPr="00B7238F">
        <w:t xml:space="preserve">), no entanto Carmona et al., 2005 relataram presença de teliósporos no nordeste e noroeste da Argentina. No Brasil, </w:t>
      </w:r>
      <w:bookmarkStart w:id="68" w:name="_Hlk11839556"/>
      <w:r w:rsidRPr="00B7238F">
        <w:t xml:space="preserve">Sousa et al. (2006) </w:t>
      </w:r>
      <w:bookmarkEnd w:id="68"/>
      <w:r w:rsidRPr="00B7238F">
        <w:t>observaram a formação de soros teliais em plantas mantidas a 15 °C durante 25 a 30 dias. Temperaturas próximas a 15 °C muitas vezes ocorrem no final ciclo da soja na região de Campos de Cima da Serra, Rio grande do Sul, e região de Planalto do estado de Santa Catarina, porém não com este período de duração o que pode não permitir a formação dos teliósporos.</w:t>
      </w:r>
    </w:p>
    <w:p w14:paraId="4CA61E17" w14:textId="77777777" w:rsidR="00CA6CFD" w:rsidRPr="00B7238F" w:rsidRDefault="00CA6CFD" w:rsidP="003C3EFD">
      <w:pPr>
        <w:spacing w:after="0" w:line="360" w:lineRule="auto"/>
        <w:ind w:firstLine="0"/>
      </w:pPr>
    </w:p>
    <w:p w14:paraId="1B1C066B" w14:textId="73590EE4" w:rsidR="008C3102" w:rsidRPr="00B7238F" w:rsidRDefault="008C3102" w:rsidP="003C3EFD">
      <w:pPr>
        <w:pStyle w:val="Ttulo4"/>
        <w:spacing w:before="0" w:after="0" w:line="360" w:lineRule="auto"/>
      </w:pPr>
      <w:bookmarkStart w:id="69" w:name="_Toc22568221"/>
      <w:r w:rsidRPr="00B7238F">
        <w:t>2.2.3.2</w:t>
      </w:r>
      <w:r w:rsidR="006B56E7" w:rsidRPr="00B7238F">
        <w:t xml:space="preserve"> M</w:t>
      </w:r>
      <w:r w:rsidR="008F7EE4">
        <w:t>olhamento foliar</w:t>
      </w:r>
      <w:bookmarkEnd w:id="69"/>
    </w:p>
    <w:p w14:paraId="5E74570C" w14:textId="0DC246E4" w:rsidR="00CA6CFD" w:rsidRPr="00B7238F" w:rsidRDefault="00CA6CFD" w:rsidP="003C3EFD">
      <w:pPr>
        <w:spacing w:after="0" w:line="360" w:lineRule="auto"/>
      </w:pPr>
      <w:r w:rsidRPr="00B7238F">
        <w:tab/>
      </w:r>
    </w:p>
    <w:p w14:paraId="48315C7A" w14:textId="7A096FAD" w:rsidR="008C3102" w:rsidRDefault="00CA6CFD" w:rsidP="003C3EFD">
      <w:pPr>
        <w:spacing w:after="0" w:line="360" w:lineRule="auto"/>
        <w:ind w:firstLine="708"/>
        <w:rPr>
          <w:color w:val="000000"/>
        </w:rPr>
      </w:pPr>
      <w:r w:rsidRPr="00B7238F">
        <w:t>Condições ideais para</w:t>
      </w:r>
      <w:r w:rsidRPr="00B7238F">
        <w:rPr>
          <w:color w:val="000000"/>
        </w:rPr>
        <w:t xml:space="preserve"> </w:t>
      </w:r>
      <w:r w:rsidRPr="00B7238F">
        <w:t>que o processo de infecção ocorra encontram-se com 12 horas</w:t>
      </w:r>
      <w:r w:rsidRPr="00B7238F">
        <w:rPr>
          <w:color w:val="000000"/>
        </w:rPr>
        <w:t xml:space="preserve"> </w:t>
      </w:r>
      <w:r w:rsidRPr="00B7238F">
        <w:t>de molhamento foliar contínuo a temperaturas entre 16 e 26,5°C</w:t>
      </w:r>
      <w:r w:rsidRPr="00B7238F">
        <w:rPr>
          <w:color w:val="000000"/>
        </w:rPr>
        <w:t xml:space="preserve"> </w:t>
      </w:r>
      <w:r w:rsidRPr="00B7238F">
        <w:t>(</w:t>
      </w:r>
      <w:bookmarkStart w:id="70" w:name="_Hlk11839591"/>
      <w:r w:rsidRPr="00B7238F">
        <w:t>ALVES et al., 2007;</w:t>
      </w:r>
      <w:r w:rsidRPr="00B7238F">
        <w:rPr>
          <w:color w:val="000000"/>
        </w:rPr>
        <w:t xml:space="preserve"> </w:t>
      </w:r>
      <w:r w:rsidRPr="00B7238F">
        <w:t>BONDE et. al., 2007</w:t>
      </w:r>
      <w:bookmarkEnd w:id="70"/>
      <w:r w:rsidRPr="00B7238F">
        <w:t>). E</w:t>
      </w:r>
      <w:r w:rsidRPr="00B7238F">
        <w:rPr>
          <w:color w:val="000000"/>
        </w:rPr>
        <w:t>pidemias de FAS estão diretamente relacionadas com a alta frequência de chuvas durante o ciclo da cultura da soja (</w:t>
      </w:r>
      <w:bookmarkStart w:id="71" w:name="_Hlk11839612"/>
      <w:r w:rsidRPr="00B7238F">
        <w:rPr>
          <w:color w:val="000000"/>
        </w:rPr>
        <w:t>DEL PONTE, et al., 2006</w:t>
      </w:r>
      <w:bookmarkEnd w:id="71"/>
      <w:r w:rsidRPr="00B7238F">
        <w:rPr>
          <w:color w:val="000000"/>
        </w:rPr>
        <w:t>). Esta relação pode estar associada a maior ocorrência de sombreamento (</w:t>
      </w:r>
      <w:bookmarkStart w:id="72" w:name="_Hlk11839625"/>
      <w:r w:rsidRPr="00B7238F">
        <w:rPr>
          <w:color w:val="000000"/>
        </w:rPr>
        <w:t>DIAS et al., 2011</w:t>
      </w:r>
      <w:bookmarkEnd w:id="72"/>
      <w:r w:rsidRPr="00B7238F">
        <w:rPr>
          <w:color w:val="000000"/>
        </w:rPr>
        <w:t>), número de dias com nebulosidade (</w:t>
      </w:r>
      <w:bookmarkStart w:id="73" w:name="_Hlk11839642"/>
      <w:r w:rsidRPr="00B7238F">
        <w:rPr>
          <w:color w:val="000000"/>
        </w:rPr>
        <w:t>DIAS, LI &amp; YANG, 2014</w:t>
      </w:r>
      <w:bookmarkEnd w:id="73"/>
      <w:r w:rsidRPr="00B7238F">
        <w:rPr>
          <w:color w:val="000000"/>
        </w:rPr>
        <w:t xml:space="preserve">) e maiores períodos com molhamento foliar contínuo superior a 12 horas em anos agrícolas com maior frequência de chuvas. </w:t>
      </w:r>
    </w:p>
    <w:p w14:paraId="570E3C74" w14:textId="77777777" w:rsidR="008F7EE4" w:rsidRPr="00B7238F" w:rsidRDefault="008F7EE4" w:rsidP="003C3EFD">
      <w:pPr>
        <w:spacing w:after="0" w:line="360" w:lineRule="auto"/>
      </w:pPr>
    </w:p>
    <w:p w14:paraId="5874A88E" w14:textId="1BE7A451" w:rsidR="008C3102" w:rsidRPr="00B7238F" w:rsidRDefault="008C3102" w:rsidP="003C3EFD">
      <w:pPr>
        <w:pStyle w:val="Ttulo4"/>
        <w:spacing w:before="0" w:after="0" w:line="360" w:lineRule="auto"/>
        <w:rPr>
          <w:highlight w:val="yellow"/>
        </w:rPr>
      </w:pPr>
      <w:bookmarkStart w:id="74" w:name="_Toc22568222"/>
      <w:r w:rsidRPr="00B7238F">
        <w:t>2.2.3.3</w:t>
      </w:r>
      <w:r w:rsidR="006B56E7" w:rsidRPr="00B7238F">
        <w:t xml:space="preserve"> F</w:t>
      </w:r>
      <w:r w:rsidR="00F865F6">
        <w:t>otoperíodo e radiação solar</w:t>
      </w:r>
      <w:bookmarkEnd w:id="74"/>
    </w:p>
    <w:p w14:paraId="341F9646" w14:textId="3AD4CC34" w:rsidR="00CA6CFD" w:rsidRPr="00B7238F" w:rsidRDefault="00CA6CFD" w:rsidP="003C3EFD">
      <w:pPr>
        <w:spacing w:after="0" w:line="360" w:lineRule="auto"/>
        <w:rPr>
          <w:highlight w:val="yellow"/>
        </w:rPr>
      </w:pPr>
    </w:p>
    <w:p w14:paraId="12AED40F" w14:textId="77777777" w:rsidR="00B22E2A" w:rsidRDefault="00CA6CFD" w:rsidP="003C3EFD">
      <w:pPr>
        <w:spacing w:after="0" w:line="360" w:lineRule="auto"/>
      </w:pPr>
      <w:r w:rsidRPr="00B7238F">
        <w:t xml:space="preserve">A germinação de uredosporos de </w:t>
      </w:r>
      <w:r w:rsidRPr="00B7238F">
        <w:rPr>
          <w:i/>
          <w:color w:val="000000"/>
        </w:rPr>
        <w:t>P. pachyrhizi</w:t>
      </w:r>
      <w:r w:rsidRPr="00B7238F">
        <w:rPr>
          <w:color w:val="000000"/>
        </w:rPr>
        <w:t xml:space="preserve"> </w:t>
      </w:r>
      <w:r w:rsidRPr="00B7238F">
        <w:t>é maior quando estes são expostos a seis horas de escuro, sendo que a luz contínua reduz, mas não é capaz de inibir totalmente a sua germinação (BLUM, et al., 2015).</w:t>
      </w:r>
    </w:p>
    <w:p w14:paraId="20019079" w14:textId="66CAF1E5" w:rsidR="00CA6CFD" w:rsidRPr="00B7238F" w:rsidRDefault="00CA6CFD" w:rsidP="003C3EFD">
      <w:pPr>
        <w:spacing w:after="0" w:line="360" w:lineRule="auto"/>
      </w:pPr>
      <w:r w:rsidRPr="00B7238F">
        <w:t>A viabilidade de uredosporos expostos à diferentes níveis de radiação apresentam correlação negativa com a radiação solar, sendo menores os valores de germinação quando estes foram submetidos as maiores radiações (</w:t>
      </w:r>
      <w:bookmarkStart w:id="75" w:name="_Hlk11839663"/>
      <w:r w:rsidRPr="00B7238F">
        <w:t>ISARD et al., 2006</w:t>
      </w:r>
      <w:bookmarkEnd w:id="75"/>
      <w:r w:rsidRPr="00B7238F">
        <w:t xml:space="preserve">).  </w:t>
      </w:r>
    </w:p>
    <w:p w14:paraId="7CF55F64" w14:textId="77777777" w:rsidR="004F7A6B" w:rsidRPr="00B7238F" w:rsidRDefault="00CA6CFD" w:rsidP="003C3EFD">
      <w:pPr>
        <w:spacing w:after="0" w:line="360" w:lineRule="auto"/>
      </w:pPr>
      <w:r w:rsidRPr="00B7238F">
        <w:t>Plantas de soja mantidas a sombra por dois dias apresentam maior intensidade de FAS (</w:t>
      </w:r>
      <w:bookmarkStart w:id="76" w:name="_Hlk11839802"/>
      <w:r w:rsidRPr="00B7238F">
        <w:t>DIAS et al., 2011</w:t>
      </w:r>
      <w:bookmarkEnd w:id="76"/>
      <w:r w:rsidRPr="00B7238F">
        <w:t>).</w:t>
      </w:r>
    </w:p>
    <w:p w14:paraId="3D53BAA0" w14:textId="36951F80" w:rsidR="004F7A6B" w:rsidRPr="00B7238F" w:rsidRDefault="00CA6CFD" w:rsidP="003C3EFD">
      <w:pPr>
        <w:spacing w:after="0" w:line="360" w:lineRule="auto"/>
      </w:pPr>
      <w:r w:rsidRPr="00B7238F">
        <w:t xml:space="preserve"> No Brasil e África do Sul, anos agrícolas que apresentaram 19,5 ou mais dias nublados </w:t>
      </w:r>
      <w:r w:rsidR="00411243" w:rsidRPr="00B7238F">
        <w:t xml:space="preserve">durante o ciclo da cultura da soja </w:t>
      </w:r>
      <w:r w:rsidRPr="00B7238F">
        <w:t xml:space="preserve">tiveram ocorrência de epidemias mais severas </w:t>
      </w:r>
      <w:r w:rsidR="004A1D6E" w:rsidRPr="00B7238F">
        <w:t xml:space="preserve">da FAS </w:t>
      </w:r>
      <w:r w:rsidRPr="00B7238F">
        <w:t>(</w:t>
      </w:r>
      <w:bookmarkStart w:id="77" w:name="_Hlk11839815"/>
      <w:r w:rsidRPr="00B7238F">
        <w:t>DIAS, LI &amp; YANG, 2014</w:t>
      </w:r>
      <w:bookmarkEnd w:id="77"/>
      <w:r w:rsidRPr="00B7238F">
        <w:t xml:space="preserve">).  </w:t>
      </w:r>
    </w:p>
    <w:p w14:paraId="77102DAC" w14:textId="6C596A66" w:rsidR="00CA6CFD" w:rsidRPr="00B7238F" w:rsidRDefault="00CA6CFD" w:rsidP="003C3EFD">
      <w:pPr>
        <w:spacing w:after="0" w:line="360" w:lineRule="auto"/>
      </w:pPr>
      <w:r w:rsidRPr="00B7238F">
        <w:t>A maior intensidade da ferrugem asiática em folhas do terço inferior das plantas de soja e principalmente em estádios fenológicos posteriores ao fechamento da entre-linha, pode estar associada a menor intensidade de radiação solar incidente e maior molhamento foliar nas folhas inferiores das plantas (</w:t>
      </w:r>
      <w:bookmarkStart w:id="78" w:name="_Hlk11839830"/>
      <w:r w:rsidRPr="00B7238F">
        <w:t>FURTADO et al., 2009</w:t>
      </w:r>
      <w:bookmarkEnd w:id="78"/>
      <w:r w:rsidRPr="00B7238F">
        <w:t>).</w:t>
      </w:r>
    </w:p>
    <w:p w14:paraId="152D1BF7" w14:textId="3B3E85A8" w:rsidR="00A93A21" w:rsidRPr="00B7238F" w:rsidRDefault="00A93A21" w:rsidP="003C3EFD">
      <w:pPr>
        <w:spacing w:after="0" w:line="360" w:lineRule="auto"/>
        <w:rPr>
          <w:highlight w:val="yellow"/>
        </w:rPr>
      </w:pPr>
    </w:p>
    <w:p w14:paraId="4DA364BF" w14:textId="3C7255FA" w:rsidR="008C3102" w:rsidRPr="00B7238F" w:rsidRDefault="008C3102" w:rsidP="003C3EFD">
      <w:pPr>
        <w:pStyle w:val="Ttulo4"/>
        <w:spacing w:before="0" w:after="0" w:line="360" w:lineRule="auto"/>
        <w:rPr>
          <w:highlight w:val="yellow"/>
        </w:rPr>
      </w:pPr>
      <w:bookmarkStart w:id="79" w:name="_Toc22568223"/>
      <w:r w:rsidRPr="00B7238F">
        <w:t>2.2.3.4</w:t>
      </w:r>
      <w:r w:rsidR="006B56E7" w:rsidRPr="00B7238F">
        <w:t xml:space="preserve"> R</w:t>
      </w:r>
      <w:r w:rsidR="0088728C">
        <w:t>egime hídrico</w:t>
      </w:r>
      <w:bookmarkEnd w:id="79"/>
    </w:p>
    <w:p w14:paraId="51EC8ABE" w14:textId="0DA2FA4C" w:rsidR="008C3102" w:rsidRPr="00B7238F" w:rsidRDefault="008C3102" w:rsidP="003C3EFD">
      <w:pPr>
        <w:spacing w:after="0" w:line="360" w:lineRule="auto"/>
        <w:rPr>
          <w:highlight w:val="yellow"/>
        </w:rPr>
      </w:pPr>
    </w:p>
    <w:p w14:paraId="77372D1A" w14:textId="77777777" w:rsidR="0088728C" w:rsidRDefault="00CA6CFD" w:rsidP="003C3EFD">
      <w:pPr>
        <w:spacing w:after="0" w:line="360" w:lineRule="auto"/>
      </w:pPr>
      <w:r w:rsidRPr="00B7238F">
        <w:t xml:space="preserve">O período latente do fungo e a intensidade da FAS pode ser influenciado pelo regime hídrico ao qual são submetidas as plantas de soja. Plantas de soja cultivadas em solo com umidade de 50 a 60 % da capacidade de campo, tiveram a detecção da primeira pústula de </w:t>
      </w:r>
      <w:r w:rsidRPr="00B7238F">
        <w:rPr>
          <w:i/>
        </w:rPr>
        <w:t>P. pachyrhizi</w:t>
      </w:r>
      <w:r w:rsidRPr="00B7238F">
        <w:t xml:space="preserve"> 11,25 (com aplicação de fungicida) e 1,75 (sem aplicação fungicida) dias mais tarde que plantas cultivadas em umidade de 90 a 100% da capacidade de campo. Neste estudo, a severidade da FAS aos 30 dias após aplicação de fungicida, foi menor em plantas submetidas a estresse hidríco. Apesar disto, o rendimento de grãos foi menor em plantas submetidas a estresse hidríco (</w:t>
      </w:r>
      <w:bookmarkStart w:id="80" w:name="_Hlk11839849"/>
      <w:r w:rsidRPr="00B7238F">
        <w:t>STEFANELLO et al., 2016</w:t>
      </w:r>
      <w:bookmarkEnd w:id="80"/>
      <w:r w:rsidRPr="00B7238F">
        <w:t>).</w:t>
      </w:r>
    </w:p>
    <w:p w14:paraId="48E4D33C" w14:textId="1D94F993" w:rsidR="00CA6CFD" w:rsidRPr="00B7238F" w:rsidRDefault="00CA6CFD" w:rsidP="003C3EFD">
      <w:pPr>
        <w:spacing w:after="0" w:line="360" w:lineRule="auto"/>
      </w:pPr>
      <w:r w:rsidRPr="00B7238F">
        <w:t>O maior período latente e menor intensidade da doença, pode estar relacionado a maior concentração do fungicida em células de plantas sob estresse hídrico, causada pela menor degradação do fungicida e menor potencial hídrico destas plantas (STEFANELLO et al., 2016). Contudo, neste experimento não foi quantificado a concentração de fungicida nas células das plantas de soja.</w:t>
      </w:r>
    </w:p>
    <w:p w14:paraId="7B0F28F7" w14:textId="77777777" w:rsidR="0088728C" w:rsidRDefault="0088728C" w:rsidP="003C3EFD">
      <w:pPr>
        <w:spacing w:after="0" w:line="360" w:lineRule="auto"/>
      </w:pPr>
    </w:p>
    <w:p w14:paraId="2FE3DD44" w14:textId="4B10977C" w:rsidR="008C3102" w:rsidRPr="00B7238F" w:rsidRDefault="008C3102" w:rsidP="003C3EFD">
      <w:pPr>
        <w:pStyle w:val="Ttulo4"/>
        <w:spacing w:before="0" w:after="0" w:line="360" w:lineRule="auto"/>
        <w:rPr>
          <w:highlight w:val="yellow"/>
        </w:rPr>
      </w:pPr>
      <w:bookmarkStart w:id="81" w:name="_Toc22568224"/>
      <w:r w:rsidRPr="00B7238F">
        <w:t>2.2.3.5</w:t>
      </w:r>
      <w:r w:rsidR="006B56E7" w:rsidRPr="00B7238F">
        <w:t xml:space="preserve"> F</w:t>
      </w:r>
      <w:r w:rsidR="0088728C">
        <w:t>enologia e idade da folha</w:t>
      </w:r>
      <w:bookmarkEnd w:id="81"/>
    </w:p>
    <w:p w14:paraId="1F1C6D17" w14:textId="77777777" w:rsidR="0088728C" w:rsidRDefault="0088728C" w:rsidP="003C3EFD">
      <w:pPr>
        <w:spacing w:after="0" w:line="360" w:lineRule="auto"/>
      </w:pPr>
    </w:p>
    <w:p w14:paraId="6F57B33D" w14:textId="4F1977F9" w:rsidR="008D6F82" w:rsidRPr="00B7238F" w:rsidRDefault="008D6F82" w:rsidP="003C3EFD">
      <w:pPr>
        <w:spacing w:after="0" w:line="360" w:lineRule="auto"/>
      </w:pPr>
      <w:r w:rsidRPr="00B7238F">
        <w:t>A FAS pode ocorrer em todos os estádios fenológicos da cultura (</w:t>
      </w:r>
      <w:bookmarkStart w:id="82" w:name="_Hlk11839869"/>
      <w:r w:rsidRPr="00B7238F">
        <w:t>BROMFIELD &amp; YANG, 1976; YANG et al., 1990</w:t>
      </w:r>
      <w:bookmarkEnd w:id="82"/>
      <w:r w:rsidRPr="00B7238F">
        <w:t>), no entanto, a doença ocorre com maior frequência entre o início da floração (estádio fenológico R1) e o final do enchimento de grãos (estádio fenológico R6).</w:t>
      </w:r>
    </w:p>
    <w:p w14:paraId="1284199C" w14:textId="77777777" w:rsidR="008D6F82" w:rsidRPr="00B7238F" w:rsidRDefault="008D6F82" w:rsidP="003C3EFD">
      <w:pPr>
        <w:spacing w:after="0" w:line="360" w:lineRule="auto"/>
      </w:pPr>
      <w:r w:rsidRPr="00B7238F">
        <w:t>Plantas de soja em estádios fenológicos R4 e R5 são mais suscetíveis a FAS que plantas em estádios vegetativos (</w:t>
      </w:r>
      <w:bookmarkStart w:id="83" w:name="_Hlk11839895"/>
      <w:r w:rsidRPr="00B7238F">
        <w:t>XAVIER et al., 2017</w:t>
      </w:r>
      <w:bookmarkEnd w:id="83"/>
      <w:r w:rsidRPr="00B7238F">
        <w:t xml:space="preserve">). De acordo com </w:t>
      </w:r>
      <w:bookmarkStart w:id="84" w:name="_Hlk11839910"/>
      <w:r w:rsidRPr="00B7238F">
        <w:t xml:space="preserve">Koga, Canteri e Godoy (2007) </w:t>
      </w:r>
      <w:bookmarkEnd w:id="84"/>
      <w:r w:rsidRPr="00B7238F">
        <w:t xml:space="preserve">para muitas cultivares de soja, a expressão de resistência diminui à medida que a planta envelhece, podendo a resposta estar associada a mudanças nos mecanismos de defesa da planta. Isto ocorre porque durante a floração e as fases de enchimento de grãos, a planta possui alta demanda de fotoassimilados e nutrientes, afetando a capacidade da planta para ativar os mecanismos de defesa. Estas mudanças nos mecanismos de defesa das plantas, não foram quantificadas e comprovadas pelos autores. Entretanto, </w:t>
      </w:r>
      <w:bookmarkStart w:id="85" w:name="_Hlk11839925"/>
      <w:r w:rsidRPr="00B7238F">
        <w:t xml:space="preserve">Furtado et al. (2009) </w:t>
      </w:r>
      <w:bookmarkEnd w:id="85"/>
      <w:r w:rsidRPr="00B7238F">
        <w:t>relatam que plantas mais jovens apresentam maior suscetibilidade a FAS.</w:t>
      </w:r>
    </w:p>
    <w:p w14:paraId="70D71F41" w14:textId="77777777" w:rsidR="008D6F82" w:rsidRPr="00B7238F" w:rsidRDefault="008D6F82" w:rsidP="003C3EFD">
      <w:pPr>
        <w:spacing w:after="0" w:line="360" w:lineRule="auto"/>
      </w:pPr>
      <w:r w:rsidRPr="00B7238F">
        <w:t>O período latente do patógeno é menor em plantas em estágios vegetativos, mas a maior severidade da doença é encontrada em plantas em estágios reprodutivos (</w:t>
      </w:r>
      <w:bookmarkStart w:id="86" w:name="_Hlk11839951"/>
      <w:r w:rsidRPr="00B7238F">
        <w:t>MELCHING et al, 1988; XAVIER et al., 2017</w:t>
      </w:r>
      <w:bookmarkEnd w:id="86"/>
      <w:r w:rsidRPr="00B7238F">
        <w:t>).</w:t>
      </w:r>
    </w:p>
    <w:p w14:paraId="07D6F98D" w14:textId="77777777" w:rsidR="008D6F82" w:rsidRPr="00B7238F" w:rsidRDefault="008D6F82" w:rsidP="003C3EFD">
      <w:pPr>
        <w:spacing w:after="0" w:line="360" w:lineRule="auto"/>
      </w:pPr>
      <w:r w:rsidRPr="00B7238F">
        <w:t xml:space="preserve">Folíolos de soja mais velhos são mais suscetíveis à infecção de </w:t>
      </w:r>
      <w:r w:rsidRPr="00B7238F">
        <w:rPr>
          <w:i/>
        </w:rPr>
        <w:t>P. pachyrhizi</w:t>
      </w:r>
      <w:r w:rsidRPr="00B7238F">
        <w:t>, independentemente do estágio fenológico da planta, apresentando maior tamanho médio de lesão, número de lesões/cm</w:t>
      </w:r>
      <w:r w:rsidRPr="00B7238F">
        <w:rPr>
          <w:vertAlign w:val="superscript"/>
        </w:rPr>
        <w:t>2</w:t>
      </w:r>
      <w:r w:rsidRPr="00B7238F">
        <w:t xml:space="preserve"> e severidade (MELCHING et al., 1988; </w:t>
      </w:r>
      <w:bookmarkStart w:id="87" w:name="_Hlk11839975"/>
      <w:r w:rsidRPr="00B7238F">
        <w:t>FURTADO et al., 2009</w:t>
      </w:r>
      <w:bookmarkEnd w:id="87"/>
      <w:r w:rsidRPr="00B7238F">
        <w:t xml:space="preserve">; XAVIER et al., 2017). Contudo, folíolos da mesma idade cronológica, apresentam maior severidade em plantas no estádio fenológico V4 do que em R4 e R5 (XAVIER et al., 2017). </w:t>
      </w:r>
    </w:p>
    <w:p w14:paraId="1261ABF3" w14:textId="2756ABFB" w:rsidR="008C3102" w:rsidRDefault="008D6F82" w:rsidP="003C3EFD">
      <w:pPr>
        <w:spacing w:after="0" w:line="360" w:lineRule="auto"/>
      </w:pPr>
      <w:r w:rsidRPr="00B7238F">
        <w:t>Em lavouras comerciais de soja os sintomas iniciais de FAS são geralmente detectados em folíolos do terço inferior das plantas, o que pode ocorrer em virtude destes folíolos apresentarem maior idade cronológica, menor exposição à radiação solar e maior período de molhamento foliar contínuo.</w:t>
      </w:r>
      <w:r w:rsidRPr="00B7238F">
        <w:tab/>
      </w:r>
    </w:p>
    <w:p w14:paraId="43108324" w14:textId="6B83D670" w:rsidR="00323645" w:rsidRDefault="00323645" w:rsidP="003C3EFD">
      <w:pPr>
        <w:spacing w:after="0" w:line="360" w:lineRule="auto"/>
      </w:pPr>
    </w:p>
    <w:p w14:paraId="3BC68923" w14:textId="77777777" w:rsidR="00323645" w:rsidRPr="00B7238F" w:rsidRDefault="00323645" w:rsidP="003C3EFD">
      <w:pPr>
        <w:spacing w:after="0" w:line="360" w:lineRule="auto"/>
      </w:pPr>
    </w:p>
    <w:p w14:paraId="08A2ECFA" w14:textId="77777777" w:rsidR="00D0320F" w:rsidRPr="00B7238F" w:rsidRDefault="00D0320F" w:rsidP="003C3EFD">
      <w:pPr>
        <w:spacing w:after="0" w:line="360" w:lineRule="auto"/>
        <w:ind w:firstLine="0"/>
        <w:rPr>
          <w:highlight w:val="yellow"/>
        </w:rPr>
      </w:pPr>
    </w:p>
    <w:p w14:paraId="36BE8E66" w14:textId="44E73CCE" w:rsidR="008C3102" w:rsidRPr="00B7238F" w:rsidRDefault="008C3102" w:rsidP="003C3EFD">
      <w:pPr>
        <w:pStyle w:val="Ttulo4"/>
        <w:spacing w:before="0" w:after="0" w:line="360" w:lineRule="auto"/>
      </w:pPr>
      <w:bookmarkStart w:id="88" w:name="_Toc22568225"/>
      <w:r w:rsidRPr="00B7238F">
        <w:t>2.2.3.6</w:t>
      </w:r>
      <w:r w:rsidR="006B56E7" w:rsidRPr="00B7238F">
        <w:t xml:space="preserve"> G</w:t>
      </w:r>
      <w:r w:rsidR="0088728C">
        <w:t>rupos de maturação</w:t>
      </w:r>
      <w:bookmarkEnd w:id="88"/>
    </w:p>
    <w:p w14:paraId="451A0B68" w14:textId="13347165" w:rsidR="008D6F82" w:rsidRPr="00B7238F" w:rsidRDefault="008D6F82" w:rsidP="003C3EFD">
      <w:pPr>
        <w:spacing w:after="0" w:line="360" w:lineRule="auto"/>
        <w:ind w:firstLine="0"/>
      </w:pPr>
    </w:p>
    <w:p w14:paraId="3B244F9B" w14:textId="03F9745C" w:rsidR="008D6F82" w:rsidRPr="00B7238F" w:rsidRDefault="008D6F82" w:rsidP="003C3EFD">
      <w:pPr>
        <w:spacing w:after="0" w:line="360" w:lineRule="auto"/>
      </w:pPr>
      <w:r w:rsidRPr="00B7238F">
        <w:t>Cultivares de soja com diferentes grupos de maturação apresentam diferença no padrão epidemiológico da FAS, independente da época de semeadura (</w:t>
      </w:r>
      <w:bookmarkStart w:id="89" w:name="_Hlk11839994"/>
      <w:r w:rsidRPr="00B7238F">
        <w:t>MOREIRA et al., 2015</w:t>
      </w:r>
      <w:bookmarkEnd w:id="89"/>
      <w:r w:rsidRPr="00B7238F">
        <w:t>).</w:t>
      </w:r>
    </w:p>
    <w:p w14:paraId="7B0EB4F0" w14:textId="77777777" w:rsidR="008D6F82" w:rsidRPr="00B7238F" w:rsidRDefault="008D6F82" w:rsidP="003C3EFD">
      <w:pPr>
        <w:spacing w:after="0" w:line="360" w:lineRule="auto"/>
      </w:pPr>
      <w:r w:rsidRPr="00B7238F">
        <w:t>A taxa de progresso da FAS e severidade máxima da doença é maior para cultivares de soja de ciclo precoce quando comparado a ciclo médio e tardio, sendo os menores valores detectados em cultivares tardias. O número de dias para atingir a severidade máxima da FAS é crescente para genótipos de grupo de maturação precoce, médio e tardio, respectivamente. Isto ocorre em virtude de que quanto mais longo o ciclo das cultivares de soja dentro de uma mesma época de semeadura, maiores serão os valores de IAF absoluto e tempo para atingir o IAF máximo, o que consequentemente dilui a severidade da doença (MOREIRA et al., 2015).</w:t>
      </w:r>
    </w:p>
    <w:p w14:paraId="7E15EDA2" w14:textId="50E43F1C" w:rsidR="006B56E7" w:rsidRPr="00B7238F" w:rsidRDefault="008D6F82" w:rsidP="003C3EFD">
      <w:pPr>
        <w:spacing w:after="0" w:line="360" w:lineRule="auto"/>
      </w:pPr>
      <w:r w:rsidRPr="00B7238F">
        <w:t>O IAF de genótipos de soja do mesmo grupo de maturação é maior quanto mais precocemente ocorre a semeadura. Cultivares de soja de grupo de maturação precoce quando semeadas no final da época recomendada, apresentam maior risco de dano da FAS, em virtude do comportamento fisiológico de desenvolvimento da cultura e comportamento epidemiológico da doença (MOREIRA et al., 2015). Portanto, na região sul do Brasil, quando são semeados genótipos precoces em sucessão a cultura do trigo, há maior risco de dano da FAS. Segundo Moreira et al. (2015), o controle químico deve ser antecipado em cultivares de ciclo precoce, especialmente quando estas são semeadas no final da época recomendada.</w:t>
      </w:r>
    </w:p>
    <w:p w14:paraId="2C6F4D43" w14:textId="77777777" w:rsidR="00D0320F" w:rsidRPr="00B7238F" w:rsidRDefault="00D0320F" w:rsidP="003C3EFD">
      <w:pPr>
        <w:spacing w:after="0" w:line="360" w:lineRule="auto"/>
      </w:pPr>
    </w:p>
    <w:p w14:paraId="1F7907F4" w14:textId="203F4CEF" w:rsidR="006B56E7" w:rsidRPr="00B7238F" w:rsidRDefault="008F08D2" w:rsidP="003C3EFD">
      <w:pPr>
        <w:pStyle w:val="Ttulo2"/>
        <w:spacing w:before="0" w:after="0" w:line="360" w:lineRule="auto"/>
      </w:pPr>
      <w:bookmarkStart w:id="90" w:name="_Toc22568226"/>
      <w:r>
        <w:t>2.3</w:t>
      </w:r>
      <w:r w:rsidR="00F95F18">
        <w:t xml:space="preserve"> </w:t>
      </w:r>
      <w:r w:rsidR="006B56E7" w:rsidRPr="00B7238F">
        <w:t>ANÁLISE DA EPIDEMIOLOGIA DA FA</w:t>
      </w:r>
      <w:r w:rsidR="009978DD">
        <w:t>S</w:t>
      </w:r>
      <w:r w:rsidR="006B56E7" w:rsidRPr="00B7238F">
        <w:t xml:space="preserve"> NO ESTADO DE SANTA CATARIN</w:t>
      </w:r>
      <w:bookmarkStart w:id="91" w:name="_Toc516580486"/>
      <w:bookmarkStart w:id="92" w:name="_Toc517105661"/>
      <w:r w:rsidR="006B56E7" w:rsidRPr="00B7238F">
        <w:t>A</w:t>
      </w:r>
      <w:bookmarkEnd w:id="90"/>
    </w:p>
    <w:p w14:paraId="3F166C3E" w14:textId="77777777" w:rsidR="009978DD" w:rsidRDefault="009978DD" w:rsidP="003C3EFD">
      <w:pPr>
        <w:spacing w:after="0" w:line="360" w:lineRule="auto"/>
      </w:pPr>
    </w:p>
    <w:p w14:paraId="5A5DDC0F" w14:textId="77777777" w:rsidR="00D0320F" w:rsidRDefault="008D6F82" w:rsidP="003C3EFD">
      <w:pPr>
        <w:spacing w:after="0" w:line="360" w:lineRule="auto"/>
      </w:pPr>
      <w:r w:rsidRPr="00B7238F">
        <w:t>Uma cultivar de soja de grupo de maturação 5.9 a 6.8 cultivada na região de Santa Maria, Rio Grande do Sul, tem duração de 131 dias entre emergência e maturação fisiológica quando semeada no dia 1 de novembro (</w:t>
      </w:r>
      <w:bookmarkStart w:id="93" w:name="_Hlk11840027"/>
      <w:r w:rsidRPr="00B7238F">
        <w:t>TRENTIN et al., 2013</w:t>
      </w:r>
      <w:bookmarkEnd w:id="93"/>
      <w:r w:rsidRPr="00B7238F">
        <w:t>). Considerando que esta é a principal época de semeadura na região do Planalto Catarinense, teríamos aproximadamente 124 dias de ciclo entre emergência e o estádio R6 (final do enchimento de grãos). Estimando que os primeiros sintomas de FAS ocorreriam no dia 10 de janeiro (safra com maior densidade de inóculo), teríamos 59 dias para ocorrência de FAS até o término do enchimento de grãos. Como a duração do ciclo da doença é de aproximadamente nove dias poderíamos ter 6,5 ciclos durante a estação de cultivo.</w:t>
      </w:r>
    </w:p>
    <w:p w14:paraId="0CD4093E" w14:textId="0FDADD06" w:rsidR="008D6F82" w:rsidRPr="00B7238F" w:rsidRDefault="008D6F82" w:rsidP="003C3EFD">
      <w:pPr>
        <w:spacing w:after="0" w:line="360" w:lineRule="auto"/>
      </w:pPr>
      <w:r w:rsidRPr="00B7238F">
        <w:t xml:space="preserve">Na região do oeste catarinense, onde pode haver o cultivo de soja segunda safra, o início da semeadura ocorre no mês de outubro e o cultivo se extende até final do mês de </w:t>
      </w:r>
      <w:r w:rsidR="00365F17" w:rsidRPr="00B7238F">
        <w:t>maio</w:t>
      </w:r>
      <w:r w:rsidRPr="00B7238F">
        <w:t xml:space="preserve">. Considerando um ano com maior densidade de inóculo de </w:t>
      </w:r>
      <w:r w:rsidRPr="00B7238F">
        <w:rPr>
          <w:i/>
        </w:rPr>
        <w:t>P. pachyrhizi</w:t>
      </w:r>
      <w:r w:rsidRPr="00B7238F">
        <w:t xml:space="preserve">, os primeiros ciclos da FAS poderiam ser observados na segunda quinzena de dezembro, sendo possível ocorrer até </w:t>
      </w:r>
      <w:r w:rsidR="00365F17" w:rsidRPr="00B7238F">
        <w:t>18,4</w:t>
      </w:r>
      <w:r w:rsidRPr="00B7238F">
        <w:t xml:space="preserve"> ciclos da doença na região por ano agrícola. O cultivo de segunda safra apresenta maior risco de dano da FAS, devido a presença do patógeno desde os primeiros estádios de desenvolvimento, bem como maior densidade de inóculo quando comparado ao cultivo na época recomendada. </w:t>
      </w:r>
    </w:p>
    <w:p w14:paraId="11CC1E1B" w14:textId="5EABBD1C" w:rsidR="0043763E" w:rsidRPr="00B7238F" w:rsidRDefault="0043763E" w:rsidP="003C3EFD">
      <w:pPr>
        <w:spacing w:after="0" w:line="360" w:lineRule="auto"/>
      </w:pPr>
    </w:p>
    <w:p w14:paraId="339C9ED6" w14:textId="393089F7" w:rsidR="006B56E7" w:rsidRPr="00B7238F" w:rsidRDefault="009978DD" w:rsidP="003C3EFD">
      <w:pPr>
        <w:pStyle w:val="Ttulo2"/>
        <w:spacing w:before="0" w:after="0" w:line="360" w:lineRule="auto"/>
      </w:pPr>
      <w:bookmarkStart w:id="94" w:name="_Toc22568227"/>
      <w:r>
        <w:t xml:space="preserve">2.4 </w:t>
      </w:r>
      <w:r w:rsidR="006B56E7" w:rsidRPr="00B7238F">
        <w:t>SINTOMATOLOGIA</w:t>
      </w:r>
      <w:bookmarkEnd w:id="94"/>
      <w:r w:rsidR="006B56E7" w:rsidRPr="00B7238F">
        <w:t xml:space="preserve">                     </w:t>
      </w:r>
    </w:p>
    <w:p w14:paraId="47C97543" w14:textId="16A45D9D" w:rsidR="006B56E7" w:rsidRPr="00B7238F" w:rsidRDefault="006B56E7" w:rsidP="003C3EFD">
      <w:pPr>
        <w:pStyle w:val="PargrafodaLista"/>
        <w:spacing w:after="0" w:line="360" w:lineRule="auto"/>
      </w:pPr>
    </w:p>
    <w:p w14:paraId="4BC32AC5" w14:textId="77777777" w:rsidR="00D0320F" w:rsidRDefault="008D6F82" w:rsidP="003C3EFD">
      <w:pPr>
        <w:spacing w:after="0" w:line="360" w:lineRule="auto"/>
      </w:pPr>
      <w:r w:rsidRPr="00B7238F">
        <w:t>Os sintomas causados pela FAS, no seu estado inicial, podem ser confundidos com outras doenças, como pústula bacteriana, crestamento bacteriano e mancha parda (</w:t>
      </w:r>
      <w:bookmarkStart w:id="95" w:name="_Hlk11840051"/>
      <w:r w:rsidRPr="00B7238F">
        <w:t>YORINORI et al., 2005</w:t>
      </w:r>
      <w:bookmarkEnd w:id="95"/>
      <w:r w:rsidRPr="00B7238F">
        <w:t>).</w:t>
      </w:r>
    </w:p>
    <w:p w14:paraId="3384D8A9" w14:textId="77777777" w:rsidR="00D0320F" w:rsidRDefault="008D6F82" w:rsidP="003C3EFD">
      <w:pPr>
        <w:spacing w:after="0" w:line="360" w:lineRule="auto"/>
      </w:pPr>
      <w:r w:rsidRPr="00B7238F">
        <w:t>As frutificações da FAS não são tão evidentes, de modo que a olho nu não e fácil identificar as pústulas ferruginosas que conferem o nome comum a esse grupo de doenças (REIS et al., 2012). Os sintomas iniciais da doença são observados como áreas foliares cloróticas de forma poligonal, por causa da delimitação imposta pelas nervuras, podendo atingir um tamanho de até 2 a 5 mm</w:t>
      </w:r>
      <w:r w:rsidRPr="00B7238F">
        <w:rPr>
          <w:vertAlign w:val="superscript"/>
        </w:rPr>
        <w:t>2</w:t>
      </w:r>
      <w:r w:rsidRPr="00B7238F">
        <w:t xml:space="preserve"> (</w:t>
      </w:r>
      <w:bookmarkStart w:id="96" w:name="_Hlk11840066"/>
      <w:r w:rsidRPr="00B7238F">
        <w:t>HARTMAN, SINCLAIR &amp; RUPE, 1993</w:t>
      </w:r>
      <w:bookmarkEnd w:id="96"/>
      <w:r w:rsidRPr="00B7238F">
        <w:t>). Estes sintomas são denominados de lesões, e não de pústulas como nas demais ferrugens, isso por que ocorre a necrose do tecido foliar e em cada lesão podem existir várias pústulas (REIS et al., 2012). Progressivamente, as urédias ou pustulas, adquirem cor castanho-clara a castanho escuro, as quais se abrem em um minúsculo poro, liberando os uredospóros, de coloração hialina, os quais tornam-se bege e acumulam-se ao redor dos poros ou são removidos pelo vento (</w:t>
      </w:r>
      <w:bookmarkStart w:id="97" w:name="_Hlk11840091"/>
      <w:r w:rsidRPr="00B7238F">
        <w:t>YORINORI et al., 2004</w:t>
      </w:r>
      <w:bookmarkEnd w:id="97"/>
      <w:r w:rsidRPr="00B7238F">
        <w:t>; REIS et al.,2012). À medida que prossegue a esporulação, o tecido da folha, ao redor das pústulas, passa para uma coloração castanho-clara ou ainda para uma coloração castanho-avermelhada, onde são definidas as lesões características à doença, visíveis em ambas as faces da folha (YORINORI et al., 2004). As primeiras lesões, em geral, são encontradas nas folhas baixeiras próximas ao solo (REIS et al., 2012).</w:t>
      </w:r>
    </w:p>
    <w:p w14:paraId="6D0C3E0A" w14:textId="54CF65E5" w:rsidR="008D6F82" w:rsidRPr="00B7238F" w:rsidRDefault="008D6F82" w:rsidP="003C3EFD">
      <w:pPr>
        <w:spacing w:after="0" w:line="360" w:lineRule="auto"/>
      </w:pPr>
      <w:r w:rsidRPr="00B7238F">
        <w:t xml:space="preserve">O estádio final da epidemia da ferrugem da soja numa lavoura caracteriza-se por amarelecimento geral da folhagem com intensa desfolha, chegando até a queda completa das folhas (REIS et al., 2006; </w:t>
      </w:r>
      <w:bookmarkStart w:id="98" w:name="_Hlk11840115"/>
      <w:r w:rsidRPr="00B7238F">
        <w:t>KUMUDINI et al., 2008</w:t>
      </w:r>
      <w:bookmarkEnd w:id="98"/>
      <w:r w:rsidRPr="00B7238F">
        <w:t>). O rápido amarelecimento ou bronzeamento e queda prematura de folhas, impedem a formação total dos grãos. Quanto mais precoce for a desfolha, maiores os danos sobre o rendimento e qualidade de grãos (grãos pequenos e verdes). Em caso de desfolha, ainda nos estádios vegetativos, pode ocorrer aborto de flores e queda prematura de vagens (</w:t>
      </w:r>
      <w:bookmarkStart w:id="99" w:name="_Hlk11840130"/>
      <w:r w:rsidRPr="00B7238F">
        <w:t>YANG et al., 1991; HARTMAN, WANG &amp; TSCHANZ, 1991; YORINORI et al., 2004</w:t>
      </w:r>
      <w:bookmarkEnd w:id="99"/>
      <w:r w:rsidRPr="00B7238F">
        <w:t>, KUMUDINI et al., 2008).</w:t>
      </w:r>
    </w:p>
    <w:p w14:paraId="763D8104" w14:textId="77777777" w:rsidR="006B56E7" w:rsidRPr="00BE14A8" w:rsidRDefault="006B56E7" w:rsidP="003C3EFD">
      <w:pPr>
        <w:spacing w:after="0" w:line="360" w:lineRule="auto"/>
        <w:ind w:firstLine="0"/>
        <w:rPr>
          <w:highlight w:val="yellow"/>
        </w:rPr>
      </w:pPr>
    </w:p>
    <w:p w14:paraId="7469F47B" w14:textId="2CA7510F" w:rsidR="006B56E7" w:rsidRPr="00B7238F" w:rsidRDefault="00877ED1" w:rsidP="003C3EFD">
      <w:pPr>
        <w:pStyle w:val="Ttulo2"/>
        <w:spacing w:before="0" w:after="0" w:line="360" w:lineRule="auto"/>
      </w:pPr>
      <w:bookmarkStart w:id="100" w:name="_Toc22568228"/>
      <w:r>
        <w:t xml:space="preserve">2.5 </w:t>
      </w:r>
      <w:r w:rsidR="006B56E7" w:rsidRPr="00877ED1">
        <w:t>HOSPEDEIROS</w:t>
      </w:r>
      <w:bookmarkEnd w:id="100"/>
    </w:p>
    <w:p w14:paraId="77320247" w14:textId="7C7B0A21" w:rsidR="00B319C3" w:rsidRPr="00B7238F" w:rsidRDefault="00B319C3" w:rsidP="003C3EFD">
      <w:pPr>
        <w:spacing w:after="0" w:line="360" w:lineRule="auto"/>
      </w:pPr>
    </w:p>
    <w:p w14:paraId="34153E14" w14:textId="77777777" w:rsidR="00D0320F" w:rsidRDefault="008D6F82" w:rsidP="003C3EFD">
      <w:pPr>
        <w:spacing w:after="0" w:line="360" w:lineRule="auto"/>
        <w:rPr>
          <w:color w:val="222222"/>
          <w:lang w:val="pt-PT"/>
        </w:rPr>
      </w:pPr>
      <w:r w:rsidRPr="00B7238F">
        <w:t xml:space="preserve">O fungo </w:t>
      </w:r>
      <w:r w:rsidRPr="00B7238F">
        <w:rPr>
          <w:i/>
          <w:iCs/>
        </w:rPr>
        <w:t>P. pachyrhizi</w:t>
      </w:r>
      <w:r w:rsidRPr="00B7238F">
        <w:t xml:space="preserve"> é um patógeno biotrófico que sobrevive em plantas de soja e/ou hospedeiros secundários. Ao contrário de outros agentes causais de ferrugens, </w:t>
      </w:r>
      <w:r w:rsidRPr="00B7238F">
        <w:rPr>
          <w:i/>
          <w:iCs/>
        </w:rPr>
        <w:t xml:space="preserve">P. pachyrhizi </w:t>
      </w:r>
      <w:r w:rsidRPr="00B7238F">
        <w:t>pode naturalmente infectar uma vasta gama de espécies vegetais (</w:t>
      </w:r>
      <w:bookmarkStart w:id="101" w:name="_Hlk11840160"/>
      <w:r w:rsidRPr="00B7238F">
        <w:t>HARTMAN et al., 1999</w:t>
      </w:r>
      <w:bookmarkEnd w:id="101"/>
      <w:r w:rsidRPr="00B7238F">
        <w:t xml:space="preserve">). As espécies infectadas pelo patógeno, pertencem a família Fabaceae, subfamília </w:t>
      </w:r>
      <w:r w:rsidRPr="00B7238F">
        <w:rPr>
          <w:color w:val="222222"/>
          <w:lang w:val="pt-PT"/>
        </w:rPr>
        <w:t>Papilionoideae (</w:t>
      </w:r>
      <w:bookmarkStart w:id="102" w:name="_Hlk11840178"/>
      <w:r w:rsidRPr="00B7238F">
        <w:rPr>
          <w:color w:val="222222"/>
          <w:lang w:val="pt-PT"/>
        </w:rPr>
        <w:t>SLAMINKO et al, 2008</w:t>
      </w:r>
      <w:bookmarkEnd w:id="102"/>
      <w:r w:rsidRPr="00B7238F">
        <w:rPr>
          <w:color w:val="222222"/>
          <w:lang w:val="pt-PT"/>
        </w:rPr>
        <w:t>).</w:t>
      </w:r>
    </w:p>
    <w:p w14:paraId="5AE02D3B" w14:textId="77777777" w:rsidR="00D0320F" w:rsidRDefault="008D6F82" w:rsidP="003C3EFD">
      <w:pPr>
        <w:spacing w:after="0" w:line="360" w:lineRule="auto"/>
        <w:rPr>
          <w:lang w:val="pt-PT"/>
        </w:rPr>
      </w:pPr>
      <w:r w:rsidRPr="00B7238F">
        <w:rPr>
          <w:lang w:val="pt-PT"/>
        </w:rPr>
        <w:t>A subfamília Papilionoideae contém aproximadamente 476 gêneros e 13.860 espécies de plantas (</w:t>
      </w:r>
      <w:bookmarkStart w:id="103" w:name="_Hlk11840193"/>
      <w:r w:rsidRPr="00B7238F">
        <w:rPr>
          <w:lang w:val="pt-PT"/>
        </w:rPr>
        <w:t>DOYLE et al., 2000</w:t>
      </w:r>
      <w:bookmarkEnd w:id="103"/>
      <w:r w:rsidRPr="00B7238F">
        <w:rPr>
          <w:lang w:val="pt-PT"/>
        </w:rPr>
        <w:t xml:space="preserve">), sendo </w:t>
      </w:r>
      <w:r w:rsidRPr="00B7238F">
        <w:t xml:space="preserve">relatada a infecção de </w:t>
      </w:r>
      <w:r w:rsidRPr="00B7238F">
        <w:rPr>
          <w:i/>
          <w:iCs/>
        </w:rPr>
        <w:t>P. pachyrhizi</w:t>
      </w:r>
      <w:r w:rsidRPr="00B7238F">
        <w:t xml:space="preserve"> em 93 espécies, incluindo 42 gêneros de plantas desta subfamília </w:t>
      </w:r>
      <w:r w:rsidRPr="00B7238F">
        <w:rPr>
          <w:lang w:val="pt-PT"/>
        </w:rPr>
        <w:t>(</w:t>
      </w:r>
      <w:bookmarkStart w:id="104" w:name="_Hlk11840208"/>
      <w:r w:rsidRPr="00B7238F">
        <w:rPr>
          <w:lang w:val="pt-PT"/>
        </w:rPr>
        <w:t>RYTTER, DOWLER &amp; BROMFIELD, 1984; ONO, BURITICA &amp; HENNEN, 1992; SCONNYERS et al, 2006; LYNCH et al., 2006</w:t>
      </w:r>
      <w:bookmarkEnd w:id="104"/>
      <w:r w:rsidRPr="00B7238F">
        <w:rPr>
          <w:lang w:val="pt-PT"/>
        </w:rPr>
        <w:t>)</w:t>
      </w:r>
      <w:r w:rsidRPr="00B7238F">
        <w:t>. Complementando, Slaminko et al. (2008)</w:t>
      </w:r>
      <w:r w:rsidRPr="00B7238F">
        <w:rPr>
          <w:i/>
          <w:iCs/>
        </w:rPr>
        <w:t xml:space="preserve"> </w:t>
      </w:r>
      <w:r w:rsidRPr="00B7238F">
        <w:t>encontraram 65 novos hospedeiros distribuídos em 25 gêneros, sendo que 12 destes gêneros não haviam sido relatados como hospedeiros do fungo. Entre as</w:t>
      </w:r>
      <w:r w:rsidRPr="00B7238F">
        <w:rPr>
          <w:lang w:val="pt-PT"/>
        </w:rPr>
        <w:t xml:space="preserve"> novas espécies hospedeiras, 39 apresentaram urédias e uredosporos visíveis. Embora algumas espécies de plantas não apresentem esporulação do fungo, elas foram consideradas hospedeiras porque tiveram a infecção de </w:t>
      </w:r>
      <w:r w:rsidRPr="00B7238F">
        <w:rPr>
          <w:i/>
          <w:lang w:val="pt-PT"/>
        </w:rPr>
        <w:t>P. pachyrhizi</w:t>
      </w:r>
      <w:r w:rsidRPr="00B7238F">
        <w:rPr>
          <w:lang w:val="pt-PT"/>
        </w:rPr>
        <w:t xml:space="preserve"> confirmada pelo teste de  ELISA. </w:t>
      </w:r>
      <w:r w:rsidRPr="00B7238F">
        <w:t xml:space="preserve"> </w:t>
      </w:r>
      <w:r w:rsidRPr="00B7238F">
        <w:rPr>
          <w:lang w:val="pt-PT"/>
        </w:rPr>
        <w:t>Com a introdução do fungo em novas áreas, é provável que o agente causal da  da FAS infecte outras espécies desta subfamília (SLAMINKO et al., 2008).</w:t>
      </w:r>
    </w:p>
    <w:p w14:paraId="12CEB6F6" w14:textId="77777777" w:rsidR="00D0320F" w:rsidRDefault="008D6F82" w:rsidP="003C3EFD">
      <w:pPr>
        <w:spacing w:after="0" w:line="360" w:lineRule="auto"/>
        <w:rPr>
          <w:lang w:val="pt-PT"/>
        </w:rPr>
      </w:pPr>
      <w:r w:rsidRPr="00B7238F">
        <w:rPr>
          <w:lang w:val="pt-PT"/>
        </w:rPr>
        <w:t>As diferenças de esporulação do fungo, entre espécies e/ou genótipos da mesma espécie, sugerem que alguns hospedeiros podem apresentar maior importância epidemiológica (</w:t>
      </w:r>
      <w:bookmarkStart w:id="105" w:name="_Hlk11840254"/>
      <w:r w:rsidRPr="00B7238F">
        <w:rPr>
          <w:lang w:val="pt-PT"/>
        </w:rPr>
        <w:t>BONDE et al., 2008</w:t>
      </w:r>
      <w:bookmarkEnd w:id="105"/>
      <w:r w:rsidRPr="00B7238F">
        <w:rPr>
          <w:lang w:val="pt-PT"/>
        </w:rPr>
        <w:t>; SLAMINKO et al., 2008). Os hospedeiros mais suscetíveis ao patógeno são soja, kudzú (</w:t>
      </w:r>
      <w:r w:rsidRPr="00B7238F">
        <w:rPr>
          <w:i/>
          <w:lang w:val="pt-PT"/>
        </w:rPr>
        <w:t>Pueraria lobata</w:t>
      </w:r>
      <w:r w:rsidRPr="00B7238F">
        <w:rPr>
          <w:shd w:val="clear" w:color="auto" w:fill="FFFFFF"/>
        </w:rPr>
        <w:t xml:space="preserve"> (Willd) Ohwi</w:t>
      </w:r>
      <w:r w:rsidRPr="00B7238F">
        <w:rPr>
          <w:lang w:val="pt-PT"/>
        </w:rPr>
        <w:t>) e ervilha (</w:t>
      </w:r>
      <w:r w:rsidRPr="00B7238F">
        <w:rPr>
          <w:i/>
          <w:lang w:val="pt-PT"/>
        </w:rPr>
        <w:t>Pisium sativum L.</w:t>
      </w:r>
      <w:r w:rsidRPr="00B7238F">
        <w:rPr>
          <w:lang w:val="pt-PT"/>
        </w:rPr>
        <w:t>), baseado em avaliações da densidade de lesões, porcentagem de lesões com esporulação e número médio de uredias por lesão. No entanto, plantas de ervilha infectadas, desfolham rapidamente limitando a produção de uredosporos nesta espécie. A severidade da FAS, apresenta diferença entre genótipos de feijão (</w:t>
      </w:r>
      <w:r w:rsidRPr="00B7238F">
        <w:rPr>
          <w:i/>
          <w:lang w:val="pt-PT"/>
        </w:rPr>
        <w:t>Phaseolus vulgaris</w:t>
      </w:r>
      <w:r w:rsidRPr="00B7238F">
        <w:rPr>
          <w:lang w:val="pt-PT"/>
        </w:rPr>
        <w:t xml:space="preserve"> L.) e isolados de </w:t>
      </w:r>
      <w:r w:rsidRPr="00B7238F">
        <w:rPr>
          <w:i/>
          <w:lang w:val="pt-PT"/>
        </w:rPr>
        <w:t>P. Pachyrhizi</w:t>
      </w:r>
      <w:r w:rsidRPr="00B7238F">
        <w:rPr>
          <w:lang w:val="pt-PT"/>
        </w:rPr>
        <w:t>. Cultivares de feijão produzem numerosas lesões, muitas das quais apresentam esporulação, mas o número de uredias por lesão é menor do que na soja, kudzú e ervilha (</w:t>
      </w:r>
      <w:bookmarkStart w:id="106" w:name="_Hlk11840274"/>
      <w:r w:rsidRPr="00B7238F">
        <w:rPr>
          <w:lang w:val="pt-PT"/>
        </w:rPr>
        <w:t>MILLES et al., 2007</w:t>
      </w:r>
      <w:bookmarkEnd w:id="106"/>
      <w:r w:rsidRPr="00B7238F">
        <w:rPr>
          <w:lang w:val="pt-PT"/>
        </w:rPr>
        <w:t>; BONDE et al., 2008).</w:t>
      </w:r>
    </w:p>
    <w:p w14:paraId="61974D59" w14:textId="77777777" w:rsidR="00D0320F" w:rsidRDefault="008D6F82" w:rsidP="003C3EFD">
      <w:pPr>
        <w:spacing w:after="0" w:line="360" w:lineRule="auto"/>
        <w:rPr>
          <w:lang w:val="pt-PT"/>
        </w:rPr>
      </w:pPr>
      <w:r w:rsidRPr="00B7238F">
        <w:rPr>
          <w:lang w:val="pt-PT"/>
        </w:rPr>
        <w:t>No Brasil, os principais hospedeiros são plantas de soja, feijão, kudzú e  feijão miúdo (</w:t>
      </w:r>
      <w:r w:rsidRPr="00B7238F">
        <w:rPr>
          <w:i/>
          <w:shd w:val="clear" w:color="auto" w:fill="FFFFFF"/>
        </w:rPr>
        <w:t>Vigna unguiculata</w:t>
      </w:r>
      <w:r w:rsidRPr="00B7238F">
        <w:rPr>
          <w:shd w:val="clear" w:color="auto" w:fill="FFFFFF"/>
        </w:rPr>
        <w:t> L. Walp</w:t>
      </w:r>
      <w:r w:rsidRPr="00B7238F">
        <w:rPr>
          <w:lang w:val="pt-PT"/>
        </w:rPr>
        <w:t>) (REIS et al., 2012).</w:t>
      </w:r>
    </w:p>
    <w:p w14:paraId="64A6F12F" w14:textId="536194D3" w:rsidR="008D6F82" w:rsidRPr="00B7238F" w:rsidRDefault="008D6F82" w:rsidP="003C3EFD">
      <w:pPr>
        <w:spacing w:after="0" w:line="360" w:lineRule="auto"/>
        <w:rPr>
          <w:lang w:val="pt-PT"/>
        </w:rPr>
      </w:pPr>
      <w:r w:rsidRPr="00B7238F">
        <w:rPr>
          <w:lang w:val="pt-PT"/>
        </w:rPr>
        <w:t xml:space="preserve">O conhecimento da gama de hospedeiros permite a compreensão das possíveis formas de sobrevivência do patógeno durante a entresafra, o qual irá constituir a fonte de inóculo primário para infecção de plantas de soja no início da estação de crescimento. </w:t>
      </w:r>
    </w:p>
    <w:p w14:paraId="69C8211D" w14:textId="77777777" w:rsidR="00B319C3" w:rsidRPr="00B7238F" w:rsidRDefault="00B319C3" w:rsidP="003C3EFD">
      <w:pPr>
        <w:spacing w:after="0" w:line="360" w:lineRule="auto"/>
      </w:pPr>
    </w:p>
    <w:p w14:paraId="2EAAFD12" w14:textId="2FD2317E" w:rsidR="00B319C3" w:rsidRPr="00B7238F" w:rsidRDefault="00877ED1" w:rsidP="003C3EFD">
      <w:pPr>
        <w:pStyle w:val="Ttulo2"/>
        <w:spacing w:before="0" w:after="0" w:line="360" w:lineRule="auto"/>
      </w:pPr>
      <w:bookmarkStart w:id="107" w:name="_Toc22568229"/>
      <w:r>
        <w:t>2.</w:t>
      </w:r>
      <w:r w:rsidR="00621113">
        <w:t xml:space="preserve">6 </w:t>
      </w:r>
      <w:r w:rsidR="00B319C3" w:rsidRPr="00B7238F">
        <w:t>DANOS</w:t>
      </w:r>
      <w:bookmarkEnd w:id="107"/>
    </w:p>
    <w:p w14:paraId="333C7C89" w14:textId="217AFEA9" w:rsidR="00B319C3" w:rsidRPr="00B7238F" w:rsidRDefault="00B319C3" w:rsidP="003C3EFD">
      <w:pPr>
        <w:spacing w:after="0" w:line="360" w:lineRule="auto"/>
        <w:rPr>
          <w:highlight w:val="yellow"/>
        </w:rPr>
      </w:pPr>
    </w:p>
    <w:p w14:paraId="04504B9B" w14:textId="77777777" w:rsidR="00D0320F" w:rsidRDefault="008D6F82" w:rsidP="003C3EFD">
      <w:pPr>
        <w:spacing w:after="0" w:line="360" w:lineRule="auto"/>
        <w:rPr>
          <w:color w:val="222222"/>
          <w:lang w:val="pt-PT"/>
        </w:rPr>
      </w:pPr>
      <w:r w:rsidRPr="00B7238F">
        <w:t>O dano da FAS sobre o rendimento de grãos de soja, depende do estádio de crescimento da cultura</w:t>
      </w:r>
      <w:r w:rsidR="008F3716" w:rsidRPr="00B7238F">
        <w:t xml:space="preserve"> </w:t>
      </w:r>
      <w:r w:rsidR="00621113" w:rsidRPr="00B7238F">
        <w:t>ocorreram os</w:t>
      </w:r>
      <w:r w:rsidR="008F3716" w:rsidRPr="00B7238F">
        <w:t xml:space="preserve"> primeiros sintomas</w:t>
      </w:r>
      <w:r w:rsidRPr="00B7238F">
        <w:t xml:space="preserve"> e do tempo e intensidade em que a doença </w:t>
      </w:r>
      <w:r w:rsidR="008F3716" w:rsidRPr="00B7238F">
        <w:t xml:space="preserve">permaneceu </w:t>
      </w:r>
      <w:r w:rsidRPr="00B7238F">
        <w:t xml:space="preserve">durante o cultivo </w:t>
      </w:r>
      <w:r w:rsidRPr="00B7238F">
        <w:rPr>
          <w:color w:val="000000"/>
        </w:rPr>
        <w:t>(</w:t>
      </w:r>
      <w:bookmarkStart w:id="108" w:name="_Hlk11840301"/>
      <w:r w:rsidRPr="00B7238F">
        <w:rPr>
          <w:color w:val="000000"/>
        </w:rPr>
        <w:t>DALLA LANA et al., 2015; XAVIER et al., 2015</w:t>
      </w:r>
      <w:bookmarkEnd w:id="108"/>
      <w:r w:rsidRPr="00B7238F">
        <w:rPr>
          <w:color w:val="000000"/>
        </w:rPr>
        <w:t>)</w:t>
      </w:r>
      <w:r w:rsidRPr="00B7238F">
        <w:t>. Epidemias em plantas mais jovens podem levar a uma desfolha precoce do cultivo, comprometendo a formação de vagens, número de grãos por vagem e o peso de grãos (</w:t>
      </w:r>
      <w:bookmarkStart w:id="109" w:name="_Hlk11840331"/>
      <w:r w:rsidRPr="00B7238F">
        <w:t>YANG et al., 1991; YORINORI et al., 2005,</w:t>
      </w:r>
      <w:r w:rsidRPr="00B7238F">
        <w:rPr>
          <w:color w:val="222222"/>
          <w:lang w:val="pt-PT"/>
        </w:rPr>
        <w:t xml:space="preserve"> KUMUDINI et al., 2008</w:t>
      </w:r>
      <w:bookmarkEnd w:id="109"/>
      <w:r w:rsidRPr="00B7238F">
        <w:t xml:space="preserve">). </w:t>
      </w:r>
      <w:r w:rsidRPr="00B7238F">
        <w:rPr>
          <w:color w:val="222222"/>
          <w:lang w:val="pt-PT"/>
        </w:rPr>
        <w:t>A redução da atividade fotossintética, causada pela redução da área foliar através da formação de lesões e desfolha precoce, resulta em menor acumulo de matéria seca e índice de colheita (massa de grãos / massa da planta) (KUMUDINI et al., 2008).</w:t>
      </w:r>
    </w:p>
    <w:p w14:paraId="6307EEE5" w14:textId="77777777" w:rsidR="00D0320F" w:rsidRDefault="008D6F82" w:rsidP="003C3EFD">
      <w:pPr>
        <w:spacing w:after="0" w:line="360" w:lineRule="auto"/>
      </w:pPr>
      <w:r w:rsidRPr="00B7238F">
        <w:t xml:space="preserve">A redução do rendimento de grãos causado pela doença e a intensidade da FAS são influenciadas pelas condições climáticas, época de semeadura, arranjo de plantas, </w:t>
      </w:r>
      <w:r w:rsidRPr="00B7238F">
        <w:rPr>
          <w:color w:val="000000"/>
        </w:rPr>
        <w:t>nível de tolerância e ciclo do cultivar</w:t>
      </w:r>
      <w:r w:rsidRPr="00B7238F">
        <w:t>, densidade de inóculo do fungo e estratégias de controle químico realizadas.</w:t>
      </w:r>
    </w:p>
    <w:p w14:paraId="005CB3D1" w14:textId="77777777" w:rsidR="00D0320F" w:rsidRDefault="008D6F82" w:rsidP="003C3EFD">
      <w:pPr>
        <w:spacing w:after="0" w:line="360" w:lineRule="auto"/>
        <w:rPr>
          <w:color w:val="000000"/>
        </w:rPr>
      </w:pPr>
      <w:r w:rsidRPr="00B7238F">
        <w:t>Foram relatados danos no rendimento de grãos entre 10% e 40% na Tailândia, 10% e 90% na Índia, 10% e 50% no sul da China, 40% no Japão (</w:t>
      </w:r>
      <w:bookmarkStart w:id="110" w:name="_Hlk11840354"/>
      <w:r w:rsidRPr="00B7238F">
        <w:t>SINCLAIR &amp; HARTMAN, 1999</w:t>
      </w:r>
      <w:bookmarkEnd w:id="110"/>
      <w:r w:rsidRPr="00B7238F">
        <w:t>), 23% e 90% em Taiwan (</w:t>
      </w:r>
      <w:bookmarkStart w:id="111" w:name="_Hlk11840368"/>
      <w:r w:rsidRPr="00B7238F">
        <w:t>HARTMAN, WANG &amp; TSCHANZ</w:t>
      </w:r>
      <w:bookmarkEnd w:id="111"/>
      <w:r w:rsidRPr="00B7238F">
        <w:t>) e 40 a 80% no Zimbabwe (</w:t>
      </w:r>
      <w:bookmarkStart w:id="112" w:name="_Hlk11840383"/>
      <w:r w:rsidRPr="00B7238F">
        <w:t>LEVY, 2005</w:t>
      </w:r>
      <w:bookmarkEnd w:id="112"/>
      <w:r w:rsidRPr="00B7238F">
        <w:t xml:space="preserve">). No Paraguai </w:t>
      </w:r>
      <w:bookmarkStart w:id="113" w:name="_Hlk11840399"/>
      <w:r w:rsidRPr="00B7238F">
        <w:t xml:space="preserve">Morel (2001) </w:t>
      </w:r>
      <w:bookmarkEnd w:id="113"/>
      <w:r w:rsidRPr="00B7238F">
        <w:t>cita danos de 50%, e n</w:t>
      </w:r>
      <w:r w:rsidRPr="00B7238F">
        <w:rPr>
          <w:color w:val="000000"/>
        </w:rPr>
        <w:t>o Brasil estimativas de dano relatam variação de 10% a 100% nas diversas regiões geográficas onde foi identificada a doença (</w:t>
      </w:r>
      <w:bookmarkStart w:id="114" w:name="_Hlk11840421"/>
      <w:r w:rsidRPr="00B7238F">
        <w:rPr>
          <w:color w:val="000000"/>
        </w:rPr>
        <w:t>HIKISHIMA et al., 2010; YORINORI &amp; MOREL, 2002</w:t>
      </w:r>
      <w:bookmarkEnd w:id="114"/>
      <w:r w:rsidRPr="00B7238F">
        <w:rPr>
          <w:color w:val="000000"/>
        </w:rPr>
        <w:t>).</w:t>
      </w:r>
    </w:p>
    <w:p w14:paraId="7207DE48" w14:textId="77777777" w:rsidR="00D0320F" w:rsidRDefault="008D6F82" w:rsidP="003C3EFD">
      <w:pPr>
        <w:spacing w:after="0" w:line="360" w:lineRule="auto"/>
      </w:pPr>
      <w:r w:rsidRPr="00B7238F">
        <w:t>Na América do Sul são observados os maiores danos no rendimento de grãos de soja ocasionados pela doença, o que ocorre em virtude do tamanho da área cultivada e da ausência de inverno rigoroso permitindo que o inóculo sobreviva na entressafra, favorecendo a ocorrência da doença na safra seguinte (</w:t>
      </w:r>
      <w:bookmarkStart w:id="115" w:name="_Hlk11840439"/>
      <w:r w:rsidRPr="00B7238F">
        <w:t xml:space="preserve">LI </w:t>
      </w:r>
      <w:r w:rsidRPr="00B7238F">
        <w:rPr>
          <w:iCs/>
        </w:rPr>
        <w:t>et al</w:t>
      </w:r>
      <w:r w:rsidRPr="00B7238F">
        <w:t>., 2010</w:t>
      </w:r>
      <w:bookmarkEnd w:id="115"/>
      <w:r w:rsidRPr="00B7238F">
        <w:t>).</w:t>
      </w:r>
    </w:p>
    <w:p w14:paraId="53E513AC" w14:textId="01CB5EFE" w:rsidR="008D6F82" w:rsidRPr="00B7238F" w:rsidRDefault="008D6F82" w:rsidP="003C3EFD">
      <w:pPr>
        <w:spacing w:after="0" w:line="360" w:lineRule="auto"/>
        <w:rPr>
          <w:highlight w:val="yellow"/>
        </w:rPr>
      </w:pPr>
      <w:r w:rsidRPr="00B7238F">
        <w:rPr>
          <w:lang w:val="es-MX"/>
        </w:rPr>
        <w:t xml:space="preserve">No Brasil, Dalla Lana et al. </w:t>
      </w:r>
      <w:r w:rsidRPr="00B7238F">
        <w:t xml:space="preserve">(2015) relataram redução de 0,41 a 0,79 % no rendimento de grãos para 1% de severidade da FAS no estádio R6. As maiores reduções relativas de rendimento ocorreram quando os primeiros sintomas da doença foram detectados antes do estádio R1, e/ou quando a severidade no estádio R6 foi inferior a 70 % nos tratamentos sem aplicação de fungicidas. No entanto, </w:t>
      </w:r>
      <w:bookmarkStart w:id="116" w:name="_Hlk11840456"/>
      <w:r w:rsidRPr="00B7238F">
        <w:t>Danelli (2015</w:t>
      </w:r>
      <w:bookmarkEnd w:id="116"/>
      <w:r w:rsidRPr="00B7238F">
        <w:t>) e colaboradores encontraram redução no rendimento de grãos de 0,36 a 0,68 % para 1 % de incidência foliolar, e 1,33 a 9,57 % de redução no rendimento para 1 lesão/cm</w:t>
      </w:r>
      <w:r w:rsidRPr="00B7238F">
        <w:rPr>
          <w:vertAlign w:val="superscript"/>
        </w:rPr>
        <w:t>2</w:t>
      </w:r>
      <w:r w:rsidRPr="00B7238F">
        <w:t xml:space="preserve"> de FAS no estádio R5.5. Considerando o tamanho médio de lesão igual a 1 mm</w:t>
      </w:r>
      <w:r w:rsidRPr="00B7238F">
        <w:rPr>
          <w:vertAlign w:val="superscript"/>
        </w:rPr>
        <w:t>2</w:t>
      </w:r>
      <w:r w:rsidRPr="00B7238F">
        <w:t xml:space="preserve"> (REIS et al., 2012), uma lesão/cm</w:t>
      </w:r>
      <w:r w:rsidRPr="00B7238F">
        <w:rPr>
          <w:vertAlign w:val="superscript"/>
        </w:rPr>
        <w:t>2</w:t>
      </w:r>
      <w:r w:rsidRPr="00B7238F">
        <w:t xml:space="preserve"> de FAS representaria 1% de severidade da doença. Com isto, os dados obtidos por </w:t>
      </w:r>
      <w:bookmarkStart w:id="117" w:name="_Hlk11840480"/>
      <w:r w:rsidRPr="00B7238F">
        <w:t xml:space="preserve">Danelli et al. (2015) </w:t>
      </w:r>
      <w:bookmarkEnd w:id="117"/>
      <w:r w:rsidRPr="00B7238F">
        <w:t>demonstram maior potencial de dano que os obtidos por Dalla Lana et al. (2015).</w:t>
      </w:r>
    </w:p>
    <w:p w14:paraId="5DDA5553" w14:textId="5AC5FDD7" w:rsidR="00B319C3" w:rsidRDefault="00B319C3" w:rsidP="003C3EFD">
      <w:pPr>
        <w:spacing w:after="0" w:line="360" w:lineRule="auto"/>
        <w:rPr>
          <w:highlight w:val="yellow"/>
        </w:rPr>
      </w:pPr>
    </w:p>
    <w:p w14:paraId="71E9359B" w14:textId="7504290B" w:rsidR="00B319C3" w:rsidRPr="00B7238F" w:rsidRDefault="00621113" w:rsidP="005F7854">
      <w:pPr>
        <w:pStyle w:val="Ttulo2"/>
        <w:spacing w:before="0" w:after="0" w:line="360" w:lineRule="auto"/>
      </w:pPr>
      <w:bookmarkStart w:id="118" w:name="_Toc22568230"/>
      <w:r>
        <w:t xml:space="preserve">2.7 </w:t>
      </w:r>
      <w:r w:rsidR="00B319C3" w:rsidRPr="00B7238F">
        <w:t>MEDIDAS DE CONTROLE</w:t>
      </w:r>
      <w:bookmarkEnd w:id="118"/>
    </w:p>
    <w:p w14:paraId="3C8D2A9D" w14:textId="3C529426" w:rsidR="00B319C3" w:rsidRPr="00B7238F" w:rsidRDefault="00B319C3" w:rsidP="005F7854">
      <w:pPr>
        <w:spacing w:after="0" w:line="360" w:lineRule="auto"/>
      </w:pPr>
    </w:p>
    <w:p w14:paraId="3DF8B4E1" w14:textId="73E43BEB" w:rsidR="008D6F82" w:rsidRPr="00B7238F" w:rsidRDefault="008D6F82" w:rsidP="005F7854">
      <w:pPr>
        <w:spacing w:after="0" w:line="360" w:lineRule="auto"/>
        <w:rPr>
          <w:color w:val="000000"/>
        </w:rPr>
      </w:pPr>
      <w:r w:rsidRPr="00B7238F">
        <w:t>Em virtude de não existirem cultivares de soja com níveis de resistência genética satisfatória para evitar os danos da FAS, as principais medidas de controle da doença baseiam-se em estratégias que visam a diminuição da fonte de inóculo primário, a utilização de fungicidas e o escape. Entre estas estratégias de controle encontram-se o vazio sanitário, a semeadura no início da época recomendada, utilização de cultivares precoces e aplicação de fungicidas</w:t>
      </w:r>
      <w:r w:rsidRPr="00B7238F">
        <w:rPr>
          <w:color w:val="000000"/>
        </w:rPr>
        <w:t xml:space="preserve"> </w:t>
      </w:r>
      <w:r w:rsidRPr="00B7238F">
        <w:t>(</w:t>
      </w:r>
      <w:bookmarkStart w:id="119" w:name="_Hlk11840500"/>
      <w:r w:rsidRPr="00B7238F">
        <w:t xml:space="preserve">XAVIER et al., 2015; </w:t>
      </w:r>
      <w:r w:rsidRPr="00B7238F">
        <w:rPr>
          <w:color w:val="000000"/>
        </w:rPr>
        <w:t>GODOY et al., 201</w:t>
      </w:r>
      <w:bookmarkEnd w:id="119"/>
      <w:r w:rsidR="00166D40" w:rsidRPr="00B7238F">
        <w:rPr>
          <w:color w:val="000000"/>
        </w:rPr>
        <w:t>8</w:t>
      </w:r>
      <w:r w:rsidRPr="00B7238F">
        <w:rPr>
          <w:color w:val="000000"/>
        </w:rPr>
        <w:t>).</w:t>
      </w:r>
    </w:p>
    <w:p w14:paraId="4C03DC37" w14:textId="77777777" w:rsidR="008D6F82" w:rsidRPr="00B7238F" w:rsidRDefault="008D6F82" w:rsidP="005F7854">
      <w:pPr>
        <w:spacing w:after="0" w:line="360" w:lineRule="auto"/>
      </w:pPr>
    </w:p>
    <w:p w14:paraId="5DBB5038" w14:textId="208B23CD" w:rsidR="00B319C3" w:rsidRDefault="00621113" w:rsidP="005F7854">
      <w:pPr>
        <w:pStyle w:val="Ttulo3"/>
        <w:spacing w:before="0" w:after="0" w:line="360" w:lineRule="auto"/>
      </w:pPr>
      <w:bookmarkStart w:id="120" w:name="_Toc22568231"/>
      <w:r>
        <w:t xml:space="preserve">2.7.1 </w:t>
      </w:r>
      <w:r w:rsidR="00B319C3" w:rsidRPr="00B7238F">
        <w:t>C</w:t>
      </w:r>
      <w:r>
        <w:t>ontrole cultural</w:t>
      </w:r>
      <w:bookmarkEnd w:id="120"/>
    </w:p>
    <w:p w14:paraId="14E9463E" w14:textId="77777777" w:rsidR="00621113" w:rsidRPr="00621113" w:rsidRDefault="00621113" w:rsidP="005F7854">
      <w:pPr>
        <w:spacing w:after="0" w:line="360" w:lineRule="auto"/>
        <w:rPr>
          <w:highlight w:val="yellow"/>
        </w:rPr>
      </w:pPr>
    </w:p>
    <w:p w14:paraId="381A39C4" w14:textId="193A1397" w:rsidR="00C42BCF" w:rsidRDefault="008D6F82" w:rsidP="005F7854">
      <w:pPr>
        <w:spacing w:after="0" w:line="360" w:lineRule="auto"/>
      </w:pPr>
      <w:r w:rsidRPr="00B7238F">
        <w:t>A semeadura de cultivares precoces no início da época recomendada; adequação do arranjo de plantas; adubação equilibrada; eliminação de plantas voluntárias e hospedeiros secundários; e ausência de cultivo de soja segunda safra (vazio sanitário) são estratégias de controle cultural recomendadas visando a redução dos danos da FAS (</w:t>
      </w:r>
      <w:bookmarkStart w:id="121" w:name="_Hlk11840530"/>
      <w:r w:rsidRPr="00B7238F">
        <w:t>MADALLOSO, et al., 2010</w:t>
      </w:r>
      <w:bookmarkEnd w:id="121"/>
      <w:r w:rsidRPr="00B7238F">
        <w:t xml:space="preserve">; REUNIÃO, 2014; GODOY et al., 2015). </w:t>
      </w:r>
    </w:p>
    <w:p w14:paraId="2DF9E87F" w14:textId="77777777" w:rsidR="00C42BCF" w:rsidRDefault="00C42BCF" w:rsidP="005F7854">
      <w:pPr>
        <w:spacing w:after="0" w:line="360" w:lineRule="auto"/>
        <w:ind w:firstLine="0"/>
      </w:pPr>
    </w:p>
    <w:p w14:paraId="3E6FB5FE" w14:textId="261EF946" w:rsidR="0080460E" w:rsidRDefault="00B319C3" w:rsidP="005F7854">
      <w:pPr>
        <w:pStyle w:val="Ttulo4"/>
        <w:spacing w:before="0" w:after="0" w:line="360" w:lineRule="auto"/>
      </w:pPr>
      <w:r w:rsidRPr="00B7238F">
        <w:t xml:space="preserve"> </w:t>
      </w:r>
      <w:bookmarkStart w:id="122" w:name="_Toc22568232"/>
      <w:r w:rsidRPr="00B7238F">
        <w:t>2.7.1.1</w:t>
      </w:r>
      <w:r w:rsidR="004138DA" w:rsidRPr="00B7238F">
        <w:t xml:space="preserve"> E</w:t>
      </w:r>
      <w:r w:rsidR="00753AA6">
        <w:t xml:space="preserve">liminação de </w:t>
      </w:r>
      <w:r w:rsidR="00C42BCF">
        <w:t>plantas voluntárias e hospedeiros secundários</w:t>
      </w:r>
      <w:bookmarkEnd w:id="122"/>
    </w:p>
    <w:p w14:paraId="0D4DA8D5" w14:textId="77777777" w:rsidR="00C42BCF" w:rsidRPr="00C42BCF" w:rsidRDefault="00C42BCF" w:rsidP="005F7854">
      <w:pPr>
        <w:spacing w:after="0" w:line="360" w:lineRule="auto"/>
        <w:rPr>
          <w:highlight w:val="yellow"/>
        </w:rPr>
      </w:pPr>
    </w:p>
    <w:p w14:paraId="52256A3A" w14:textId="591598D5" w:rsidR="0080460E" w:rsidRPr="00B7238F" w:rsidRDefault="0080460E" w:rsidP="00323645">
      <w:pPr>
        <w:spacing w:after="0" w:line="360" w:lineRule="auto"/>
      </w:pPr>
      <w:r w:rsidRPr="00B7238F">
        <w:t xml:space="preserve">A eliminação de plantas voluntárias e hospedeiros secundários, durante o período de entressafra resulta na ausência de hospedeiros para a sobrevivência e reprodução de </w:t>
      </w:r>
      <w:r w:rsidRPr="00B7238F">
        <w:rPr>
          <w:i/>
        </w:rPr>
        <w:t>P. pachyrhizi</w:t>
      </w:r>
      <w:r w:rsidRPr="00B7238F">
        <w:t xml:space="preserve">. Em virtude de ser um patógeno biotrófico, nestas condições a densidade de inóculo do fungo no início da próxima safra será menor, e consequentemente pode haver atraso na ocorrência de epidemias da FAS na próxima estação de cultivo. </w:t>
      </w:r>
    </w:p>
    <w:p w14:paraId="10B96E12" w14:textId="77777777" w:rsidR="006065D0" w:rsidRDefault="0080460E" w:rsidP="00323645">
      <w:pPr>
        <w:spacing w:after="0" w:line="360" w:lineRule="auto"/>
      </w:pPr>
      <w:r w:rsidRPr="00B7238F">
        <w:t xml:space="preserve">No Brasil é recomendada a realização do vazio sanitário, que consiste na ausência de plantas de soja por um período </w:t>
      </w:r>
      <w:r w:rsidR="00C76706" w:rsidRPr="00B7238F">
        <w:t>de ao menos</w:t>
      </w:r>
      <w:r w:rsidRPr="00B7238F">
        <w:t xml:space="preserve"> </w:t>
      </w:r>
      <w:r w:rsidR="00C76706" w:rsidRPr="00B7238F">
        <w:t>6</w:t>
      </w:r>
      <w:r w:rsidRPr="00B7238F">
        <w:t>0 dias, variando conforme a região e época de semeadura.</w:t>
      </w:r>
      <w:r w:rsidR="00C76706" w:rsidRPr="00B7238F">
        <w:t xml:space="preserve"> </w:t>
      </w:r>
      <w:r w:rsidR="00C76706" w:rsidRPr="00B7238F">
        <w:rPr>
          <w:rFonts w:eastAsia="Times New Roman"/>
          <w:lang w:eastAsia="pt-BR"/>
        </w:rPr>
        <w:t>No Brasil treze estados</w:t>
      </w:r>
      <w:r w:rsidR="0033592F" w:rsidRPr="00B7238F">
        <w:rPr>
          <w:rFonts w:eastAsia="Times New Roman"/>
          <w:lang w:eastAsia="pt-BR"/>
        </w:rPr>
        <w:t xml:space="preserve"> (MT, MS, GO, SP, MG, PR, SC, BA, PI, TO, PA, RO, MA)</w:t>
      </w:r>
      <w:r w:rsidR="00C76706" w:rsidRPr="00B7238F">
        <w:rPr>
          <w:rFonts w:eastAsia="Times New Roman"/>
          <w:lang w:eastAsia="pt-BR"/>
        </w:rPr>
        <w:t xml:space="preserve"> e o Distrito Federal adotaram essa medida, estabelecida por meio de normativas. </w:t>
      </w:r>
      <w:r w:rsidR="00C76706" w:rsidRPr="00B7238F">
        <w:rPr>
          <w:rFonts w:eastAsia="Times New Roman"/>
          <w:bCs/>
          <w:lang w:eastAsia="pt-BR"/>
        </w:rPr>
        <w:t>O objetivo do vazio sanitário é reduzir a sobrevivência do fungo causador da ferrugem asiática durante a entressafra e assim atrasar a ocorrência da doença na safra</w:t>
      </w:r>
      <w:r w:rsidR="0033592F" w:rsidRPr="00B7238F">
        <w:rPr>
          <w:rFonts w:eastAsia="Times New Roman"/>
          <w:bCs/>
          <w:lang w:eastAsia="pt-BR"/>
        </w:rPr>
        <w:t xml:space="preserve"> </w:t>
      </w:r>
      <w:r w:rsidRPr="00B7238F">
        <w:t>(</w:t>
      </w:r>
      <w:bookmarkStart w:id="123" w:name="_Hlk11840549"/>
      <w:r w:rsidRPr="00B7238F">
        <w:t>SEIXAS &amp; GODOY, 2007</w:t>
      </w:r>
      <w:bookmarkEnd w:id="123"/>
      <w:r w:rsidRPr="00B7238F">
        <w:t>; GODOY et al., 2015</w:t>
      </w:r>
      <w:r w:rsidR="0033592F" w:rsidRPr="00B7238F">
        <w:t>, EMBRAPA, 2019</w:t>
      </w:r>
      <w:r w:rsidRPr="00B7238F">
        <w:t>).</w:t>
      </w:r>
    </w:p>
    <w:p w14:paraId="7A9196CE" w14:textId="176401B6" w:rsidR="00B319C3" w:rsidRPr="00B7238F" w:rsidRDefault="00B319C3" w:rsidP="005F7854">
      <w:pPr>
        <w:pStyle w:val="Ttulo4"/>
        <w:spacing w:before="0" w:after="0" w:line="360" w:lineRule="auto"/>
      </w:pPr>
      <w:r w:rsidRPr="00B7238F">
        <w:t xml:space="preserve"> </w:t>
      </w:r>
      <w:bookmarkStart w:id="124" w:name="_Toc22568233"/>
      <w:r w:rsidRPr="00B7238F">
        <w:t>2.7.1.2</w:t>
      </w:r>
      <w:r w:rsidR="0080460E" w:rsidRPr="00B7238F">
        <w:t xml:space="preserve"> É</w:t>
      </w:r>
      <w:r w:rsidR="006065D0">
        <w:t>poca de semeadura</w:t>
      </w:r>
      <w:bookmarkEnd w:id="124"/>
    </w:p>
    <w:p w14:paraId="4352058A" w14:textId="3CAB6051" w:rsidR="0080460E" w:rsidRPr="00B7238F" w:rsidRDefault="0080460E" w:rsidP="005F7854">
      <w:pPr>
        <w:spacing w:after="0" w:line="360" w:lineRule="auto"/>
        <w:rPr>
          <w:highlight w:val="yellow"/>
        </w:rPr>
      </w:pPr>
    </w:p>
    <w:p w14:paraId="70B46B7A" w14:textId="191B7C88" w:rsidR="0080460E" w:rsidRPr="00B7238F" w:rsidRDefault="0080460E" w:rsidP="005F7854">
      <w:pPr>
        <w:spacing w:after="0" w:line="360" w:lineRule="auto"/>
      </w:pPr>
      <w:r w:rsidRPr="00B7238F">
        <w:t>A época de semeadura influencia o desenvolvimento da cultura da soja e a dinâmica de ocorrência da FAS. Quando ocorre a semeadura no início da época recomendada a cultura é exposta a maior radiação solar e fotoperíodo, resultando em maior período de crescimento e índice de área foliar (IAF). Com isto, semeaduras mais precoces resultam em maior tempo para atingir a intensidade máxima da FAS (</w:t>
      </w:r>
      <w:bookmarkStart w:id="125" w:name="_Hlk11840563"/>
      <w:r w:rsidRPr="00B7238F">
        <w:t>MOREIRA et al., 2015</w:t>
      </w:r>
      <w:bookmarkEnd w:id="125"/>
      <w:r w:rsidRPr="00B7238F">
        <w:t>).</w:t>
      </w:r>
    </w:p>
    <w:p w14:paraId="548C23B3" w14:textId="77777777" w:rsidR="0080460E" w:rsidRPr="00B7238F" w:rsidRDefault="0080460E" w:rsidP="005F7854">
      <w:pPr>
        <w:spacing w:after="0" w:line="360" w:lineRule="auto"/>
      </w:pPr>
      <w:r w:rsidRPr="00B7238F">
        <w:t xml:space="preserve">A densidade do inóculo de </w:t>
      </w:r>
      <w:r w:rsidRPr="00B7238F">
        <w:rPr>
          <w:i/>
        </w:rPr>
        <w:t xml:space="preserve">P. pachyrhizi </w:t>
      </w:r>
      <w:r w:rsidRPr="00B7238F">
        <w:t>é menor em lavouras de soja semeadas no início da época recomendada, ocorrendo o aumento da densidade de uredosporos no ar no início da época de semeadura até o final da estação de cultivo (</w:t>
      </w:r>
      <w:bookmarkStart w:id="126" w:name="_Hlk11840575"/>
      <w:r w:rsidRPr="00B7238F">
        <w:t>NASCIMENTO et al., 2012</w:t>
      </w:r>
      <w:bookmarkEnd w:id="126"/>
      <w:r w:rsidRPr="00B7238F">
        <w:t>). A menor densidade de inóculo do patógeno em lavouras semeadas no início da estação de cultivo, resulta no atraso da detecção dos primeiros sintomas da doença, menor taxa de progresso, maior tempo para atingir a severidade máxima, menor intensidade de doença no final do enchimento de grãos e menor dano no rendimento da cultura (</w:t>
      </w:r>
      <w:bookmarkStart w:id="127" w:name="_Hlk11840595"/>
      <w:r w:rsidRPr="00B7238F">
        <w:t>TWIZEYIMANA et al., 2011; NASCIMENTO et al., 2012</w:t>
      </w:r>
      <w:bookmarkEnd w:id="127"/>
      <w:r w:rsidRPr="00B7238F">
        <w:t>; MOREIRA et al., 2015).</w:t>
      </w:r>
    </w:p>
    <w:p w14:paraId="62BABDD9" w14:textId="4E853231" w:rsidR="00B319C3" w:rsidRPr="00B7238F" w:rsidRDefault="0080460E" w:rsidP="005F7854">
      <w:pPr>
        <w:spacing w:after="0" w:line="360" w:lineRule="auto"/>
        <w:rPr>
          <w:b/>
        </w:rPr>
      </w:pPr>
      <w:r w:rsidRPr="00B7238F">
        <w:rPr>
          <w:lang w:val="pt-PT"/>
        </w:rPr>
        <w:t>No Brasil, o uso de cultivar precoce de soja semeada no início da época recomendada, é uma das práticas de manejo para reduzir o dano causado pela FAS (</w:t>
      </w:r>
      <w:bookmarkStart w:id="128" w:name="_Hlk11840611"/>
      <w:r w:rsidRPr="00B7238F">
        <w:rPr>
          <w:lang w:val="pt-PT"/>
        </w:rPr>
        <w:t>OLIVEIRA, GODOY &amp; MARTINS, 2005</w:t>
      </w:r>
      <w:bookmarkEnd w:id="128"/>
      <w:r w:rsidRPr="00B7238F">
        <w:rPr>
          <w:lang w:val="pt-PT"/>
        </w:rPr>
        <w:t>). Nesta situação, a cultura será exposta a menor densidade de inóculo em estádios iniciais, bem como será reduzido o tempo de exposição ao patógeno no campo. No entanto, o atraso da época de semeadura favorece a ocorrência da FAS, resultando em maior severidade da doença e redução no rendimento de grãos (</w:t>
      </w:r>
      <w:bookmarkStart w:id="129" w:name="_Hlk11840627"/>
      <w:r w:rsidRPr="00B7238F">
        <w:rPr>
          <w:lang w:val="pt-PT"/>
        </w:rPr>
        <w:t>TWIZEYIMANA et al., 2011</w:t>
      </w:r>
      <w:bookmarkEnd w:id="129"/>
      <w:r w:rsidRPr="00B7238F">
        <w:rPr>
          <w:lang w:val="pt-PT"/>
        </w:rPr>
        <w:t>; MOREIRA et al., 2015).</w:t>
      </w:r>
      <w:r w:rsidRPr="00B7238F">
        <w:tab/>
      </w:r>
      <w:r w:rsidRPr="00B7238F">
        <w:tab/>
      </w:r>
    </w:p>
    <w:p w14:paraId="7251790B" w14:textId="77777777" w:rsidR="0080460E" w:rsidRPr="00B7238F" w:rsidRDefault="0080460E" w:rsidP="005F7854">
      <w:pPr>
        <w:spacing w:after="0" w:line="360" w:lineRule="auto"/>
      </w:pPr>
    </w:p>
    <w:p w14:paraId="721E97BE" w14:textId="6B8D8A8E" w:rsidR="0080460E" w:rsidRDefault="00B319C3" w:rsidP="005F7854">
      <w:pPr>
        <w:pStyle w:val="Ttulo4"/>
        <w:spacing w:before="0" w:after="0" w:line="360" w:lineRule="auto"/>
      </w:pPr>
      <w:r w:rsidRPr="00B7238F">
        <w:t xml:space="preserve">     </w:t>
      </w:r>
      <w:bookmarkStart w:id="130" w:name="_Toc22568234"/>
      <w:r w:rsidRPr="00B7238F">
        <w:t>2.7.1.</w:t>
      </w:r>
      <w:r w:rsidR="0080460E" w:rsidRPr="00B7238F">
        <w:t>3 A</w:t>
      </w:r>
      <w:r w:rsidR="006065D0">
        <w:t>rranjo de plantas</w:t>
      </w:r>
      <w:bookmarkEnd w:id="130"/>
    </w:p>
    <w:p w14:paraId="30094D04" w14:textId="77777777" w:rsidR="006065D0" w:rsidRPr="006065D0" w:rsidRDefault="006065D0" w:rsidP="005F7854">
      <w:pPr>
        <w:spacing w:after="0" w:line="360" w:lineRule="auto"/>
        <w:rPr>
          <w:highlight w:val="yellow"/>
        </w:rPr>
      </w:pPr>
    </w:p>
    <w:p w14:paraId="238FC9A1" w14:textId="121DE5FA" w:rsidR="0080460E" w:rsidRPr="00B7238F" w:rsidRDefault="0080460E" w:rsidP="005F7854">
      <w:pPr>
        <w:spacing w:after="0" w:line="360" w:lineRule="auto"/>
        <w:rPr>
          <w:highlight w:val="yellow"/>
        </w:rPr>
      </w:pPr>
      <w:r w:rsidRPr="00B7238F">
        <w:t>O arranjo de plantas de soja influencia fatores de predisposição para a ocorrência da FAS, como temperatura, molhamento foliolar, radiação solar e pode dificultar a deposição de fungicidas no dossel das plantas. A maior densidade de plantas pode favorecer o fechamento mais rápido das entrelinhas (</w:t>
      </w:r>
      <w:bookmarkStart w:id="131" w:name="_Hlk11840645"/>
      <w:r w:rsidRPr="00B7238F">
        <w:t>HEIFFIG et al., 2006</w:t>
      </w:r>
      <w:bookmarkEnd w:id="131"/>
      <w:r w:rsidRPr="00B7238F">
        <w:t>), proporcionando maior período de molhamento foliolar (</w:t>
      </w:r>
      <w:bookmarkStart w:id="132" w:name="_Hlk11840657"/>
      <w:r w:rsidRPr="00B7238F">
        <w:t>IGARASHI et al.,2014</w:t>
      </w:r>
      <w:bookmarkEnd w:id="132"/>
      <w:r w:rsidRPr="00B7238F">
        <w:t xml:space="preserve">), menor radiação solar incidente e temperatura no interior do dossel das plantas de soja. Estas condições, favorecem períodos críticos para infecção do fungo, o que pode resultar em maior intensidade da FAS. Segundo Madalosso et al. (2010) a redução do espaçamento de entre-linhas de 60 para 40 cm proporciona maior taxa de progresso da FAS, intensidade da doença e menor eficácia de controle. Entretanto, </w:t>
      </w:r>
      <w:bookmarkStart w:id="133" w:name="_Hlk11840678"/>
      <w:r w:rsidRPr="00B7238F">
        <w:t xml:space="preserve">Roese (2012) e colaboradores </w:t>
      </w:r>
      <w:bookmarkEnd w:id="133"/>
      <w:r w:rsidRPr="00B7238F">
        <w:t xml:space="preserve">relataram que o efeito do espaçamento de entre-linhas na severidade da FAS é variável, dependendo da safra e cultivar. Quando foram observadas diferenças entre espaçamentos de entre-linhas, o aumento para distâncias superiores a 45 cm proporcionou redução na severidade da doença. Igarashi (2014) não encontrou diferenças na detecção dos primeiros sintomas e desenvolvimento da FAS para espaçamentos de entre-linhas, mas observaram maior período de molhamento foliolar no terço médio das plantas de soja em cultivos mais adensados. As diferenças de resultados destes estudos, podem estar relacionadas a densidade de inóculo, cultivares e condições climáticas. </w:t>
      </w:r>
    </w:p>
    <w:p w14:paraId="6BE87DDA" w14:textId="042E3550" w:rsidR="0080460E" w:rsidRPr="00B7238F" w:rsidRDefault="0080460E" w:rsidP="005F7854">
      <w:pPr>
        <w:spacing w:after="0" w:line="360" w:lineRule="auto"/>
      </w:pPr>
      <w:r w:rsidRPr="00B7238F">
        <w:t>Em condições de maior adensamento de plantas há dificuldade de deposição do fungicida no dossel da planta, principalmente do terço médio e inferior. Com a menor penetração e cobertura de gotas, o ingrediente ativo não consegue atingir o alvo biológico em quantidade e qualidade necessários, o que pode reduzir o residual e a eficiência de controle da FAS (</w:t>
      </w:r>
      <w:bookmarkStart w:id="134" w:name="_Hlk11840703"/>
      <w:r w:rsidRPr="00B7238F">
        <w:t>NAVARINI, 2008</w:t>
      </w:r>
      <w:bookmarkEnd w:id="134"/>
      <w:r w:rsidRPr="00B7238F">
        <w:t>; MADALOSSO et al., 2010).</w:t>
      </w:r>
    </w:p>
    <w:p w14:paraId="394AA00B" w14:textId="77777777" w:rsidR="00B319C3" w:rsidRPr="00B7238F" w:rsidRDefault="00B319C3" w:rsidP="005F7854">
      <w:pPr>
        <w:spacing w:after="0" w:line="360" w:lineRule="auto"/>
        <w:rPr>
          <w:highlight w:val="yellow"/>
        </w:rPr>
      </w:pPr>
    </w:p>
    <w:p w14:paraId="0C5FE566" w14:textId="6A5FE09C" w:rsidR="00CA6CFD" w:rsidRDefault="00E45B01" w:rsidP="005F7854">
      <w:pPr>
        <w:pStyle w:val="Ttulo3"/>
        <w:spacing w:before="0" w:after="0" w:line="360" w:lineRule="auto"/>
      </w:pPr>
      <w:bookmarkStart w:id="135" w:name="_Toc22568235"/>
      <w:r>
        <w:t xml:space="preserve">2.7.2 </w:t>
      </w:r>
      <w:r w:rsidR="00DB7F00" w:rsidRPr="00B7238F">
        <w:t>C</w:t>
      </w:r>
      <w:r>
        <w:t>ontrole genético</w:t>
      </w:r>
      <w:bookmarkEnd w:id="135"/>
    </w:p>
    <w:p w14:paraId="7B38BF13" w14:textId="77777777" w:rsidR="00E45B01" w:rsidRPr="00E45B01" w:rsidRDefault="00E45B01" w:rsidP="005F7854">
      <w:pPr>
        <w:spacing w:after="0" w:line="360" w:lineRule="auto"/>
        <w:rPr>
          <w:highlight w:val="yellow"/>
        </w:rPr>
      </w:pPr>
    </w:p>
    <w:p w14:paraId="5C5241C8" w14:textId="77777777" w:rsidR="00C6472E" w:rsidRPr="00B7238F" w:rsidRDefault="00DB7F00" w:rsidP="005F7854">
      <w:pPr>
        <w:spacing w:after="0" w:line="360" w:lineRule="auto"/>
      </w:pPr>
      <w:r w:rsidRPr="00B7238F">
        <w:t xml:space="preserve">Não há cultivares de soja com resistência duradoura a todos os isolados de </w:t>
      </w:r>
      <w:r w:rsidRPr="00B7238F">
        <w:rPr>
          <w:i/>
        </w:rPr>
        <w:t>P. pachyrhizi</w:t>
      </w:r>
      <w:r w:rsidRPr="00B7238F">
        <w:t xml:space="preserve"> </w:t>
      </w:r>
      <w:r w:rsidR="00C6472E" w:rsidRPr="00B7238F">
        <w:t>(</w:t>
      </w:r>
      <w:bookmarkStart w:id="136" w:name="_Hlk11840799"/>
      <w:r w:rsidR="00C6472E" w:rsidRPr="00B7238F">
        <w:t>KAWASHIMA et al., 2016</w:t>
      </w:r>
      <w:bookmarkEnd w:id="136"/>
      <w:r w:rsidR="00C6472E" w:rsidRPr="00B7238F">
        <w:t xml:space="preserve">), e em virtude da intensidade e frequência de ocorrência da FAS nas regiões produtoras de soja no Brasil </w:t>
      </w:r>
      <w:r w:rsidRPr="00B7238F">
        <w:t xml:space="preserve">é necessária a aplicação de fungicidas para controlar a doença. </w:t>
      </w:r>
    </w:p>
    <w:p w14:paraId="0E444D23" w14:textId="77777777" w:rsidR="00D0320F" w:rsidRDefault="00DB7F00" w:rsidP="005F7854">
      <w:pPr>
        <w:spacing w:after="0" w:line="360" w:lineRule="auto"/>
      </w:pPr>
      <w:r w:rsidRPr="00B7238F">
        <w:t xml:space="preserve">Considerando o custo de controle, o impacto ambiental em virtude da aplicação de fungicidas e a redução de eficiência de fungicidas, torna-se fundamental a obtenção de cultivares com resistência genética duradoura à </w:t>
      </w:r>
      <w:r w:rsidRPr="00B7238F">
        <w:rPr>
          <w:i/>
        </w:rPr>
        <w:t>P. pachyrhizi</w:t>
      </w:r>
      <w:r w:rsidRPr="00B7238F">
        <w:t xml:space="preserve"> como estratégia de manejo para reduzir os danos causados pela doença.</w:t>
      </w:r>
    </w:p>
    <w:p w14:paraId="2550F9B0" w14:textId="77777777" w:rsidR="00D0320F" w:rsidRDefault="00C6472E" w:rsidP="005F7854">
      <w:pPr>
        <w:spacing w:after="0" w:line="360" w:lineRule="auto"/>
      </w:pPr>
      <w:r w:rsidRPr="00B7238F">
        <w:t>O conhecimento da variabilidade genética do patógeno é importante para que os programas de melhoramento genético possam realizar seu planejamento estratégico, uma vez que a probabilidade de quebra de resistência, quando variedades contendo apenas um gene de resistência vertical são desenvolvidas, é maior na medida em que a variabilidade do patógeno aumenta (</w:t>
      </w:r>
      <w:bookmarkStart w:id="137" w:name="_Hlk11840812"/>
      <w:r w:rsidRPr="00B7238F">
        <w:t>TSCHURTSCHENTHALER et al., 2012</w:t>
      </w:r>
      <w:bookmarkEnd w:id="137"/>
      <w:r w:rsidRPr="00B7238F">
        <w:t>).</w:t>
      </w:r>
    </w:p>
    <w:p w14:paraId="72628C5F" w14:textId="56E4DF22" w:rsidR="00C6472E" w:rsidRPr="00B7238F" w:rsidRDefault="00C6472E" w:rsidP="005F7854">
      <w:pPr>
        <w:spacing w:after="0" w:line="360" w:lineRule="auto"/>
      </w:pPr>
      <w:r w:rsidRPr="00B7238F">
        <w:t>Existe variabilidade em populações de</w:t>
      </w:r>
      <w:r w:rsidRPr="00B7238F">
        <w:rPr>
          <w:i/>
        </w:rPr>
        <w:t xml:space="preserve"> P. pachyrhizi </w:t>
      </w:r>
      <w:r w:rsidRPr="00B7238F">
        <w:t>em relação à virulência do patógeno</w:t>
      </w:r>
      <w:r w:rsidRPr="00B7238F">
        <w:rPr>
          <w:i/>
        </w:rPr>
        <w:t xml:space="preserve"> </w:t>
      </w:r>
      <w:r w:rsidRPr="00B7238F">
        <w:t>(</w:t>
      </w:r>
      <w:bookmarkStart w:id="138" w:name="_Hlk11840828"/>
      <w:r w:rsidRPr="00B7238F">
        <w:t>SINCLAIR &amp; HARTMAN, 1999; YAMAOKA et al., 2002; BONDE et al., 2006; FREIRE et al., 2008</w:t>
      </w:r>
      <w:bookmarkEnd w:id="138"/>
      <w:r w:rsidRPr="00B7238F">
        <w:t>).  Apesar disto são escassas informações sobre o número de raças do fungo (</w:t>
      </w:r>
      <w:bookmarkStart w:id="139" w:name="_Hlk11840854"/>
      <w:r w:rsidRPr="00B7238F">
        <w:t>ANDERSON et al., 2008</w:t>
      </w:r>
      <w:bookmarkEnd w:id="139"/>
      <w:r w:rsidRPr="00B7238F">
        <w:t>). No Japão, foram identificadas 18 raças patogênicas de</w:t>
      </w:r>
      <w:r w:rsidRPr="00B7238F">
        <w:rPr>
          <w:i/>
        </w:rPr>
        <w:t xml:space="preserve"> P. pachyrhizi</w:t>
      </w:r>
      <w:r w:rsidRPr="00B7238F">
        <w:t xml:space="preserve"> em isolados coletados em </w:t>
      </w:r>
      <w:r w:rsidRPr="00B7238F">
        <w:rPr>
          <w:i/>
        </w:rPr>
        <w:t>P. lobata</w:t>
      </w:r>
      <w:r w:rsidRPr="00B7238F">
        <w:t xml:space="preserve"> e </w:t>
      </w:r>
      <w:r w:rsidRPr="00B7238F">
        <w:rPr>
          <w:i/>
        </w:rPr>
        <w:t xml:space="preserve">Glycine soja </w:t>
      </w:r>
      <w:r w:rsidRPr="00B7238F">
        <w:rPr>
          <w:color w:val="222222"/>
          <w:shd w:val="clear" w:color="auto" w:fill="FFFFFF"/>
        </w:rPr>
        <w:t>Sieb. &amp; Zucc.</w:t>
      </w:r>
      <w:r w:rsidRPr="00B7238F">
        <w:t xml:space="preserve">, e nove raças obtidas em plantas de </w:t>
      </w:r>
      <w:r w:rsidRPr="00B7238F">
        <w:rPr>
          <w:i/>
        </w:rPr>
        <w:t>G. max</w:t>
      </w:r>
      <w:r w:rsidRPr="00B7238F">
        <w:t xml:space="preserve"> (</w:t>
      </w:r>
      <w:bookmarkStart w:id="140" w:name="_Hlk11840885"/>
      <w:r w:rsidRPr="00B7238F">
        <w:t>YAMAOKA et al., 2002</w:t>
      </w:r>
      <w:bookmarkEnd w:id="140"/>
      <w:r w:rsidRPr="00B7238F">
        <w:t xml:space="preserve">). </w:t>
      </w:r>
    </w:p>
    <w:p w14:paraId="49AFFBA4" w14:textId="77777777" w:rsidR="00C6472E" w:rsidRPr="00B7238F" w:rsidRDefault="00C6472E" w:rsidP="005F7854">
      <w:pPr>
        <w:spacing w:after="0" w:line="360" w:lineRule="auto"/>
      </w:pPr>
      <w:r w:rsidRPr="00B7238F">
        <w:t xml:space="preserve">No Brasil, foi observada a variabilidade genética entre isolados do patógeno coletados em diferentes regiões, com tendência de populações coletadas na região Centro Oeste do Brasil formar um grupo distinto das populações coletadas no Sul (TSCHURTSCHENTHALER et al., 2012). </w:t>
      </w:r>
    </w:p>
    <w:p w14:paraId="7F55A867" w14:textId="467FCCE9" w:rsidR="00C6472E" w:rsidRPr="00B7238F" w:rsidRDefault="00C6472E" w:rsidP="005F7854">
      <w:pPr>
        <w:spacing w:after="0" w:line="360" w:lineRule="auto"/>
      </w:pPr>
      <w:r w:rsidRPr="00B7238F">
        <w:t>A virulência de isolados apresenta resposta distinta em relação aos genes Rpp2 e Rpp4 (</w:t>
      </w:r>
      <w:bookmarkStart w:id="141" w:name="_Hlk11840899"/>
      <w:r w:rsidRPr="00B7238F">
        <w:t>SOARES et al., 2008</w:t>
      </w:r>
      <w:bookmarkEnd w:id="141"/>
      <w:r w:rsidRPr="00B7238F">
        <w:t>), demonstrando variabilidade na patogenicidade</w:t>
      </w:r>
      <w:r w:rsidRPr="00B7238F">
        <w:rPr>
          <w:color w:val="FF0000"/>
        </w:rPr>
        <w:t xml:space="preserve"> </w:t>
      </w:r>
      <w:r w:rsidRPr="00B7238F">
        <w:t>do fungo no Brasil. Contudo, não há informações sobre o número de raças do patógeno existentes no país.</w:t>
      </w:r>
    </w:p>
    <w:p w14:paraId="142A71DB" w14:textId="5F73BE47" w:rsidR="00C6472E" w:rsidRPr="00B7238F" w:rsidRDefault="00C6472E" w:rsidP="005F7854">
      <w:pPr>
        <w:spacing w:after="0" w:line="360" w:lineRule="auto"/>
      </w:pPr>
      <w:r w:rsidRPr="00B7238F">
        <w:t xml:space="preserve">Segundo Tschurtschenthaler et al. (2012), cinco genes de resistência à </w:t>
      </w:r>
      <w:r w:rsidRPr="00B7238F">
        <w:rPr>
          <w:i/>
        </w:rPr>
        <w:t>P. pachyrhizi</w:t>
      </w:r>
      <w:r w:rsidRPr="00B7238F">
        <w:t xml:space="preserve"> foram identificados em soja: Rpp1 (</w:t>
      </w:r>
      <w:bookmarkStart w:id="142" w:name="_Hlk11840913"/>
      <w:r w:rsidRPr="00B7238F">
        <w:t>CHENG &amp; CHAN, 1968; HIDAYAT &amp; SOMAATMADJA, 1977; McLEAN &amp; BYTH, 1980; HARTWIG &amp; BROMFIELD, 1982); Rpp2 (HIDAYAT &amp; SOMAATMADJA, 1977</w:t>
      </w:r>
      <w:bookmarkEnd w:id="142"/>
      <w:r w:rsidRPr="00B7238F">
        <w:t>); Rpp3 (</w:t>
      </w:r>
      <w:bookmarkStart w:id="143" w:name="_Hlk11840959"/>
      <w:r w:rsidRPr="00B7238F">
        <w:t>SINGH &amp; THAPLIYAL, 1977; BROMFIELD &amp; HARTWIG, 1980); Rpp4 (HARTWIG, 1985); Rpp5 (GARCIA et al., 2008)</w:t>
      </w:r>
      <w:bookmarkEnd w:id="143"/>
      <w:r w:rsidR="008C6E8E" w:rsidRPr="00B7238F">
        <w:t>, e Rpp6 (KIN et al. 2012)</w:t>
      </w:r>
      <w:r w:rsidRPr="00B7238F">
        <w:t>. No entanto, estes genes de resistência são específicos a determinados isolados do fungo (</w:t>
      </w:r>
      <w:bookmarkStart w:id="144" w:name="_Hlk11841008"/>
      <w:r w:rsidRPr="00B7238F">
        <w:t>BONDE et al., 2006</w:t>
      </w:r>
      <w:bookmarkEnd w:id="144"/>
      <w:r w:rsidRPr="00B7238F">
        <w:t xml:space="preserve">). Recentemente, </w:t>
      </w:r>
      <w:bookmarkStart w:id="145" w:name="_Hlk11841029"/>
      <w:r w:rsidRPr="00B7238F">
        <w:t xml:space="preserve">Kawashima et al. (2016) </w:t>
      </w:r>
      <w:bookmarkEnd w:id="145"/>
      <w:r w:rsidRPr="00B7238F">
        <w:t xml:space="preserve">identificou o gene CcRpp1 em </w:t>
      </w:r>
      <w:r w:rsidRPr="00B7238F">
        <w:rPr>
          <w:i/>
        </w:rPr>
        <w:t xml:space="preserve">Cajanus cajan </w:t>
      </w:r>
      <w:r w:rsidRPr="00B7238F">
        <w:t>L.</w:t>
      </w:r>
      <w:r w:rsidRPr="00B7238F">
        <w:rPr>
          <w:i/>
        </w:rPr>
        <w:t xml:space="preserve"> </w:t>
      </w:r>
      <w:r w:rsidRPr="00B7238F">
        <w:t xml:space="preserve">(guandu) como fonte de resistência horizontal ao patógeno, o qual foi clonado e inserido em genótipos de soja.  </w:t>
      </w:r>
    </w:p>
    <w:p w14:paraId="3B5E8A8B" w14:textId="792E4823" w:rsidR="00C6472E" w:rsidRPr="00B7238F" w:rsidRDefault="00C6472E" w:rsidP="005F7854">
      <w:pPr>
        <w:spacing w:after="0" w:line="360" w:lineRule="auto"/>
      </w:pPr>
      <w:r w:rsidRPr="00B7238F">
        <w:t xml:space="preserve">No Brasil, na safra 2008/09, as fontes de resistência contendo o gene Rpp1 e Rpp3 apresentaram-se suscetíveis a 100% das populações de </w:t>
      </w:r>
      <w:r w:rsidRPr="00B7238F">
        <w:rPr>
          <w:i/>
        </w:rPr>
        <w:t>P. pachyrhizi</w:t>
      </w:r>
      <w:r w:rsidRPr="00B7238F">
        <w:t xml:space="preserve"> testadas. As</w:t>
      </w:r>
      <w:r w:rsidR="004A1D6E" w:rsidRPr="00B7238F">
        <w:t xml:space="preserve"> duas</w:t>
      </w:r>
      <w:r w:rsidRPr="00B7238F">
        <w:t xml:space="preserve"> linhagens que continham o gene Rpp2 foram suscetíveis em 48,8 e 71,4</w:t>
      </w:r>
      <w:r w:rsidR="004A1D6E" w:rsidRPr="00B7238F">
        <w:t xml:space="preserve"> % dos casos</w:t>
      </w:r>
      <w:r w:rsidRPr="00B7238F">
        <w:t xml:space="preserve">. Genótipos com a presença do gene Rpp4 foram suscetíveis </w:t>
      </w:r>
      <w:r w:rsidR="004A1D6E" w:rsidRPr="00B7238F">
        <w:t>a</w:t>
      </w:r>
      <w:r w:rsidRPr="00B7238F">
        <w:t xml:space="preserve"> 57,1%</w:t>
      </w:r>
      <w:r w:rsidR="004A1D6E" w:rsidRPr="00B7238F">
        <w:t xml:space="preserve"> das populaões testadas</w:t>
      </w:r>
      <w:r w:rsidRPr="00B7238F">
        <w:rPr>
          <w:color w:val="00B0F0"/>
        </w:rPr>
        <w:t xml:space="preserve">. </w:t>
      </w:r>
      <w:r w:rsidRPr="00B7238F">
        <w:t>A cultivar Shira Nui, com o gene Rpp5 apresentou resistência a 85,7% das populações testadas e reação intermediária a outras 12,5% (</w:t>
      </w:r>
      <w:bookmarkStart w:id="146" w:name="_Hlk11841051"/>
      <w:r w:rsidRPr="00B7238F">
        <w:t>SOARES et al., 2008</w:t>
      </w:r>
      <w:bookmarkEnd w:id="146"/>
      <w:r w:rsidRPr="00B7238F">
        <w:t xml:space="preserve">). </w:t>
      </w:r>
    </w:p>
    <w:p w14:paraId="34F5C1E0" w14:textId="5BC99EB6" w:rsidR="00C6472E" w:rsidRPr="00B7238F" w:rsidRDefault="00C6472E" w:rsidP="005F7854">
      <w:pPr>
        <w:spacing w:after="0" w:line="360" w:lineRule="auto"/>
        <w:rPr>
          <w:color w:val="FF0000"/>
        </w:rPr>
      </w:pPr>
      <w:r w:rsidRPr="00B7238F">
        <w:t xml:space="preserve">Na Argentina e no Paraguai, na safra 2007/08, as fontes de resistência que continham o gene Rpp1 apresentaram resistência </w:t>
      </w:r>
      <w:r w:rsidR="004A1D6E" w:rsidRPr="00B7238F">
        <w:t>a</w:t>
      </w:r>
      <w:r w:rsidRPr="00B7238F">
        <w:t xml:space="preserve"> 12,5% d</w:t>
      </w:r>
      <w:r w:rsidR="004A1D6E" w:rsidRPr="00B7238F">
        <w:t>as populações do fungo</w:t>
      </w:r>
      <w:r w:rsidRPr="00B7238F">
        <w:t xml:space="preserve">, e genótipos com o gene Rpp3 resistente </w:t>
      </w:r>
      <w:r w:rsidR="004A1D6E" w:rsidRPr="00B7238F">
        <w:t>aa</w:t>
      </w:r>
      <w:r w:rsidRPr="00B7238F">
        <w:t xml:space="preserve"> 20%</w:t>
      </w:r>
      <w:r w:rsidR="004A1D6E" w:rsidRPr="00B7238F">
        <w:t>das mesmas</w:t>
      </w:r>
      <w:r w:rsidRPr="00B7238F">
        <w:t xml:space="preserve">. Fontes de resistência contendo os genes Rpp2, Rpp4 e Rpp5 foram resistentes </w:t>
      </w:r>
      <w:r w:rsidR="004A1D6E" w:rsidRPr="00B7238F">
        <w:t>a</w:t>
      </w:r>
      <w:r w:rsidRPr="00B7238F">
        <w:t xml:space="preserve"> 28,6, 60 e 57,1% d</w:t>
      </w:r>
      <w:r w:rsidR="004A1D6E" w:rsidRPr="00B7238F">
        <w:t>a</w:t>
      </w:r>
      <w:r w:rsidRPr="00B7238F">
        <w:t>s</w:t>
      </w:r>
      <w:r w:rsidR="004A1D6E" w:rsidRPr="00B7238F">
        <w:t xml:space="preserve"> populações de </w:t>
      </w:r>
      <w:r w:rsidR="004A1D6E" w:rsidRPr="00B7238F">
        <w:rPr>
          <w:i/>
        </w:rPr>
        <w:t>P. pachyrhizi</w:t>
      </w:r>
      <w:r w:rsidRPr="00B7238F">
        <w:rPr>
          <w:color w:val="FF0000"/>
        </w:rPr>
        <w:t xml:space="preserve">, </w:t>
      </w:r>
      <w:r w:rsidRPr="00B7238F">
        <w:t>respectivamente (SOARES et al., 2008</w:t>
      </w:r>
      <w:r w:rsidRPr="00B7238F">
        <w:rPr>
          <w:color w:val="FF0000"/>
        </w:rPr>
        <w:t xml:space="preserve">). </w:t>
      </w:r>
    </w:p>
    <w:p w14:paraId="531B7DE0" w14:textId="16B15151" w:rsidR="00C6472E" w:rsidRPr="00B7238F" w:rsidRDefault="00C6472E" w:rsidP="005F7854">
      <w:pPr>
        <w:spacing w:after="0" w:line="360" w:lineRule="auto"/>
      </w:pPr>
      <w:r w:rsidRPr="00B7238F">
        <w:t xml:space="preserve">A inserção de genes de resistência a </w:t>
      </w:r>
      <w:r w:rsidRPr="00B7238F">
        <w:rPr>
          <w:i/>
        </w:rPr>
        <w:t xml:space="preserve">P. pachyrhizi </w:t>
      </w:r>
      <w:r w:rsidRPr="00B7238F">
        <w:t xml:space="preserve">em genótipos de soja </w:t>
      </w:r>
      <w:r w:rsidR="00C5591D">
        <w:t xml:space="preserve">é </w:t>
      </w:r>
      <w:r w:rsidRPr="00B7238F">
        <w:t>denominada no Brasil como tecnologia Inox,</w:t>
      </w:r>
      <w:r w:rsidR="00C5591D">
        <w:t xml:space="preserve"> porém não há informação de quais genes estão inseridos nesta</w:t>
      </w:r>
      <w:r w:rsidRPr="00B7238F">
        <w:t>. As cultivares comerciais que possuem esta tecnologia são TMG7060 IPRO, TMG7062 IPRO, TMG7063 IPRO, TMG7067 IPRO e BRS7280 RR (</w:t>
      </w:r>
      <w:bookmarkStart w:id="147" w:name="_Hlk11841067"/>
      <w:r w:rsidRPr="00B7238F">
        <w:t>TMG, 2017; EMBRAPA, 2017</w:t>
      </w:r>
      <w:bookmarkEnd w:id="147"/>
      <w:r w:rsidRPr="00B7238F">
        <w:t>).</w:t>
      </w:r>
    </w:p>
    <w:p w14:paraId="60B8C97F" w14:textId="77777777" w:rsidR="00C6472E" w:rsidRPr="00B7238F" w:rsidRDefault="00C6472E" w:rsidP="005F7854">
      <w:pPr>
        <w:spacing w:after="0" w:line="360" w:lineRule="auto"/>
      </w:pPr>
      <w:r w:rsidRPr="00B7238F">
        <w:t xml:space="preserve">Os genes de resistência Rpp2 e Rpp5 limitam o crescimento e a esporulação de </w:t>
      </w:r>
      <w:r w:rsidRPr="00B7238F">
        <w:rPr>
          <w:i/>
        </w:rPr>
        <w:t xml:space="preserve">P. pachyrhizi </w:t>
      </w:r>
      <w:r w:rsidRPr="00B7238F">
        <w:t>pela reação de hipersensibilidade apresentando lesões marrom-avermelhadas, descritas como “reddish-brown” (RB) (</w:t>
      </w:r>
      <w:bookmarkStart w:id="148" w:name="_Hlk11841086"/>
      <w:r w:rsidRPr="00B7238F">
        <w:t>BONDE et al., 2006; GARCIA et al., 2008</w:t>
      </w:r>
      <w:bookmarkEnd w:id="148"/>
      <w:r w:rsidRPr="00B7238F">
        <w:t>). Plantas de soja suscetíveis ao fungo quando infectadas apresentam lesões de coloração bronzeada denominadas “Tan” (</w:t>
      </w:r>
      <w:bookmarkStart w:id="149" w:name="_Hlk11841109"/>
      <w:r w:rsidRPr="00B7238F">
        <w:t>BROMFIELD &amp; HARTWIG, 1980; BROMFIELD, 1984; MILLES et al., 2006</w:t>
      </w:r>
      <w:bookmarkEnd w:id="149"/>
      <w:r w:rsidRPr="00B7238F">
        <w:t>).</w:t>
      </w:r>
    </w:p>
    <w:p w14:paraId="2C170626" w14:textId="77777777" w:rsidR="00C6472E" w:rsidRPr="00B7238F" w:rsidRDefault="00C6472E" w:rsidP="005F7854">
      <w:pPr>
        <w:spacing w:after="0" w:line="360" w:lineRule="auto"/>
      </w:pPr>
      <w:r w:rsidRPr="00B7238F">
        <w:t xml:space="preserve">A eventual presença de esporos de </w:t>
      </w:r>
      <w:r w:rsidRPr="00B7238F">
        <w:rPr>
          <w:i/>
        </w:rPr>
        <w:t>P. pachyrhizi</w:t>
      </w:r>
      <w:r w:rsidRPr="00B7238F">
        <w:t xml:space="preserve"> em lesões RB, relativamente comum em avaliações de campo, pode ser decorrente da infecção da planta por diferentes raças do patógeno, em que a planta desenvolve a reação de hipersensibilidade (RB) para uma determinada raça, mas não para outra, o que resultaria na esporulação (TSCHURTSCHENTHALER et al., 2012).</w:t>
      </w:r>
    </w:p>
    <w:p w14:paraId="0A53A0B2" w14:textId="0B2E3B42" w:rsidR="00C6472E" w:rsidRPr="00B7238F" w:rsidRDefault="00C6472E" w:rsidP="005F7854">
      <w:pPr>
        <w:spacing w:after="0" w:line="360" w:lineRule="auto"/>
      </w:pPr>
      <w:r w:rsidRPr="00B7238F">
        <w:t xml:space="preserve">Ao avaliar 16.595 acessos do banco de germoplasma de soja do Departamento de Agricultura dos Estados Unidos (EUA), </w:t>
      </w:r>
      <w:bookmarkStart w:id="150" w:name="_Hlk11841141"/>
      <w:r w:rsidRPr="00B7238F">
        <w:t xml:space="preserve">Milles et al. (2006) </w:t>
      </w:r>
      <w:bookmarkEnd w:id="150"/>
      <w:r w:rsidRPr="00B7238F">
        <w:t xml:space="preserve">não identificaram plantas com imunidade a </w:t>
      </w:r>
      <w:r w:rsidRPr="00B7238F">
        <w:rPr>
          <w:i/>
        </w:rPr>
        <w:t>P. pachyrhizi</w:t>
      </w:r>
      <w:r w:rsidRPr="00B7238F">
        <w:t>, sendo observada resistência moderada em 33 acessos. Em virtude da capacidade do patógeno em superar a resistência mediada por genes Rpp1, Rpp2, Rpp3, Rpp4, Rpp5, Rpp6</w:t>
      </w:r>
      <w:r w:rsidRPr="00B7238F">
        <w:rPr>
          <w:color w:val="FF0000"/>
        </w:rPr>
        <w:t xml:space="preserve"> </w:t>
      </w:r>
      <w:r w:rsidRPr="00B7238F">
        <w:t>(</w:t>
      </w:r>
      <w:bookmarkStart w:id="151" w:name="_Hlk11841159"/>
      <w:r w:rsidRPr="00B7238F">
        <w:t>AKAMATSU et al., 2013</w:t>
      </w:r>
      <w:bookmarkEnd w:id="151"/>
      <w:r w:rsidRPr="00B7238F">
        <w:t xml:space="preserve">), há preocupação de que novos genes de resistência ao fungo possam ser específicos para um isolado e, portanto rapidamente superados à campo (KAWASHIMA et al., 2016). </w:t>
      </w:r>
    </w:p>
    <w:p w14:paraId="45488BAE" w14:textId="77777777" w:rsidR="00C6472E" w:rsidRPr="00B7238F" w:rsidRDefault="00C6472E" w:rsidP="005F7854">
      <w:pPr>
        <w:spacing w:after="0" w:line="360" w:lineRule="auto"/>
      </w:pPr>
      <w:r w:rsidRPr="00B7238F">
        <w:t xml:space="preserve">Genes CcRpp1 identificados em plantas de guandu, e clonados em plantas de soja, apresentaram resistência horizontal a 77 isolados de campo coletados em diferentes regiões do Brasil, dois isolados dos EUA e um isolado japonês. Estes genes de resistência obtidos em espécies de plantas da família das leguminosas, podem ser usados ​​para desenvolver estratégias de controle a FAS duráveis (KAWASHIMA et al., 2016). </w:t>
      </w:r>
    </w:p>
    <w:p w14:paraId="0B2362D6" w14:textId="77777777" w:rsidR="00C6472E" w:rsidRPr="00B7238F" w:rsidRDefault="00C6472E" w:rsidP="005F7854">
      <w:pPr>
        <w:spacing w:after="0" w:line="360" w:lineRule="auto"/>
      </w:pPr>
      <w:r w:rsidRPr="00B7238F">
        <w:t>A resistência baseada em genes únicos tende a ser “quebrada” em virtude da variabilidade do patógeno. A existência de variabilidade genética entre os isolados, ainda que não associada à variação na patogenicidade, é um alerta para que o desenvolvimento de cultivares resistentes seja baseado em mecanismos de resistência mais duradoura, seja pela resistência horizontal ou pela piramidação de genes de resistência vertical (TSCHURTSCHENTHALER et al., 2012).</w:t>
      </w:r>
    </w:p>
    <w:p w14:paraId="5E1BC685" w14:textId="31FD1A61" w:rsidR="004050D9" w:rsidRDefault="00C6472E" w:rsidP="005F7854">
      <w:pPr>
        <w:spacing w:after="0" w:line="360" w:lineRule="auto"/>
      </w:pPr>
      <w:r w:rsidRPr="00B7238F">
        <w:t xml:space="preserve">Embora não tenham sido identificados isolados de </w:t>
      </w:r>
      <w:r w:rsidRPr="00B7238F">
        <w:rPr>
          <w:i/>
        </w:rPr>
        <w:t>P. pachyrhizi</w:t>
      </w:r>
      <w:r w:rsidRPr="00B7238F">
        <w:t xml:space="preserve"> que possam superar o CcRpp1, o fungo demonstrou que pode superar rapidamente os genes de resistência que são implantados individualmente (KAWASHIMA et al., 2016). Com 30 milhões de hectares de soja cultivada no Brasil, seria prudente apenas implantar o gene CcRpp1 em soja, quando associado a outros genes de resistência que tenham diferentes especificidades ou diferentes mecanismos de resistência ao patógeno, para aumentar a durabilidade desses rec</w:t>
      </w:r>
      <w:r w:rsidR="00485569">
        <w:t>ursos (KAWASHIMA et al., 2016).</w:t>
      </w:r>
    </w:p>
    <w:p w14:paraId="55E9BF92" w14:textId="77777777" w:rsidR="00485569" w:rsidRDefault="00485569" w:rsidP="005F7854">
      <w:pPr>
        <w:spacing w:after="0" w:line="360" w:lineRule="auto"/>
      </w:pPr>
    </w:p>
    <w:p w14:paraId="5A87B5B7" w14:textId="77777777" w:rsidR="00CA6CFD" w:rsidRPr="00B7238F" w:rsidRDefault="00B319C3" w:rsidP="005F7854">
      <w:pPr>
        <w:pStyle w:val="Ttulo3"/>
        <w:spacing w:before="0" w:after="0" w:line="360" w:lineRule="auto"/>
      </w:pPr>
      <w:bookmarkStart w:id="152" w:name="_Toc22568236"/>
      <w:r w:rsidRPr="00B7238F">
        <w:t>2.7.3</w:t>
      </w:r>
      <w:r w:rsidR="00DB7F00" w:rsidRPr="00B7238F">
        <w:t xml:space="preserve"> C</w:t>
      </w:r>
      <w:r w:rsidR="00E45B01">
        <w:t>ontrole químico</w:t>
      </w:r>
      <w:bookmarkEnd w:id="152"/>
      <w:r w:rsidR="00E45B01">
        <w:t xml:space="preserve"> </w:t>
      </w:r>
    </w:p>
    <w:p w14:paraId="5D5BE90D" w14:textId="77777777" w:rsidR="00E95361" w:rsidRPr="00B7238F" w:rsidRDefault="00E95361" w:rsidP="005F7854">
      <w:pPr>
        <w:spacing w:after="0" w:line="360" w:lineRule="auto"/>
      </w:pPr>
    </w:p>
    <w:p w14:paraId="507D1464" w14:textId="7F48D0A5" w:rsidR="00CA6CFD" w:rsidRPr="00B7238F" w:rsidRDefault="000700E4" w:rsidP="005F7854">
      <w:pPr>
        <w:pStyle w:val="Ttulo4"/>
        <w:spacing w:before="0" w:after="0" w:line="360" w:lineRule="auto"/>
      </w:pPr>
      <w:bookmarkStart w:id="153" w:name="_Toc22568237"/>
      <w:r w:rsidRPr="00B7238F">
        <w:t>2.7.3.1 Histórico</w:t>
      </w:r>
      <w:bookmarkEnd w:id="153"/>
    </w:p>
    <w:p w14:paraId="4E0908F4" w14:textId="4BA9649D" w:rsidR="00DB7F00" w:rsidRPr="00B7238F" w:rsidRDefault="00DB7F00" w:rsidP="005F7854">
      <w:pPr>
        <w:spacing w:line="360" w:lineRule="auto"/>
        <w:rPr>
          <w:highlight w:val="yellow"/>
        </w:rPr>
      </w:pPr>
    </w:p>
    <w:p w14:paraId="430F563D" w14:textId="13884511" w:rsidR="00E95361" w:rsidRPr="00B7238F" w:rsidRDefault="00E95361" w:rsidP="005F7854">
      <w:pPr>
        <w:spacing w:after="0" w:line="360" w:lineRule="auto"/>
        <w:rPr>
          <w:lang w:val="pt-PT"/>
        </w:rPr>
      </w:pPr>
      <w:r w:rsidRPr="00B7238F">
        <w:rPr>
          <w:lang w:val="pt-PT"/>
        </w:rPr>
        <w:t>As primeiras pesquisas avaliando a eficiência de fungicidas no controle da FAS foram realizadas em Taiwan no ano de 1986 com a aplicação de mancozeb (</w:t>
      </w:r>
      <w:bookmarkStart w:id="154" w:name="_Hlk11841207"/>
      <w:r w:rsidRPr="00B7238F">
        <w:rPr>
          <w:lang w:val="pt-PT"/>
        </w:rPr>
        <w:t>YANG et al., 1991</w:t>
      </w:r>
      <w:bookmarkEnd w:id="154"/>
      <w:r w:rsidRPr="00B7238F">
        <w:rPr>
          <w:lang w:val="pt-PT"/>
        </w:rPr>
        <w:t>). Fungicidas cúpricos, maneb e benzimidazóis também foram testados na Ásia durante o final da decada de 80 e início dos anos 90, os quais reduziram a intensidade da doença (</w:t>
      </w:r>
      <w:bookmarkStart w:id="155" w:name="_Hlk11841222"/>
      <w:r w:rsidRPr="00B7238F">
        <w:rPr>
          <w:lang w:val="pt-PT"/>
        </w:rPr>
        <w:t>SINCLAIR &amp; HARTMAN, 1996</w:t>
      </w:r>
      <w:bookmarkEnd w:id="155"/>
      <w:r w:rsidRPr="00B7238F">
        <w:rPr>
          <w:lang w:val="pt-PT"/>
        </w:rPr>
        <w:t>). Entretanto, o controle do patógeno passou a ser mais eficiente com a introdução dos fungicidas inibidores da desmetilação (DMI) (</w:t>
      </w:r>
      <w:bookmarkStart w:id="156" w:name="_Hlk11841238"/>
      <w:r w:rsidRPr="00B7238F">
        <w:rPr>
          <w:lang w:val="pt-PT"/>
        </w:rPr>
        <w:t>PATIL &amp; ANAHOSUR, 1998</w:t>
      </w:r>
      <w:bookmarkEnd w:id="156"/>
      <w:r w:rsidRPr="00B7238F">
        <w:rPr>
          <w:lang w:val="pt-PT"/>
        </w:rPr>
        <w:t>).</w:t>
      </w:r>
    </w:p>
    <w:p w14:paraId="3E6C4225" w14:textId="77777777" w:rsidR="00E95361" w:rsidRPr="00B7238F" w:rsidRDefault="00E95361" w:rsidP="005F7854">
      <w:pPr>
        <w:spacing w:after="0" w:line="360" w:lineRule="auto"/>
        <w:rPr>
          <w:lang w:val="pt-PT"/>
        </w:rPr>
      </w:pPr>
      <w:r w:rsidRPr="00B7238F">
        <w:rPr>
          <w:lang w:val="pt-PT"/>
        </w:rPr>
        <w:t xml:space="preserve">A utilização de  fungicidas em soja no Brasil foi intensificada após a detecção da FAS. As primeiras moléculas utilizadas foram ingredientes ativos registrados para outros agentes causais e que também apresentavam eficiência sobre </w:t>
      </w:r>
      <w:r w:rsidRPr="00B7238F">
        <w:rPr>
          <w:i/>
          <w:lang w:val="pt-PT"/>
        </w:rPr>
        <w:t>P. pachyrhizi</w:t>
      </w:r>
      <w:r w:rsidRPr="00B7238F">
        <w:rPr>
          <w:lang w:val="pt-PT"/>
        </w:rPr>
        <w:t xml:space="preserve">. </w:t>
      </w:r>
    </w:p>
    <w:p w14:paraId="5A325311" w14:textId="4FDD0F35" w:rsidR="00E95361" w:rsidRPr="00B7238F" w:rsidRDefault="00E95361" w:rsidP="005F7854">
      <w:pPr>
        <w:spacing w:after="0" w:line="360" w:lineRule="auto"/>
        <w:rPr>
          <w:lang w:val="pt-PT"/>
        </w:rPr>
      </w:pPr>
      <w:r w:rsidRPr="00B7238F">
        <w:rPr>
          <w:lang w:val="pt-PT"/>
        </w:rPr>
        <w:t>O número de fungicidas registrados para a cultura da soja aumentou de cinco, em 2002, para 227, em 2017. Especificamente para FAS, ocorreu a suspensão de registro de 63 fungicidas, restando 75 produtos registrados (</w:t>
      </w:r>
      <w:bookmarkStart w:id="157" w:name="_Hlk11841255"/>
      <w:r w:rsidRPr="00B7238F">
        <w:rPr>
          <w:lang w:val="pt-PT"/>
        </w:rPr>
        <w:t>GODOY et al., 2016; AGROFIT, 201</w:t>
      </w:r>
      <w:bookmarkEnd w:id="157"/>
      <w:r w:rsidRPr="00B7238F">
        <w:rPr>
          <w:lang w:val="pt-PT"/>
        </w:rPr>
        <w:t xml:space="preserve">9). Nas safras agricolas de 2001/02 a 2004/05, a maioria das moléculas registradas pertenciam ao grupo químico dos triazóis, e uma mistura de triazol e estrobilurina (GODOY et al., 2016). </w:t>
      </w:r>
      <w:r w:rsidRPr="00B7238F">
        <w:rPr>
          <w:color w:val="222222"/>
          <w:lang w:val="pt-PT"/>
        </w:rPr>
        <w:t>Durante as safras de 2003/04 a 2006/07,</w:t>
      </w:r>
      <w:r w:rsidRPr="00B7238F">
        <w:rPr>
          <w:lang w:val="pt-PT"/>
        </w:rPr>
        <w:t xml:space="preserve"> os fungicidas do grupo químico dos triazóis aplicados de forma isolada apresentaram melhor eficiência de controle comparado com estrobilurinas, com variação no controle entre ingredientes ativos do mesmo grupo. Entre os triazóis, protioconazole e tebuconazole obtiveram as maiores eficiências de controle da FAS, enquanto fluquinconazole e difenoconazole apresentaram os menores valores de eficiência (</w:t>
      </w:r>
      <w:bookmarkStart w:id="158" w:name="_Hlk11841277"/>
      <w:r w:rsidRPr="00B7238F">
        <w:rPr>
          <w:lang w:val="pt-PT"/>
        </w:rPr>
        <w:t>SCHERM et al., 2009</w:t>
      </w:r>
      <w:bookmarkEnd w:id="158"/>
      <w:r w:rsidRPr="00B7238F">
        <w:rPr>
          <w:lang w:val="pt-PT"/>
        </w:rPr>
        <w:t>).</w:t>
      </w:r>
    </w:p>
    <w:p w14:paraId="57A993E8" w14:textId="5983BAD1" w:rsidR="00E95361" w:rsidRPr="00B7238F" w:rsidRDefault="00E95361" w:rsidP="005F7854">
      <w:pPr>
        <w:spacing w:after="0" w:line="360" w:lineRule="auto"/>
        <w:rPr>
          <w:lang w:val="pt-PT"/>
        </w:rPr>
      </w:pPr>
      <w:r w:rsidRPr="00B7238F">
        <w:rPr>
          <w:lang w:val="pt-PT"/>
        </w:rPr>
        <w:t xml:space="preserve"> Em razão da alta eficiência de controle e baixo custo, os triazóis foram utilizados pelos produtores isoladamente, em aplicações sequenciais e curativas desde a detecção do patogeno no país (</w:t>
      </w:r>
      <w:bookmarkStart w:id="159" w:name="_Hlk11841301"/>
      <w:r w:rsidRPr="00B7238F">
        <w:rPr>
          <w:lang w:val="pt-PT"/>
        </w:rPr>
        <w:t>GODOY et al., 2012 in XAVIER et al., 2015</w:t>
      </w:r>
      <w:bookmarkEnd w:id="159"/>
      <w:r w:rsidRPr="00B7238F">
        <w:rPr>
          <w:lang w:val="pt-PT"/>
        </w:rPr>
        <w:t>). Cinco anos após o início da utilização destes fungicidas, na safra 2007/08, foi observada a redução da eficiência dos DMI’s na região do cerrado e na safra seguinte na região sul do Brasil</w:t>
      </w:r>
      <w:r w:rsidRPr="00B7238F">
        <w:rPr>
          <w:i/>
          <w:lang w:val="pt-PT"/>
        </w:rPr>
        <w:t>.</w:t>
      </w:r>
      <w:r w:rsidRPr="00B7238F">
        <w:rPr>
          <w:lang w:val="pt-PT"/>
        </w:rPr>
        <w:t xml:space="preserve"> </w:t>
      </w:r>
    </w:p>
    <w:p w14:paraId="1F9C183B" w14:textId="77777777" w:rsidR="00E95361" w:rsidRPr="00B7238F" w:rsidRDefault="00E95361" w:rsidP="005F7854">
      <w:pPr>
        <w:spacing w:after="0" w:line="360" w:lineRule="auto"/>
        <w:rPr>
          <w:lang w:val="pt-PT"/>
        </w:rPr>
      </w:pPr>
      <w:r w:rsidRPr="00B7238F">
        <w:rPr>
          <w:lang w:val="pt-PT"/>
        </w:rPr>
        <w:t xml:space="preserve">Em 2008/09, foi recomendado evitar o uso de triazóis de maneira isolada e utilizar misturas de triazóis e estrobilurinas na região do cerrado. No região sul, a recomendação foi utilizar fungicidas do grupo químico dos triazóis isolados somente no início da estação de crescimento, e nunca em aplicações sequenciais. </w:t>
      </w:r>
    </w:p>
    <w:p w14:paraId="425A46F5" w14:textId="27793BE9" w:rsidR="00E95361" w:rsidRPr="00B7238F" w:rsidRDefault="00E95361" w:rsidP="005F7854">
      <w:pPr>
        <w:spacing w:after="0" w:line="360" w:lineRule="auto"/>
        <w:rPr>
          <w:lang w:val="pt-PT"/>
        </w:rPr>
      </w:pPr>
      <w:r w:rsidRPr="00B7238F">
        <w:rPr>
          <w:lang w:val="pt-PT"/>
        </w:rPr>
        <w:t xml:space="preserve"> Na safra 2009/10, foi recomendado a utilização somente de misturas de triazóis e estrobilurinas em todo o Brasil (</w:t>
      </w:r>
      <w:bookmarkStart w:id="160" w:name="_Hlk11841348"/>
      <w:r w:rsidRPr="00B7238F">
        <w:rPr>
          <w:lang w:val="pt-PT"/>
        </w:rPr>
        <w:t>GODOY, 2012; XAVIER et al., 2015; GODOY et al., 2016</w:t>
      </w:r>
      <w:bookmarkEnd w:id="160"/>
      <w:r w:rsidRPr="00B7238F">
        <w:rPr>
          <w:lang w:val="pt-PT"/>
        </w:rPr>
        <w:t>). O fungicida protioconazole, pertencente ao grupo químico triazolintione, foi o único DMI a não apresentar redução na eficiência de controle da FAS entre 2007/08 e 2009/10. Este ingrediente ativo, foi avaliado de maneira isolada desde 2005/06, mas seu registro foi realizado somente no ano de 2010 em mistura comercial com trifloxistrobina (GODOY et al., 2016).</w:t>
      </w:r>
    </w:p>
    <w:p w14:paraId="1C60EF56" w14:textId="77777777" w:rsidR="00E95361" w:rsidRPr="00B7238F" w:rsidRDefault="00E95361" w:rsidP="005F7854">
      <w:pPr>
        <w:spacing w:after="0" w:line="360" w:lineRule="auto"/>
      </w:pPr>
      <w:r w:rsidRPr="00B7238F">
        <w:t xml:space="preserve">A partir de 2009/10, os fungicidas utilizados no controle de </w:t>
      </w:r>
      <w:r w:rsidRPr="00B7238F">
        <w:rPr>
          <w:i/>
          <w:lang w:val="pt-PT"/>
        </w:rPr>
        <w:t>P. pachyrhizi</w:t>
      </w:r>
      <w:r w:rsidRPr="00B7238F">
        <w:rPr>
          <w:lang w:val="pt-PT"/>
        </w:rPr>
        <w:t xml:space="preserve"> constituiram-se basicamente de </w:t>
      </w:r>
      <w:r w:rsidRPr="00B7238F">
        <w:t>misturas de triazóis/triazolintione e estrobilurinas.</w:t>
      </w:r>
      <w:r w:rsidRPr="00B7238F">
        <w:rPr>
          <w:lang w:val="pt-PT"/>
        </w:rPr>
        <w:t xml:space="preserve"> </w:t>
      </w:r>
      <w:r w:rsidRPr="00B7238F">
        <w:t xml:space="preserve"> Entre 2009/10 e 2012/13, a eficiência média de controle da FAS com estas misturas de fungicidas, apresentou redução de 77% para 62,4% (</w:t>
      </w:r>
      <w:bookmarkStart w:id="161" w:name="_Hlk11841404"/>
      <w:r w:rsidRPr="00B7238F">
        <w:t>GODOY et al., 2010; GODOY et al., 2013</w:t>
      </w:r>
      <w:bookmarkEnd w:id="161"/>
      <w:r w:rsidRPr="00B7238F">
        <w:t>).</w:t>
      </w:r>
    </w:p>
    <w:p w14:paraId="4DCA70E9" w14:textId="77777777" w:rsidR="00E95361" w:rsidRPr="00B7238F" w:rsidRDefault="00E95361" w:rsidP="005F7854">
      <w:pPr>
        <w:spacing w:after="0" w:line="360" w:lineRule="auto"/>
      </w:pPr>
      <w:r w:rsidRPr="00B7238F">
        <w:t xml:space="preserve">Em 2013, teve início no Brasil a comercialização de fungicidas do grupo químico das carboxamidas, formulados em misturas comerciais com estrobilurina e/ou triazol. Foram registrados produtos comerciais compostos por fluxapyroxada + piraclostrobina e benzovindiflupir + azoxistrobina. Em 2016 foi registrado a mistura comercial dos ingredientes ativos fluxapyroxada + piraclostrobina+ epoxiconazole. </w:t>
      </w:r>
    </w:p>
    <w:p w14:paraId="31B08206" w14:textId="77777777" w:rsidR="00AD240E" w:rsidRDefault="00E95361" w:rsidP="005F7854">
      <w:pPr>
        <w:spacing w:after="0" w:line="360" w:lineRule="auto"/>
      </w:pPr>
      <w:r w:rsidRPr="00B7238F">
        <w:t>Durante os anos agrícolas de 2013/14, 2014/15 e 2015/16, misturas comerciais de fungicidas benzovindiflupir com azoxistrobina ou picoxistrobina apresentaram as maiores eficiências de controle da FAS. Também nestas safras houve redução na eficiência de controle da doença pela aplicação de triazóis/trizolintione + estrobilurina, de 61,9% para 48,2. A redução da eficiência de triazóis e estrobilurinas utilizados isolados neste mesmo período, foi de 43,5 para 22,5% e 47 para 24%, respectivamente para triazóis e estrobilurinas (GODOY et al., 2013; GODOY et al., 2016).</w:t>
      </w:r>
    </w:p>
    <w:p w14:paraId="708C3B71" w14:textId="77777777" w:rsidR="00AD240E" w:rsidRDefault="00E95361" w:rsidP="005F7854">
      <w:pPr>
        <w:spacing w:after="0" w:line="360" w:lineRule="auto"/>
      </w:pPr>
      <w:r w:rsidRPr="00B7238F">
        <w:t>Em virtude da redução de eficiência de misturas de IDM e IQe</w:t>
      </w:r>
      <w:r w:rsidRPr="00B7238F">
        <w:rPr>
          <w:color w:val="FF0000"/>
        </w:rPr>
        <w:t xml:space="preserve"> </w:t>
      </w:r>
      <w:r w:rsidR="00FD5CE6" w:rsidRPr="00B7238F">
        <w:t xml:space="preserve">(inibidor da quinona externa – estrobilurina) </w:t>
      </w:r>
      <w:r w:rsidRPr="00B7238F">
        <w:t>e do risco da redução da sensibilidade do fungo as carboxamidas, foi recomendado a utilização de fungicidas protetores dos grupos químicos ditiocarbamatos, cloronitrilas, dinitroanilinas e fungicidas cúpricos em mistura com triazóis/triazolintione + estrobilurina, carboxamida + estrobilurina, carboxamida + estrobilurina + triazol.</w:t>
      </w:r>
    </w:p>
    <w:p w14:paraId="28BADC93" w14:textId="77777777" w:rsidR="00AD240E" w:rsidRDefault="00E95361" w:rsidP="005F7854">
      <w:pPr>
        <w:spacing w:after="0" w:line="360" w:lineRule="auto"/>
      </w:pPr>
      <w:r w:rsidRPr="00B7238F">
        <w:t xml:space="preserve">Em amostragens de isolados de </w:t>
      </w:r>
      <w:r w:rsidRPr="00B7238F">
        <w:rPr>
          <w:i/>
        </w:rPr>
        <w:t>P. pachyrhizi</w:t>
      </w:r>
      <w:r w:rsidRPr="00B7238F">
        <w:t xml:space="preserve"> realizadas pelo FRAC (Fungicide Resistance Action Committee) nos anos agrícolas de 2015/16 e 2016/17 foi detectada mutação na subunidade C da enzima succinato desidrogenase, que causa a substituição de aminoácidos na posição I86F. Esta mutação confere menor sensibilidade do patógeno aos fungicidas do grupo químico das carboxamidas (SIMÕES et al., 2017).</w:t>
      </w:r>
    </w:p>
    <w:p w14:paraId="2FA6F46D" w14:textId="77777777" w:rsidR="00AD240E" w:rsidRDefault="00E95361" w:rsidP="005F7854">
      <w:pPr>
        <w:spacing w:after="0" w:line="360" w:lineRule="auto"/>
      </w:pPr>
      <w:r w:rsidRPr="00B7238F">
        <w:t xml:space="preserve">Os novos produtos comerciais a serem lançados nos próximos anos são novas misturas de ingredientes ativos dos mesmos grupos já existentes. Portanto, a redução na sensibilidade de </w:t>
      </w:r>
      <w:r w:rsidRPr="00B7238F">
        <w:rPr>
          <w:i/>
        </w:rPr>
        <w:t>P. pachyrhizi</w:t>
      </w:r>
      <w:r w:rsidRPr="00B7238F">
        <w:t xml:space="preserve"> a carboxamidas pode representar a perda das moléculas mais eficientes entre os fungicidas disponíveis.</w:t>
      </w:r>
    </w:p>
    <w:p w14:paraId="028C3A1F" w14:textId="77777777" w:rsidR="00AD240E" w:rsidRDefault="00AD240E" w:rsidP="005F7854">
      <w:pPr>
        <w:spacing w:after="0" w:line="360" w:lineRule="auto"/>
      </w:pPr>
    </w:p>
    <w:p w14:paraId="7D1C23C5" w14:textId="3EF45062" w:rsidR="00AD240E" w:rsidRDefault="00CA6CFD" w:rsidP="005F7854">
      <w:pPr>
        <w:pStyle w:val="Ttulo4"/>
        <w:spacing w:before="0" w:after="0" w:line="360" w:lineRule="auto"/>
      </w:pPr>
      <w:bookmarkStart w:id="162" w:name="_Toc22568238"/>
      <w:r w:rsidRPr="00B7238F">
        <w:t>2.7.3.2</w:t>
      </w:r>
      <w:r w:rsidR="00DB7F00" w:rsidRPr="00B7238F">
        <w:t xml:space="preserve"> </w:t>
      </w:r>
      <w:r w:rsidR="00932416">
        <w:t>I</w:t>
      </w:r>
      <w:r w:rsidR="00932416" w:rsidRPr="00B7238F">
        <w:t>mport</w:t>
      </w:r>
      <w:r w:rsidR="00932416">
        <w:t>â</w:t>
      </w:r>
      <w:r w:rsidR="00932416" w:rsidRPr="00B7238F">
        <w:t xml:space="preserve">ncia do controle químico no manejo da </w:t>
      </w:r>
      <w:r w:rsidR="00883D65">
        <w:t>FAS</w:t>
      </w:r>
      <w:bookmarkEnd w:id="162"/>
    </w:p>
    <w:p w14:paraId="33B2E4BC" w14:textId="77777777" w:rsidR="00724C20" w:rsidRDefault="00724C20" w:rsidP="00323645">
      <w:pPr>
        <w:spacing w:after="0" w:line="360" w:lineRule="auto"/>
      </w:pPr>
    </w:p>
    <w:p w14:paraId="4E2A0CB1" w14:textId="011F9565" w:rsidR="00932416" w:rsidRDefault="00FD5CE6" w:rsidP="005F7854">
      <w:pPr>
        <w:spacing w:after="0" w:line="360" w:lineRule="auto"/>
      </w:pPr>
      <w:r w:rsidRPr="00B7238F">
        <w:t>Antecipação da época de semeadura, semear cultivar precoce e utilizar cultivar com grau de resistência genética nem sempre são estratégias utilizadas de forma conjunta para manejar a FAS. Com a comprovação da redução de eficiência dos fungicidas no controle do patógeno há uma tendência do aumento do número de pulverizações, na tentativa de manter níveis satisfatórios de controle da FAS.</w:t>
      </w:r>
    </w:p>
    <w:p w14:paraId="5E7CEC42" w14:textId="77777777" w:rsidR="00932416" w:rsidRDefault="00FD5CE6" w:rsidP="005F7854">
      <w:pPr>
        <w:spacing w:after="0" w:line="360" w:lineRule="auto"/>
      </w:pPr>
      <w:r w:rsidRPr="00B7238F">
        <w:t>Considerando a média de severidade de FAS em parcelas sem aplicação de fungicidas de 72,6 % (GODOY et al., 2014; 2015; 2016; 2017; 2018), o dano de 0,6% no rendimento para 1% de severidade da doença (DALLA LANA, 2015) e a safra brasileira de 114,84 milhões de toneladas de soja (</w:t>
      </w:r>
      <w:bookmarkStart w:id="163" w:name="_Hlk11841492"/>
      <w:r w:rsidRPr="00B7238F">
        <w:t>CONAB, 201</w:t>
      </w:r>
      <w:bookmarkEnd w:id="163"/>
      <w:r w:rsidRPr="00B7238F">
        <w:t>9), tem-se um potencial de dano causado pela ferrugem no Brasil que pode atingir a 50,02 milhões de toneladas de soja ou 62,52 bilhões de reais considerando o valor de R$ 75,00 por saco de soja.</w:t>
      </w:r>
    </w:p>
    <w:p w14:paraId="5E401378" w14:textId="77777777" w:rsidR="00932416" w:rsidRDefault="00FD5CE6" w:rsidP="005F7854">
      <w:pPr>
        <w:spacing w:after="0" w:line="360" w:lineRule="auto"/>
      </w:pPr>
      <w:r w:rsidRPr="00B7238F">
        <w:t>A</w:t>
      </w:r>
      <w:r w:rsidRPr="00B7238F">
        <w:rPr>
          <w:color w:val="FF0000"/>
        </w:rPr>
        <w:t xml:space="preserve"> </w:t>
      </w:r>
      <w:r w:rsidRPr="00B7238F">
        <w:t>mistura comercial de fungicidas com maior controle da FAS na safra 2017/18 apresentou 80% de eficiência (GODOY et al., 2018), sendo extrapolado com base nesse porcentual de controle (considerando mesmo número de aplicações, intervalo de aplicações) uma redução de perda de 50,01 bilhões de reais por ano. Analisando o mesmo fungicida verifica-se que seu uso ainda manteve em 15,6% a severidade média da doença (média de 39 ensaios nacionais), o que representa aproximadamente 9,4% de dano no rendimento de grãos. Neste contexto estima-se 10,74 milhões de reais de perda da FAS no Brasil.</w:t>
      </w:r>
    </w:p>
    <w:p w14:paraId="73D430D2" w14:textId="77777777" w:rsidR="00932416" w:rsidRDefault="00FD5CE6" w:rsidP="005F7854">
      <w:pPr>
        <w:spacing w:after="0" w:line="360" w:lineRule="auto"/>
        <w:rPr>
          <w:color w:val="FF0000"/>
        </w:rPr>
      </w:pPr>
      <w:r w:rsidRPr="00B7238F">
        <w:t>O custo de controle da aplicação de fungicidas em aplicações terrestres é composto principalmente pelo custo do produto, amassamento das plantas, depreciação de máquinas, combustível, hora de trabalho do funcionário</w:t>
      </w:r>
      <w:r w:rsidRPr="00B7238F">
        <w:rPr>
          <w:color w:val="FF0000"/>
        </w:rPr>
        <w:t>.</w:t>
      </w:r>
    </w:p>
    <w:p w14:paraId="5B4E6B64" w14:textId="2E61CB92" w:rsidR="00FD5CE6" w:rsidRPr="00B7238F" w:rsidRDefault="00FD5CE6" w:rsidP="005F7854">
      <w:pPr>
        <w:spacing w:after="0" w:line="360" w:lineRule="auto"/>
      </w:pPr>
      <w:r w:rsidRPr="00B7238F">
        <w:t>Ao considerar uma aplicação terrestre com pulverizador autopropelido com barras de 30m de comprimento, estima-se um custo de R$ 202,68 para cada aplicação por hectare (expectativa de produtividade de 75 sacos por hectare e preço médio de venda da soja de R$ 60,00), conforme descrito abaixo:</w:t>
      </w:r>
    </w:p>
    <w:p w14:paraId="6A7AC247" w14:textId="02C7359E" w:rsidR="00FD5CE6" w:rsidRPr="00932416" w:rsidRDefault="00FD5CE6" w:rsidP="005F7854">
      <w:pPr>
        <w:spacing w:after="0" w:line="360" w:lineRule="auto"/>
      </w:pPr>
      <w:r w:rsidRPr="00B7238F">
        <w:t>- Amassamento médio de R$56,25 por aplicação (1,25 % de amassamento por aplicação, 5 % para quatro aplicações</w:t>
      </w:r>
      <w:r w:rsidRPr="00932416">
        <w:t>);</w:t>
      </w:r>
    </w:p>
    <w:p w14:paraId="027C0DAA" w14:textId="14D0AF24" w:rsidR="00FD5CE6" w:rsidRPr="00B7238F" w:rsidRDefault="00FD5CE6" w:rsidP="005F7854">
      <w:pPr>
        <w:spacing w:after="0" w:line="360" w:lineRule="auto"/>
      </w:pPr>
      <w:r w:rsidRPr="00B7238F">
        <w:t>- Custo de combustível de R$2,56 ha</w:t>
      </w:r>
      <w:r w:rsidRPr="00B7238F">
        <w:rPr>
          <w:vertAlign w:val="superscript"/>
        </w:rPr>
        <w:t>-1</w:t>
      </w:r>
      <w:r w:rsidRPr="00B7238F">
        <w:t xml:space="preserve"> (preço de R$ 3,20 por litro de óleo diesel e utilização de 0,8 L ha</w:t>
      </w:r>
      <w:r w:rsidRPr="00B7238F">
        <w:rPr>
          <w:vertAlign w:val="superscript"/>
        </w:rPr>
        <w:t>-1</w:t>
      </w:r>
      <w:r w:rsidRPr="00B7238F">
        <w:t>)</w:t>
      </w:r>
      <w:r w:rsidR="00932416">
        <w:t>;</w:t>
      </w:r>
    </w:p>
    <w:p w14:paraId="6C24ED80" w14:textId="77777777" w:rsidR="00FD5CE6" w:rsidRPr="00B7238F" w:rsidRDefault="00FD5CE6" w:rsidP="005F7854">
      <w:pPr>
        <w:spacing w:after="0" w:line="360" w:lineRule="auto"/>
      </w:pPr>
      <w:r w:rsidRPr="00B7238F">
        <w:t>- Custo de funcionário de R$ 0,87 por hectare (salário + encargos sociais = R$ 3.500,00 mensais; 160 horas de trabalho por mês, uma hora para abastecimento e pulverização de 25 hectares);</w:t>
      </w:r>
    </w:p>
    <w:p w14:paraId="3839D462" w14:textId="44522E82" w:rsidR="00FD5CE6" w:rsidRPr="00B7238F" w:rsidRDefault="00FD5CE6" w:rsidP="005F7854">
      <w:pPr>
        <w:spacing w:after="0" w:line="360" w:lineRule="auto"/>
      </w:pPr>
      <w:r w:rsidRPr="00B7238F">
        <w:t>- Custo médio de fungicida de R$143,00 por pulverização (mistura de triazol/triazollintione + estrobilurina + protetor + adjuvante.</w:t>
      </w:r>
    </w:p>
    <w:p w14:paraId="1DDF59C3" w14:textId="77777777" w:rsidR="00932416" w:rsidRDefault="00FD5CE6" w:rsidP="005F7854">
      <w:pPr>
        <w:spacing w:after="0" w:line="360" w:lineRule="auto"/>
      </w:pPr>
      <w:r w:rsidRPr="00B7238F">
        <w:t>Na safra 2018/19 foram cultivados aproximadamente 35,82 milhões de hectares de soja no país. Considerando a média de três aplicações de fungicida e custo de R$ 202,68 por aplicação, estima-se gasto de R$ 21,78 bilhões para controle químico da FAZ, ou U$ 5,7 bilhões (cotação do dólar de R$ 3,82). Este valor é superior ao custo de controle de U$ 2,2 bilhões estimado por Godoy et al. (2016) para a safra 2012/13 onde foi considerado U$ 25,00 por aplicação de fungicida, valor abaixo do custo atual de aplicação.</w:t>
      </w:r>
    </w:p>
    <w:p w14:paraId="76B4C0D2" w14:textId="77777777" w:rsidR="00932416" w:rsidRDefault="00932416" w:rsidP="005F7854">
      <w:pPr>
        <w:spacing w:after="0" w:line="360" w:lineRule="auto"/>
      </w:pPr>
    </w:p>
    <w:p w14:paraId="232975CC" w14:textId="420F21AF" w:rsidR="00CA6CFD" w:rsidRPr="00B7238F" w:rsidRDefault="00CA6CFD" w:rsidP="005F7854">
      <w:pPr>
        <w:pStyle w:val="Ttulo4"/>
        <w:spacing w:before="0" w:after="0" w:line="360" w:lineRule="auto"/>
      </w:pPr>
      <w:bookmarkStart w:id="164" w:name="_Toc22568239"/>
      <w:r w:rsidRPr="00B7238F">
        <w:t>2.7.3.3</w:t>
      </w:r>
      <w:r w:rsidR="00DB7F00" w:rsidRPr="00B7238F">
        <w:t xml:space="preserve"> </w:t>
      </w:r>
      <w:r w:rsidR="00932416">
        <w:t>R</w:t>
      </w:r>
      <w:r w:rsidR="00932416" w:rsidRPr="00B7238F">
        <w:t>isco de resistência a fungicidas</w:t>
      </w:r>
      <w:bookmarkEnd w:id="164"/>
    </w:p>
    <w:p w14:paraId="39A35047" w14:textId="77777777" w:rsidR="00932416" w:rsidRDefault="00932416" w:rsidP="005F7854">
      <w:pPr>
        <w:spacing w:after="0" w:line="360" w:lineRule="auto"/>
      </w:pPr>
    </w:p>
    <w:p w14:paraId="2A55B1E7" w14:textId="77777777" w:rsidR="00D43424" w:rsidRDefault="00FD5CE6" w:rsidP="005F7854">
      <w:pPr>
        <w:spacing w:after="0" w:line="360" w:lineRule="auto"/>
      </w:pPr>
      <w:r w:rsidRPr="00B7238F">
        <w:t>A classificação de patógenos em classes de risco de resistência a fungicidas é realizada considerando seis características do fungo: duração do ciclo de vida, capacidade de esporulação, disseminação a longa distância, capacidade de infectar plantas em diferentes estádios, reprodução sexuada e capacidade de mutação ou de expressão de genes mutantes (</w:t>
      </w:r>
      <w:bookmarkStart w:id="165" w:name="_Hlk11841530"/>
      <w:r w:rsidRPr="00B7238F">
        <w:t>BRENT &amp; HOLLOMON, 2007; OLIVER, 2014</w:t>
      </w:r>
      <w:bookmarkEnd w:id="165"/>
      <w:r w:rsidRPr="00B7238F">
        <w:t xml:space="preserve">). Os agentes causais de ferrugens apresentam ciclo de vida curto, alta capacidade de esporulação, disseminação a longa distância e capacidade de infectar plantas em diferentes estádios, sendo considerados como alto risco de resistência a fungicidas (OLIVER, 2014).  Porém a capacidade de mutação ou de expressão de genes mutantes faz com que os patógenos causadores de ferrugens sejam classificados como baixo risco de resistência pelo FRAC. </w:t>
      </w:r>
      <w:r w:rsidRPr="00B7238F">
        <w:rPr>
          <w:iCs/>
        </w:rPr>
        <w:t xml:space="preserve">O fungo </w:t>
      </w:r>
      <w:r w:rsidRPr="00B7238F">
        <w:rPr>
          <w:i/>
          <w:iCs/>
        </w:rPr>
        <w:t xml:space="preserve">P. pachyrhizi </w:t>
      </w:r>
      <w:r w:rsidRPr="00B7238F">
        <w:t>é descrito em seus estádios de urédia e télia (</w:t>
      </w:r>
      <w:bookmarkStart w:id="166" w:name="_Hlk11841555"/>
      <w:r w:rsidRPr="00B7238F">
        <w:t>MARCHETTI et al., 1975; YEH et al., 1981</w:t>
      </w:r>
      <w:bookmarkEnd w:id="166"/>
      <w:r w:rsidRPr="00B7238F">
        <w:t>), sendo encontrado em condições de campo no Brasil apenas a fase uredial, não apresentando a forma sexuada. Como o fungo é dicariótico em grande parte do seu ciclo de vida o FRAC considera haver menor probabilidade de ocorrer mutações recessivas e/ou estas mutações serem letais, classificando-o como fungo de baixo risco de resistência a fungicidas.</w:t>
      </w:r>
    </w:p>
    <w:p w14:paraId="2C4BFDF9" w14:textId="77777777" w:rsidR="00D43424" w:rsidRDefault="00FD5CE6" w:rsidP="005F7854">
      <w:pPr>
        <w:spacing w:after="0" w:line="360" w:lineRule="auto"/>
      </w:pPr>
      <w:r w:rsidRPr="00B7238F">
        <w:t>Os mecanismos de resistência de fungos a fungicidas são mutações que reduzem a ligação do fungicida ao sítio de ação e aumentam a transcrição e tradução do sítio de ação, expressão de bombas que removem o fungicida e expressão de genes que agem na detoxificação do fungicida. Assim, em todos estes casos é necessário mais fungicida para manter o mesmo efeito inibitório.</w:t>
      </w:r>
    </w:p>
    <w:p w14:paraId="40CC20CA" w14:textId="77777777" w:rsidR="00D43424" w:rsidRDefault="00FD5CE6" w:rsidP="005F7854">
      <w:pPr>
        <w:spacing w:after="0" w:line="360" w:lineRule="auto"/>
      </w:pPr>
      <w:r w:rsidRPr="00B7238F">
        <w:t>No FRAC são descritos 46 grupos de fungicidas, mas apenas inibidores da biossíntese de esteróis, inibidores da quinona externa e inibidores da succinato desidrogenase são utilizados no controle de ferrugens de tal forma a exercer pressão de seleção sobre os patógenos (OLIVER, 2014; FRAC, 2017). Entretanto, já foram relatados redução da sensibilidade a estes três grupos de fungicidas para agentes causais de ferrugens, o que põem em dúvida a classificação como baixo risco para este grupo de fungos proposta pelo FRAC (</w:t>
      </w:r>
      <w:bookmarkStart w:id="167" w:name="_Hlk11841619"/>
      <w:r w:rsidRPr="00B7238F">
        <w:t>FRAC, 2017</w:t>
      </w:r>
      <w:bookmarkEnd w:id="167"/>
      <w:r w:rsidRPr="00B7238F">
        <w:t>).</w:t>
      </w:r>
    </w:p>
    <w:p w14:paraId="22216220" w14:textId="1CDCA13A" w:rsidR="00CA6CFD" w:rsidRDefault="00FD5CE6" w:rsidP="005F7854">
      <w:pPr>
        <w:spacing w:after="0" w:line="360" w:lineRule="auto"/>
      </w:pPr>
      <w:r w:rsidRPr="00B7238F">
        <w:t xml:space="preserve">A variabilidade genética de </w:t>
      </w:r>
      <w:r w:rsidRPr="00B7238F">
        <w:rPr>
          <w:i/>
        </w:rPr>
        <w:t>P. pachyrhizi</w:t>
      </w:r>
      <w:r w:rsidRPr="00B7238F">
        <w:t xml:space="preserve">, a extensão da área cultivada com soja pulverizada com fungicidas, o número de aplicações de fungicidas por ciclo, a utilização de misturas de grupos químicos com alto risco de resistência, a repetição de pulverizações com os mesmos mecanismos de ação e a possibilidade de sobrevivência do patógeno no período de entressafra em regiões de inverno ameno no Brasil e/ou na fronteira com o Paraguai e Bolívia, são características que demonstram o alto risco de seleção de populações do patógeno com redução da sensibilidade a fungicidas. A combinação destes fatores é forte fator indicativo da redução da sensibilidade de </w:t>
      </w:r>
      <w:r w:rsidRPr="00B7238F">
        <w:rPr>
          <w:i/>
        </w:rPr>
        <w:t xml:space="preserve">P. pachyrhizi </w:t>
      </w:r>
      <w:r w:rsidRPr="00B7238F">
        <w:t>a triazóis, estrobilurinas e carboxamidas no Brasil.</w:t>
      </w:r>
    </w:p>
    <w:p w14:paraId="247A0ECA" w14:textId="77777777" w:rsidR="00D0320F" w:rsidRPr="00B7238F" w:rsidRDefault="00D0320F" w:rsidP="00323645">
      <w:pPr>
        <w:spacing w:line="360" w:lineRule="auto"/>
        <w:ind w:firstLine="0"/>
        <w:rPr>
          <w:highlight w:val="yellow"/>
        </w:rPr>
      </w:pPr>
    </w:p>
    <w:p w14:paraId="4B6EFEA9" w14:textId="1AE11EC5" w:rsidR="00CA6CFD" w:rsidRPr="00B7238F" w:rsidRDefault="00CA6CFD" w:rsidP="005F7854">
      <w:pPr>
        <w:pStyle w:val="Ttulo4"/>
        <w:spacing w:before="0" w:after="0" w:line="360" w:lineRule="auto"/>
      </w:pPr>
      <w:bookmarkStart w:id="168" w:name="_Toc22568240"/>
      <w:r w:rsidRPr="00B7238F">
        <w:t>2.7.3.4</w:t>
      </w:r>
      <w:r w:rsidR="00AA2BF2" w:rsidRPr="00B7238F">
        <w:t xml:space="preserve"> </w:t>
      </w:r>
      <w:r w:rsidR="00D43424">
        <w:t>M</w:t>
      </w:r>
      <w:r w:rsidR="00D43424" w:rsidRPr="00B7238F">
        <w:t>ecanismos de ação de fungicidas utilizados no controle de</w:t>
      </w:r>
      <w:r w:rsidR="00AA2BF2" w:rsidRPr="00B7238F">
        <w:t xml:space="preserve"> </w:t>
      </w:r>
      <w:r w:rsidR="00AA2BF2" w:rsidRPr="00D43424">
        <w:rPr>
          <w:u w:val="single"/>
        </w:rPr>
        <w:t>P. pachyrhizi</w:t>
      </w:r>
      <w:bookmarkEnd w:id="168"/>
    </w:p>
    <w:p w14:paraId="71302C1F" w14:textId="05D5BFC1" w:rsidR="006B56E7" w:rsidRPr="00B7238F" w:rsidRDefault="006B56E7" w:rsidP="005F7854">
      <w:pPr>
        <w:spacing w:after="0" w:line="360" w:lineRule="auto"/>
        <w:rPr>
          <w:highlight w:val="yellow"/>
        </w:rPr>
      </w:pPr>
    </w:p>
    <w:p w14:paraId="789F247B" w14:textId="77777777" w:rsidR="00D43424" w:rsidRDefault="00F807D4" w:rsidP="005F7854">
      <w:pPr>
        <w:spacing w:line="360" w:lineRule="auto"/>
      </w:pPr>
      <w:r w:rsidRPr="00B7238F">
        <w:t xml:space="preserve">No Brasil, os principais fungicidas utilizados no controle de </w:t>
      </w:r>
      <w:r w:rsidRPr="00B7238F">
        <w:rPr>
          <w:i/>
        </w:rPr>
        <w:t>P. pachyrhizi,</w:t>
      </w:r>
      <w:r w:rsidRPr="00B7238F">
        <w:t xml:space="preserve"> tem como mecanismos de ação a</w:t>
      </w:r>
      <w:r w:rsidR="003173E3" w:rsidRPr="00B7238F">
        <w:t xml:space="preserve"> DMI</w:t>
      </w:r>
      <w:r w:rsidRPr="00B7238F">
        <w:t xml:space="preserve">, </w:t>
      </w:r>
      <w:r w:rsidR="003173E3" w:rsidRPr="00B7238F">
        <w:t xml:space="preserve">IQe </w:t>
      </w:r>
      <w:r w:rsidRPr="00B7238F">
        <w:t xml:space="preserve">e </w:t>
      </w:r>
      <w:r w:rsidR="003173E3" w:rsidRPr="00B7238F">
        <w:t>SDHI (</w:t>
      </w:r>
      <w:r w:rsidRPr="00B7238F">
        <w:t>inibição da succinato desidrogenase</w:t>
      </w:r>
      <w:r w:rsidR="003173E3" w:rsidRPr="00B7238F">
        <w:t>)</w:t>
      </w:r>
      <w:r w:rsidRPr="00B7238F">
        <w:t>. Além disso, nas últimas três safras iniciou-se a utilização de fungicidas multissítios (mancozebe, clorotalonil, hidróxido e oxicloreto de cobre) no controle da doença, os quais interrompem funções das células do fungo de uma maneira não específica (</w:t>
      </w:r>
      <w:bookmarkStart w:id="169" w:name="_Hlk11841651"/>
      <w:r w:rsidRPr="00B7238F">
        <w:t>GULLINO et al., 2010</w:t>
      </w:r>
      <w:bookmarkEnd w:id="169"/>
      <w:r w:rsidRPr="00B7238F">
        <w:t>).</w:t>
      </w:r>
    </w:p>
    <w:p w14:paraId="2EC58C98" w14:textId="77777777" w:rsidR="00D43424" w:rsidRDefault="00D43424" w:rsidP="005F7854">
      <w:pPr>
        <w:spacing w:after="0" w:line="360" w:lineRule="auto"/>
      </w:pPr>
    </w:p>
    <w:p w14:paraId="2B8E9BB1" w14:textId="5D24D4D4" w:rsidR="00D43424" w:rsidRPr="000520CF" w:rsidRDefault="00CA6CFD" w:rsidP="005F7854">
      <w:pPr>
        <w:pStyle w:val="Ttulo5"/>
        <w:spacing w:after="0" w:line="360" w:lineRule="auto"/>
      </w:pPr>
      <w:bookmarkStart w:id="170" w:name="_Toc22568241"/>
      <w:r w:rsidRPr="000520CF">
        <w:t>2.7.3.4.1</w:t>
      </w:r>
      <w:r w:rsidR="00AA2BF2" w:rsidRPr="000520CF">
        <w:t xml:space="preserve"> </w:t>
      </w:r>
      <w:r w:rsidR="000520CF" w:rsidRPr="000520CF">
        <w:t>Fungicidas inibidores da biossíntese de esteróis</w:t>
      </w:r>
      <w:bookmarkEnd w:id="170"/>
    </w:p>
    <w:p w14:paraId="6905A4CD" w14:textId="77777777" w:rsidR="000520CF" w:rsidRDefault="000520CF" w:rsidP="005F7854">
      <w:pPr>
        <w:spacing w:after="0" w:line="360" w:lineRule="auto"/>
        <w:ind w:firstLine="0"/>
      </w:pPr>
    </w:p>
    <w:p w14:paraId="601531F6" w14:textId="77777777" w:rsidR="000A7878" w:rsidRDefault="003173E3" w:rsidP="005F7854">
      <w:pPr>
        <w:spacing w:after="0" w:line="360" w:lineRule="auto"/>
      </w:pPr>
      <w:r w:rsidRPr="00B7238F">
        <w:t>Os fungicidas inibidores da biossíntese de esteróis (IBE) podem ser divididos em dois grupos: os inibidores da desmetilação (DMI) do C14 e os inibidores da isomerase Δ8‐Δ7 e redutase Δ14 (IIR).</w:t>
      </w:r>
    </w:p>
    <w:p w14:paraId="1AAD10F1" w14:textId="77777777" w:rsidR="000A7878" w:rsidRDefault="003173E3" w:rsidP="005F7854">
      <w:pPr>
        <w:spacing w:after="0" w:line="360" w:lineRule="auto"/>
      </w:pPr>
      <w:r w:rsidRPr="00B7238F">
        <w:t>O mecanismo de ação dos fungicidas DMI’s, consiste na inibição da remoção do grupo metila C14 do 24-metilenodihidrolanasterol, resultando no acúmulo de precursores de esteróis e redução do ergosterol. Da mesma forma, os fungicidas IRR ao inibirem as enzimas isomerase Δ8‐Δ7 e redutase Δ14, ocasionam redução de ergosterol e acúmulo de precursores de esteróis (</w:t>
      </w:r>
      <w:bookmarkStart w:id="171" w:name="_Hlk11841696"/>
      <w:r w:rsidRPr="00B7238F">
        <w:t>REIS, REIS &amp; CARMONA, 2016</w:t>
      </w:r>
      <w:bookmarkEnd w:id="171"/>
      <w:r w:rsidRPr="00B7238F">
        <w:t>).</w:t>
      </w:r>
    </w:p>
    <w:p w14:paraId="119DCC6D" w14:textId="77777777" w:rsidR="000A7878" w:rsidRDefault="003173E3" w:rsidP="005F7854">
      <w:pPr>
        <w:spacing w:after="0" w:line="360" w:lineRule="auto"/>
      </w:pPr>
      <w:r w:rsidRPr="00B7238F">
        <w:t xml:space="preserve">A redução na disponibilidade de ergosterol resulta na ruptura da membrana plasmática e na saída de eletrólitos, ocasionando a perda dos elementos intracelulares. Também ocorre a inibição da biossíntese de triglicerídeos e fosfolipídios do fungo, resultando na necrose celular. O ergosterol é importante para integridade da membrana plasmática da maioria dos fungos basidiomicetos, ascomicetos e deuteromicetos, o que explica o amplo espectro de ação deste grupo de fungicidas. Entretanto os fungicidas IIR, apresentam espectro de ação limitado quando comparados aos DMI’s, sendo sua utilização principalmente contra agentes causais de oídios (REIS, REIS &amp; CARMONA, 2016). Contudo, em 2017 foi registrado no Brasil o fungicida fenpropimorfo (IIR) pertencente ao grupo químico das morfolinas para o controle de </w:t>
      </w:r>
      <w:r w:rsidRPr="00B7238F">
        <w:rPr>
          <w:i/>
        </w:rPr>
        <w:t>P. pachyrhizi</w:t>
      </w:r>
      <w:r w:rsidRPr="00B7238F">
        <w:t xml:space="preserve"> (AGROFIT, 2019)</w:t>
      </w:r>
      <w:r w:rsidR="000A7878">
        <w:t>.</w:t>
      </w:r>
    </w:p>
    <w:p w14:paraId="7A01CC2A" w14:textId="77777777" w:rsidR="000A7878" w:rsidRDefault="003173E3" w:rsidP="005F7854">
      <w:pPr>
        <w:spacing w:after="0" w:line="360" w:lineRule="auto"/>
      </w:pPr>
      <w:r w:rsidRPr="00B7238F">
        <w:t xml:space="preserve">Os principais ingredientes ativos de fungicidas IDM registrados no Brasil em misturas comerciais para controlar </w:t>
      </w:r>
      <w:r w:rsidRPr="00B7238F">
        <w:rPr>
          <w:i/>
        </w:rPr>
        <w:t>P. pachyrhizi</w:t>
      </w:r>
      <w:r w:rsidRPr="00B7238F">
        <w:t xml:space="preserve"> são o ciproconazole, difenoconazol, epoxiconazol, fluquinconazol, flutriafol, tebuconazol, tetraconazol, metconazol e protioconazol. Há fungicidas comerciais compostos por misturas de triazóis como propiconazol + ciproconazol, ciproconazol + difenoconazol. Porém a principal forma de comercialização de inibidores de esteróis para o controle deste patógeno, ocorre em misturas de triazóis e estrobilurinas. As principais misturas de triazóis e estrobilurinas registradas no Brasil são azoxistrobina + ciproconazol, azoxistrobina + tebuconazol, azoxistrobina + flutriafol, epoxiconazol + piraclostrobina, trifloxistrobina + ciproconazol, trifloxistrobina + protioconazol, trifloxistrobina + tebuconazol, picoxistrobina + ciproconazol e picoxistrobina + tebuconazol.  Em 2016 foi lançada a primeira mistura tripla de triazol + carboxamida + estrobilurina visando o controle deste fungo, composta por fluxapiroxada + piraclostrobina + epoxiconazole (</w:t>
      </w:r>
      <w:bookmarkStart w:id="172" w:name="_Hlk11841839"/>
      <w:r w:rsidRPr="00B7238F">
        <w:t>JULLIATI, AZEVEDO &amp; JULLIATI, 2017</w:t>
      </w:r>
      <w:bookmarkEnd w:id="172"/>
      <w:r w:rsidRPr="00B7238F">
        <w:t>). No ano de 2017 foi registrada outra mistura tripla composta por fungicidas dos mesmos grupos químicos, formulada com bixafeno + trifloxistrobina + protioconazole.</w:t>
      </w:r>
    </w:p>
    <w:p w14:paraId="7E59E5F6" w14:textId="77777777" w:rsidR="000A7878" w:rsidRDefault="003173E3" w:rsidP="005F7854">
      <w:pPr>
        <w:spacing w:after="0" w:line="360" w:lineRule="auto"/>
      </w:pPr>
      <w:r w:rsidRPr="00B7238F">
        <w:t>Os inibidores da biossíntese de esteróis são fungicidas penetrantes móveis e apresentam ação protetora, curativa e erradicante (</w:t>
      </w:r>
      <w:bookmarkStart w:id="173" w:name="_Hlk11841856"/>
      <w:r w:rsidRPr="00B7238F">
        <w:t>REIS, DEUNER &amp; ZANATTA, 2015</w:t>
      </w:r>
      <w:bookmarkEnd w:id="173"/>
      <w:r w:rsidRPr="00B7238F">
        <w:t xml:space="preserve">). Além disto, este grupo de fungicidas não inibem a germinação de esporos, pois os esteróis utilizados na sua germinação são armazenados nestas estruturas, podendo assim ocorrer a germinação na ausência da biossíntese de esteróis. No caso específico de </w:t>
      </w:r>
      <w:r w:rsidRPr="00B7238F">
        <w:rPr>
          <w:i/>
        </w:rPr>
        <w:t xml:space="preserve">P. pachyrhizi, </w:t>
      </w:r>
      <w:r w:rsidRPr="00B7238F">
        <w:t>a síntese de esteróis inicia-se 24 horas após o início da germinação (REIS, REIS &amp; CARMONA, 2016). Entre os fungicidas utilizados no controle deste patógeno, os inibidores de esteróis são o único grupo que apresenta ação posterior a infecção do fungo. Portanto pulverizações realizadas posteriormente a detecção de sintomas da FAS, necessitam da presença de ingrediente ativo do grupo químico triazol, triazolintione ou morfolinas para aumento da eficiência de controle da doença.</w:t>
      </w:r>
    </w:p>
    <w:p w14:paraId="1549E3A3" w14:textId="77777777" w:rsidR="000A7878" w:rsidRDefault="003173E3" w:rsidP="005F7854">
      <w:pPr>
        <w:spacing w:after="0" w:line="360" w:lineRule="auto"/>
      </w:pPr>
      <w:r w:rsidRPr="00B7238F">
        <w:t>A redução da sensibilidade de fungos a fungicidas inibidores da biossíntese de esteróis pode ser ocasionada por três mecanismos de resistência: mutação na sequência de aminoácidos na enzima CYP51, superexpressão da enzima CYP51 e superexpressão de proteínas relacionadas ao efluxo do fungicida (</w:t>
      </w:r>
      <w:bookmarkStart w:id="174" w:name="_Hlk11841891"/>
      <w:r w:rsidRPr="00B7238F">
        <w:t>COOLS et al., 2012; PRICE et al., 2015</w:t>
      </w:r>
      <w:bookmarkEnd w:id="174"/>
      <w:r w:rsidRPr="00B7238F">
        <w:t xml:space="preserve">). Em </w:t>
      </w:r>
      <w:r w:rsidRPr="00B7238F">
        <w:rPr>
          <w:i/>
        </w:rPr>
        <w:t xml:space="preserve">P. pachyrhizi </w:t>
      </w:r>
      <w:r w:rsidRPr="00B7238F">
        <w:t>foram detectadas as mutações F120L, Y131F/H, K142R, I145F e I475T, bem como a superexpressão da enzima CYP51 (</w:t>
      </w:r>
      <w:bookmarkStart w:id="175" w:name="_Hlk11841909"/>
      <w:r w:rsidRPr="00B7238F">
        <w:t>SCHIMITZ et al., 2014</w:t>
      </w:r>
      <w:bookmarkEnd w:id="175"/>
      <w:r w:rsidRPr="00B7238F">
        <w:t>).</w:t>
      </w:r>
    </w:p>
    <w:p w14:paraId="2124DD95" w14:textId="4AEE561B" w:rsidR="000A7878" w:rsidRDefault="003173E3" w:rsidP="005F7854">
      <w:pPr>
        <w:spacing w:after="0" w:line="360" w:lineRule="auto"/>
      </w:pPr>
      <w:r w:rsidRPr="00B7238F">
        <w:t xml:space="preserve">A exposição de </w:t>
      </w:r>
      <w:r w:rsidRPr="00B7238F">
        <w:rPr>
          <w:i/>
        </w:rPr>
        <w:t xml:space="preserve">P. pachyrhizi </w:t>
      </w:r>
      <w:r w:rsidRPr="00B7238F">
        <w:t xml:space="preserve">a fungicidas inibidores da biossíntese de esteróis utilizados de maneira isolada, a recomendação de estratégias como a mistura com fungicida sitio </w:t>
      </w:r>
      <w:r w:rsidR="002A7413" w:rsidRPr="00B7238F">
        <w:t>específico</w:t>
      </w:r>
      <w:r w:rsidRPr="00B7238F">
        <w:t>, redução do intervalo entre aplicações e aumento do número médio de aplicações por ciclo da cultura, são fatores que contribuíram para redução da eficiência dos triazóis cinco anos após o início da sua utilização.</w:t>
      </w:r>
    </w:p>
    <w:p w14:paraId="756CAD89" w14:textId="77777777" w:rsidR="00B11272" w:rsidRDefault="00B11272" w:rsidP="005F7854">
      <w:pPr>
        <w:spacing w:after="0" w:line="360" w:lineRule="auto"/>
      </w:pPr>
    </w:p>
    <w:p w14:paraId="00DF5535" w14:textId="38A56026" w:rsidR="00CA6CFD" w:rsidRPr="00B7238F" w:rsidRDefault="00CA6CFD" w:rsidP="005F7854">
      <w:pPr>
        <w:pStyle w:val="Ttulo5"/>
        <w:spacing w:after="0" w:line="360" w:lineRule="auto"/>
      </w:pPr>
      <w:bookmarkStart w:id="176" w:name="_Toc22568242"/>
      <w:r w:rsidRPr="00B7238F">
        <w:t>2.7.3.4.2</w:t>
      </w:r>
      <w:r w:rsidR="00AA2BF2" w:rsidRPr="00B7238F">
        <w:t xml:space="preserve"> </w:t>
      </w:r>
      <w:r w:rsidR="000A7878">
        <w:t>F</w:t>
      </w:r>
      <w:r w:rsidR="000A7878" w:rsidRPr="00B7238F">
        <w:t>ungicidas inibidores da quinona externa (IQE)</w:t>
      </w:r>
      <w:bookmarkEnd w:id="176"/>
    </w:p>
    <w:p w14:paraId="30AE5E7C" w14:textId="77777777" w:rsidR="00B11272" w:rsidRDefault="00B11272" w:rsidP="005F7854">
      <w:pPr>
        <w:spacing w:after="0" w:line="360" w:lineRule="auto"/>
      </w:pPr>
    </w:p>
    <w:p w14:paraId="44493F65" w14:textId="77777777" w:rsidR="00B11272" w:rsidRDefault="003173E3" w:rsidP="005F7854">
      <w:pPr>
        <w:spacing w:after="0" w:line="360" w:lineRule="auto"/>
      </w:pPr>
      <w:r w:rsidRPr="00B7238F">
        <w:t>O mecanismo de ação dos fungicidas IQe consiste na inibição da respiração mitocondrial, no complexo III da cadeia respiratória, pelo bloqueio da transferência de elétrons entre o citocromo b e o citocromo c1 no sítio Qe, interferindo na produção de ATP. A germinação de esporos é a fase do ciclo biológico do patógeno com maior sensibilidade a ação das estrobilurinas. Esses controlam uma ampla gama de doenças fúngicas, incluindo míldios, oídios, manchas foliares, murchas vasculares, podridões de frutas e ferrugens (REIS, REIS &amp; CARMONA, 2016).</w:t>
      </w:r>
    </w:p>
    <w:p w14:paraId="14BFBA85" w14:textId="77777777" w:rsidR="00B11272" w:rsidRDefault="003173E3" w:rsidP="005F7854">
      <w:pPr>
        <w:spacing w:after="0" w:line="360" w:lineRule="auto"/>
      </w:pPr>
      <w:r w:rsidRPr="00B7238F">
        <w:t>O principal grupo químico de fungicidas IQe são as estrobilurinas. No caso específico da FAS, não é recomendado a utilização destes fungicidas em aplicações isoladas. As estrobilurinas têm sido amplamente utilizados em misturas com triazóis. Em 2013 também foram comercializados em mistura com carboxamidas, e apartir de 2016 teve início a recomendação da mistura com carboxamida e triazol (GODOY et al., 2016).</w:t>
      </w:r>
    </w:p>
    <w:p w14:paraId="2674F4ED" w14:textId="77777777" w:rsidR="00B11272" w:rsidRDefault="003173E3" w:rsidP="005F7854">
      <w:pPr>
        <w:spacing w:after="0" w:line="360" w:lineRule="auto"/>
      </w:pPr>
      <w:r w:rsidRPr="00B7238F">
        <w:t xml:space="preserve">Os principais fungicidas registrados para o controle de </w:t>
      </w:r>
      <w:r w:rsidRPr="00B7238F">
        <w:rPr>
          <w:i/>
        </w:rPr>
        <w:t xml:space="preserve">P. pachyrhizi </w:t>
      </w:r>
      <w:r w:rsidRPr="00B7238F">
        <w:t>contendo estrobilurinas são: azoxistrobina + ciproconazole, azoxistrobina + tebuconazol, azoxistrobina + flutriafol, epoxiconazol + piraclostrobina, trifloxistrobina + ciproconazol, trifloxistrobina + protioconazol, trifloxistrobina + tebuconazol, picoxistrobina + ciproconazol, picoxistrobina + tebuconazol azoxistrobina +benzovindiflupir, picoxistrobina + benzovindiflupir, piraclostrobina + fluxapiroxada, piraclostrobina + fluxapiroxada + epoxiconazol e trifloxistrobina + bixafeno + protioconazole.</w:t>
      </w:r>
    </w:p>
    <w:p w14:paraId="3715FB32" w14:textId="77777777" w:rsidR="00B11272" w:rsidRDefault="003173E3" w:rsidP="005F7854">
      <w:pPr>
        <w:spacing w:after="0" w:line="360" w:lineRule="auto"/>
      </w:pPr>
      <w:r w:rsidRPr="00B7238F">
        <w:t>As estrobilurinas possuem translocação mesostêmica, apresentam afinidade com a superfície foliar podendo serem absorvidas pela camada de cera, formando um depósito na superfície do órgão da planta. Posteriormente, o fungicida pode ser redistribuído na superfície da planta na fase de vapor. O ingrediente ativo penetra nos tecidos apresentando atividade translaminar ou de profundidade, porém com translocação vascular mínima ou inexistente (REIS, REIS &amp; CARMONA, 2016).</w:t>
      </w:r>
    </w:p>
    <w:p w14:paraId="5F2BF2AF" w14:textId="77777777" w:rsidR="00B11272" w:rsidRDefault="003173E3" w:rsidP="005F7854">
      <w:pPr>
        <w:spacing w:after="0" w:line="360" w:lineRule="auto"/>
      </w:pPr>
      <w:r w:rsidRPr="00B7238F">
        <w:t>Mutações no sitio de ação no citocromo b (CYTB) podem resultar em redução da sensibilidade de fungos a estrobilurinas. Foram relatadas mutações no CYTB nas posições F129L, G137R e G143A, em isolados de patogenos com menor sensibilidade a fungicidas IQe (SCHMITZ et al</w:t>
      </w:r>
      <w:r w:rsidR="00CC78E6" w:rsidRPr="00B7238F">
        <w:t>, 2013</w:t>
      </w:r>
      <w:r w:rsidRPr="00B7238F">
        <w:t>).</w:t>
      </w:r>
    </w:p>
    <w:p w14:paraId="039CE048" w14:textId="77777777" w:rsidR="00B11272" w:rsidRDefault="003173E3" w:rsidP="005F7854">
      <w:pPr>
        <w:spacing w:after="0" w:line="360" w:lineRule="auto"/>
      </w:pPr>
      <w:r w:rsidRPr="00B7238F">
        <w:t>A substituição de glicina por alanina na posição 143 (G143A) é a mutação mais comum em patógenos resistentes a IQe e está associada aos maiores fatores de resistência (</w:t>
      </w:r>
      <w:bookmarkStart w:id="177" w:name="_Hlk11841944"/>
      <w:r w:rsidRPr="00B7238F">
        <w:t>GISI et al., 2002; GRASSO et al., 2006</w:t>
      </w:r>
      <w:bookmarkEnd w:id="177"/>
      <w:r w:rsidRPr="00B7238F">
        <w:t xml:space="preserve">). Porém, análises de sequenciamento do gene CYTB revelaram que os agentes causais de ferrugens, incluindo </w:t>
      </w:r>
      <w:r w:rsidRPr="00B7238F">
        <w:rPr>
          <w:i/>
        </w:rPr>
        <w:t>P. pachyrhizi</w:t>
      </w:r>
      <w:r w:rsidRPr="00B7238F">
        <w:t>, possuem um intron após o códon 143, desta forma sendo letal a mutação para o fungo (</w:t>
      </w:r>
      <w:bookmarkStart w:id="178" w:name="_Hlk11841960"/>
      <w:r w:rsidRPr="00B7238F">
        <w:t>SCHIMITZ et al., 201</w:t>
      </w:r>
      <w:bookmarkEnd w:id="178"/>
      <w:r w:rsidR="00CC78E6" w:rsidRPr="00B7238F">
        <w:t>3</w:t>
      </w:r>
      <w:r w:rsidRPr="00B7238F">
        <w:t>).</w:t>
      </w:r>
    </w:p>
    <w:p w14:paraId="63DFB2A6" w14:textId="77777777" w:rsidR="00B11272" w:rsidRDefault="003173E3" w:rsidP="005F7854">
      <w:pPr>
        <w:spacing w:after="0" w:line="360" w:lineRule="auto"/>
      </w:pPr>
      <w:r w:rsidRPr="00B7238F">
        <w:t xml:space="preserve">As mutações F129L e G137R foram relatadas como de menor fator de resistência a estrobilurinas. Avaliações realizadas em isolados de </w:t>
      </w:r>
      <w:r w:rsidRPr="00B7238F">
        <w:rPr>
          <w:i/>
        </w:rPr>
        <w:t>P. pachyrhizi</w:t>
      </w:r>
      <w:r w:rsidRPr="00B7238F">
        <w:t xml:space="preserve"> coletados no Brasil, nas safras 2012/13 e 2013/14, detectaram a mutação F129L em 51 % das amostras. Não foram detectadas outras mutações, incluindo G143A e G137R. A frequência da mutação F129L foi superior a 90 % em 65 % dos isolados onde foi detectada a mutação, entre 50 e 90 % de frequência em 28 %, e inferior a 50 % em 7% das amostras. Todas as amostras da safra 2013/14 de diferentes regiões do Brasil apresentaram a mutação F129L, com variações na freqüência. No estado de Mato Grosso, 92% dos isolados apresentaram a mutação (todos na safra 2013/14). Das amostras coletadas no estado do Paraná, 32 % apresentaram a mutação F129L, sendo que da safra 2012/13 à 2013/14, a porcentagem de isolados com a mutação aumentou de 9 para 47 % (</w:t>
      </w:r>
      <w:bookmarkStart w:id="179" w:name="_Hlk11841988"/>
      <w:r w:rsidRPr="00B7238F">
        <w:t>KLOSOWSK et al., 2016</w:t>
      </w:r>
      <w:bookmarkEnd w:id="179"/>
      <w:r w:rsidRPr="00B7238F">
        <w:t>).</w:t>
      </w:r>
    </w:p>
    <w:p w14:paraId="33BE7D02" w14:textId="77777777" w:rsidR="00B11272" w:rsidRDefault="003173E3" w:rsidP="005F7854">
      <w:pPr>
        <w:spacing w:after="0" w:line="360" w:lineRule="auto"/>
      </w:pPr>
      <w:r w:rsidRPr="00B7238F">
        <w:t xml:space="preserve">No estado de Santa Catarina não há dados sobre a porcentagem de isolados de </w:t>
      </w:r>
      <w:r w:rsidRPr="00B7238F">
        <w:rPr>
          <w:i/>
        </w:rPr>
        <w:t>P. pachyrhizi</w:t>
      </w:r>
      <w:r w:rsidRPr="00B7238F">
        <w:t xml:space="preserve"> com mutações F129L e G143R. Portanto a quantificação da porcentagem de isolados com estas mutações, distribuição destes isolados no estado, e frequência das mutações seria uma importante contribuição para auxiliar nas recomendações de controle químico do patógeno.</w:t>
      </w:r>
    </w:p>
    <w:p w14:paraId="64AF0A27" w14:textId="3C0C4C6B" w:rsidR="00B11272" w:rsidRDefault="00B11272" w:rsidP="005F7854">
      <w:pPr>
        <w:spacing w:after="0" w:line="360" w:lineRule="auto"/>
      </w:pPr>
    </w:p>
    <w:p w14:paraId="750504FC" w14:textId="26356C6A" w:rsidR="00B11272" w:rsidRDefault="00CA6CFD" w:rsidP="005F7854">
      <w:pPr>
        <w:pStyle w:val="Ttulo5"/>
        <w:spacing w:after="0" w:line="360" w:lineRule="auto"/>
      </w:pPr>
      <w:bookmarkStart w:id="180" w:name="_Toc22568243"/>
      <w:r w:rsidRPr="00B7238F">
        <w:t>2.7.3.4.3</w:t>
      </w:r>
      <w:r w:rsidR="00AA2BF2" w:rsidRPr="00B7238F">
        <w:t xml:space="preserve"> </w:t>
      </w:r>
      <w:r w:rsidR="00B11272">
        <w:t>F</w:t>
      </w:r>
      <w:r w:rsidR="00B11272" w:rsidRPr="00B7238F">
        <w:t>ungicidas inibidores da succinato desidrogenase</w:t>
      </w:r>
      <w:bookmarkEnd w:id="180"/>
    </w:p>
    <w:p w14:paraId="6A8CF127" w14:textId="77777777" w:rsidR="00724C20" w:rsidRPr="00724C20" w:rsidRDefault="00724C20" w:rsidP="005F7854">
      <w:pPr>
        <w:spacing w:line="360" w:lineRule="auto"/>
      </w:pPr>
    </w:p>
    <w:p w14:paraId="17E99854" w14:textId="77777777" w:rsidR="00B11272" w:rsidRDefault="00CC78E6" w:rsidP="005F7854">
      <w:pPr>
        <w:spacing w:after="0" w:line="360" w:lineRule="auto"/>
      </w:pPr>
      <w:r w:rsidRPr="00B7238F">
        <w:t>Os fungicidas que inibem o complexo II da cadeia respiratória na enzima succinato desidrogenase (SDHI), foram originalmente chamados de carboxamidas. A enzima succinato desidrogenase (SDH) é composta por quatro sub-unidades A,</w:t>
      </w:r>
      <w:r w:rsidR="00B11272">
        <w:t xml:space="preserve"> </w:t>
      </w:r>
      <w:r w:rsidRPr="00B7238F">
        <w:t>B, C e D. O mecanismo de ação das carboxamidas consiste na ligação do fungicida a enzima succinato desidrogenase em uma das sub-unidades B, C ou D, inibindo o transporte de elétrons no complexo II da cadeia respiratória do fungo e consequentemente a produção de ATP. Esta inibição da produção de ATP, causa defict de energia e a morte do fungo. A germinação de esporos é a fase do ciclo biológico do fungo com maior sensibilidade a ação das carboxamidas (</w:t>
      </w:r>
      <w:bookmarkStart w:id="181" w:name="_Hlk11842012"/>
      <w:r w:rsidRPr="00B7238F">
        <w:t>SIEROTZK &amp; SCALLIET, 2013, REIS, REIS &amp; CARMONA, 2016, SIMÕES et al., 2017</w:t>
      </w:r>
      <w:bookmarkEnd w:id="181"/>
      <w:r w:rsidRPr="00B7238F">
        <w:t>).</w:t>
      </w:r>
    </w:p>
    <w:p w14:paraId="7C55A6B0" w14:textId="77777777" w:rsidR="00B11272" w:rsidRDefault="00CC78E6" w:rsidP="005F7854">
      <w:pPr>
        <w:spacing w:after="0" w:line="360" w:lineRule="auto"/>
      </w:pPr>
      <w:r w:rsidRPr="00B7238F">
        <w:t>O primeiro composto com este mecanismo de ação a ser descoberto foi a carboxina, com início da sua comercialização em 1966. Entre 1971 e 1997, teve início a comercialização de benodanil, fenfuram, mepronil, flutolanil, furametpyr e thifluzamide.  Estes compostos são também denominados como a primeira geração de carboxamidas, e apresentavam espectro de ação limitado quando comparados aos fungicidas deste grupo lançados posteriormente (SIEROTZK &amp; SCALLIET, 2013).</w:t>
      </w:r>
    </w:p>
    <w:p w14:paraId="63D1315B" w14:textId="77777777" w:rsidR="00B11272" w:rsidRDefault="00CC78E6" w:rsidP="005F7854">
      <w:pPr>
        <w:spacing w:after="0" w:line="360" w:lineRule="auto"/>
      </w:pPr>
      <w:r w:rsidRPr="00B7238F">
        <w:t>O início da comercialização das carboxamidas de segunda geração ocorreu no ano de 2003, com a comercialização da boscalida. Esta nova geração de SDHI apresenta amplo espectro de ação</w:t>
      </w:r>
      <w:r w:rsidRPr="00B7238F">
        <w:rPr>
          <w:b/>
        </w:rPr>
        <w:t xml:space="preserve"> </w:t>
      </w:r>
      <w:r w:rsidRPr="00B7238F">
        <w:t xml:space="preserve">sendo comparável ao espectro dos fungicidas IQe, com exceção da atividade de oomicetos, a qual ainda não foi comprovada. Nos últimos anos, vários novos fungicidas que inibem a enzima succinato desidrogenase (SDH) foram lançados e denominados coletivamente como SDHI’s (SIEROTZK &amp; SCALLIET, 2013). Existem </w:t>
      </w:r>
      <w:r w:rsidR="00997F2A" w:rsidRPr="00B7238F">
        <w:t>23</w:t>
      </w:r>
      <w:r w:rsidRPr="00B7238F">
        <w:t xml:space="preserve"> fungicidas com este mecanismo de ação (</w:t>
      </w:r>
      <w:r w:rsidR="00053D73" w:rsidRPr="00B7238F">
        <w:t>benodanil, flutolanil, mepronil, sofetamida, fluopyram, fenfuram, carboxina oxycarboxina, thifluzamide, benzovindiflupir, bixafen, fluindapir, fluxapyroxad</w:t>
      </w:r>
      <w:r w:rsidR="00997F2A" w:rsidRPr="00B7238F">
        <w:t>a</w:t>
      </w:r>
      <w:r w:rsidR="00053D73" w:rsidRPr="00B7238F">
        <w:t>, furametpir, inpyrfluxam, isopyrazam, penflufen, penthiopirada, sedaxane, soflucypram, pydiflumetofen,</w:t>
      </w:r>
      <w:r w:rsidR="00997F2A" w:rsidRPr="00B7238F">
        <w:t xml:space="preserve"> boscalida,</w:t>
      </w:r>
      <w:r w:rsidR="00053D73" w:rsidRPr="00B7238F">
        <w:t xml:space="preserve"> </w:t>
      </w:r>
      <w:r w:rsidR="00997F2A" w:rsidRPr="00B7238F">
        <w:t>pyraziflumida</w:t>
      </w:r>
      <w:r w:rsidRPr="00B7238F">
        <w:t>) (FRAC, 201</w:t>
      </w:r>
      <w:r w:rsidR="00997F2A" w:rsidRPr="00B7238F">
        <w:t>9</w:t>
      </w:r>
      <w:r w:rsidRPr="00B7238F">
        <w:t>)</w:t>
      </w:r>
      <w:r w:rsidR="00B11272">
        <w:t>.</w:t>
      </w:r>
    </w:p>
    <w:p w14:paraId="336C004B" w14:textId="77777777" w:rsidR="00B11272" w:rsidRDefault="00CC78E6" w:rsidP="005F7854">
      <w:pPr>
        <w:spacing w:after="0" w:line="360" w:lineRule="auto"/>
      </w:pPr>
      <w:r w:rsidRPr="00B7238F">
        <w:t>As SDHIs são estruturalmente distintas, mas apresentam uma característica comum essencial, que é a ligação amida. Este grupo de fungicidas pode ser dividido em nove grupos químicos, porém os grupos mais representativos em termos de moléculas comercializadas são pirazol-carboxamidas, seguido por benzamidas e oxa-carboxilamidas (SIEROTZK &amp; SCALLIET, 2013; FRAC, 201</w:t>
      </w:r>
      <w:r w:rsidR="00997F2A" w:rsidRPr="00B7238F">
        <w:t>9</w:t>
      </w:r>
      <w:r w:rsidRPr="00B7238F">
        <w:t xml:space="preserve">).  Os fungicidas SDHI utilizados para o controle de </w:t>
      </w:r>
      <w:r w:rsidRPr="00B7238F">
        <w:rPr>
          <w:i/>
        </w:rPr>
        <w:t xml:space="preserve">P. pachyrhizi </w:t>
      </w:r>
      <w:r w:rsidRPr="00B7238F">
        <w:t>são benzovindiflupir, fluxapiroxada e bixafeno, todos pertencendo ao grupo químico pirazol-carboxamidas. Contudo, a nomenclatura mais utilizada para este grupo químico e carboxamida, a qual sera utilizada neste texto.</w:t>
      </w:r>
    </w:p>
    <w:p w14:paraId="1960E852" w14:textId="77777777" w:rsidR="00B11272" w:rsidRDefault="00CC78E6" w:rsidP="005F7854">
      <w:pPr>
        <w:spacing w:after="0" w:line="360" w:lineRule="auto"/>
      </w:pPr>
      <w:r w:rsidRPr="00B7238F">
        <w:t xml:space="preserve">No Brasil a comercialização de carboxamidas visando o controle de </w:t>
      </w:r>
      <w:r w:rsidRPr="00B7238F">
        <w:rPr>
          <w:i/>
        </w:rPr>
        <w:t>P. pachyrhizi</w:t>
      </w:r>
      <w:r w:rsidRPr="00B7238F">
        <w:t xml:space="preserve"> teve início em 2013, com o registro dos fungicidas fluxapiroxada + piraclostrobina e benzovindiflupir + azoxistrobina. Em 2016 foi registrado o fungicida fluxapiroxada + piraclostrobina + epoxiconazole, e no ano seguinte benzovindiflupir + picoxistrobina. Em 2019, foi registrado o fungicida trifloxistrobina + protioconazole + bixafeno.</w:t>
      </w:r>
    </w:p>
    <w:p w14:paraId="0EA2F725" w14:textId="77777777" w:rsidR="00B11272" w:rsidRDefault="00CC78E6" w:rsidP="005F7854">
      <w:pPr>
        <w:spacing w:after="0" w:line="360" w:lineRule="auto"/>
      </w:pPr>
      <w:r w:rsidRPr="00B7238F">
        <w:t>Quanto a mobilidade os SDHI’s são classificados como penetrantes translaminares ou penetrantes sistêmicos (REIS, REIS &amp; CARMONA, 2016, JULLIATI, AZEVEDO &amp; JULLIATI, 2017).</w:t>
      </w:r>
    </w:p>
    <w:p w14:paraId="1F810575" w14:textId="77777777" w:rsidR="00B11272" w:rsidRDefault="00CC78E6" w:rsidP="005F7854">
      <w:pPr>
        <w:spacing w:after="0" w:line="360" w:lineRule="auto"/>
      </w:pPr>
      <w:r w:rsidRPr="00B7238F">
        <w:t xml:space="preserve">Os primeiros indícios de possíveis mutações ocasionando redução da sensibilidade a carboxamidas foram relatados para </w:t>
      </w:r>
      <w:r w:rsidRPr="00B7238F">
        <w:rPr>
          <w:i/>
        </w:rPr>
        <w:t>Ustilago maydis</w:t>
      </w:r>
      <w:r w:rsidRPr="00B7238F">
        <w:rPr>
          <w:color w:val="00B0F0"/>
        </w:rPr>
        <w:t xml:space="preserve"> </w:t>
      </w:r>
      <w:r w:rsidRPr="00B7238F">
        <w:t xml:space="preserve">e </w:t>
      </w:r>
      <w:r w:rsidRPr="00B7238F">
        <w:rPr>
          <w:i/>
        </w:rPr>
        <w:t xml:space="preserve">Aspergillus nidulans </w:t>
      </w:r>
      <w:r w:rsidRPr="00B7238F">
        <w:t>na década de 1970. Estes mutantes foram selecionados após irradiação UV em meios modificados com fungicida (</w:t>
      </w:r>
      <w:bookmarkStart w:id="182" w:name="_Hlk11842062"/>
      <w:r w:rsidRPr="00B7238F">
        <w:t>VAN TUYL, 1975; GEORGOPOULOS &amp; ZIOGAS, 1977</w:t>
      </w:r>
      <w:bookmarkEnd w:id="182"/>
      <w:r w:rsidRPr="00B7238F">
        <w:t xml:space="preserve">). </w:t>
      </w:r>
    </w:p>
    <w:p w14:paraId="4DE3C3F6" w14:textId="77777777" w:rsidR="00B11272" w:rsidRDefault="00CC78E6" w:rsidP="005F7854">
      <w:pPr>
        <w:spacing w:after="0" w:line="360" w:lineRule="auto"/>
      </w:pPr>
      <w:r w:rsidRPr="00B7238F">
        <w:t xml:space="preserve">Após o aumento do uso de SDHIs como fungicidas foliares, a redução da sensibilidade foi relatada em </w:t>
      </w:r>
      <w:r w:rsidRPr="00B7238F">
        <w:rPr>
          <w:i/>
        </w:rPr>
        <w:t>Botrytis cinerea</w:t>
      </w:r>
      <w:r w:rsidRPr="00B7238F">
        <w:t xml:space="preserve">, </w:t>
      </w:r>
      <w:r w:rsidRPr="00B7238F">
        <w:rPr>
          <w:i/>
        </w:rPr>
        <w:t>Alternaria alternata</w:t>
      </w:r>
      <w:r w:rsidRPr="00B7238F">
        <w:t xml:space="preserve">, </w:t>
      </w:r>
      <w:r w:rsidRPr="00B7238F">
        <w:rPr>
          <w:i/>
        </w:rPr>
        <w:t>Didymella brioniae</w:t>
      </w:r>
      <w:r w:rsidRPr="00B7238F">
        <w:t xml:space="preserve">, </w:t>
      </w:r>
      <w:r w:rsidRPr="00B7238F">
        <w:rPr>
          <w:i/>
        </w:rPr>
        <w:t>Corynespora cassiicola</w:t>
      </w:r>
      <w:r w:rsidRPr="00B7238F">
        <w:t xml:space="preserve"> e </w:t>
      </w:r>
      <w:r w:rsidRPr="00B7238F">
        <w:rPr>
          <w:i/>
        </w:rPr>
        <w:t>Podosphaera xanthii</w:t>
      </w:r>
      <w:r w:rsidRPr="00B7238F">
        <w:rPr>
          <w:color w:val="00B0F0"/>
        </w:rPr>
        <w:t xml:space="preserve">, </w:t>
      </w:r>
      <w:r w:rsidRPr="00B7238F">
        <w:t xml:space="preserve">sendo possível a ocorrência de mutações nas sub-unidades B, C, D. Na maioria dos patógenos, mais de uma mutação pode ser selecionada em condições de campo, mas elas raramente ocorrem juntas. No total, foram relatadas 27 mutações que conferem resistência a SDHI em populações de diferentes patógenos (SIEROTZK &amp; SCALLIET, 2013). </w:t>
      </w:r>
    </w:p>
    <w:p w14:paraId="0CAED463" w14:textId="77777777" w:rsidR="00B11272" w:rsidRDefault="00CC78E6" w:rsidP="005F7854">
      <w:pPr>
        <w:spacing w:after="0" w:line="360" w:lineRule="auto"/>
      </w:pPr>
      <w:r w:rsidRPr="00B7238F">
        <w:t xml:space="preserve">Na safra 2015/16, isolados de </w:t>
      </w:r>
      <w:r w:rsidRPr="00B7238F">
        <w:rPr>
          <w:i/>
        </w:rPr>
        <w:t>P. pachyrhizi</w:t>
      </w:r>
      <w:r w:rsidRPr="00B7238F">
        <w:t xml:space="preserve"> com menor sensibilidade a fungicidas SDHI foram detectados pela primeira vez em estudos de monitoramento realizados pelo FRAC. Nestes isolados foi identificada a mutação na sub-unidade C da enzima succinato desidrogenase, que causa a substituição de aminoácidos na posição I86F. A mutação I86F pode apresentar frequência de até 50 %, sendo o fator de resistência distinto para benzovindiflupir, fluxapiroxada e bixafeno. A relevância prática da mutação sobre a eficácia das carboxamidas no campo, necessita ser pesquisada com maior detalhamento (SIMÔES et al., 2017).</w:t>
      </w:r>
    </w:p>
    <w:p w14:paraId="75621A0F" w14:textId="77777777" w:rsidR="00B11272" w:rsidRDefault="00CC78E6" w:rsidP="005F7854">
      <w:pPr>
        <w:spacing w:after="0" w:line="360" w:lineRule="auto"/>
      </w:pPr>
      <w:r w:rsidRPr="00B7238F">
        <w:t xml:space="preserve">Apesar da mutação I86F não ter sido relatada no estado de Santa Catarina até o momento, devido a disseminação do fungo ocorrer pelo vento é possível que a mutação esteja presente no estado. Contudo não há trabalhos de pesquisa avaliando a sua ocorrência e distribuição em isolados de </w:t>
      </w:r>
      <w:r w:rsidRPr="00B7238F">
        <w:rPr>
          <w:i/>
        </w:rPr>
        <w:t xml:space="preserve">P. pachyrhizi </w:t>
      </w:r>
      <w:r w:rsidRPr="00B7238F">
        <w:t>oriundos de diferentes regiões do estado.</w:t>
      </w:r>
    </w:p>
    <w:p w14:paraId="0D2F0C41" w14:textId="665373E7" w:rsidR="00B11272" w:rsidRDefault="00CC78E6" w:rsidP="005F7854">
      <w:pPr>
        <w:spacing w:after="0" w:line="360" w:lineRule="auto"/>
      </w:pPr>
      <w:r w:rsidRPr="00B7238F">
        <w:t xml:space="preserve">Neste sentido, uma importante contribuição seria a quantificação da distribuição e frequência da mutação em isolados do estado de Santa Catarina, bem como sua relação com a adaptabilidade de </w:t>
      </w:r>
      <w:r w:rsidRPr="00B7238F">
        <w:rPr>
          <w:i/>
        </w:rPr>
        <w:t>P. pachyrhizi</w:t>
      </w:r>
      <w:r w:rsidRPr="00B7238F">
        <w:t>. Além disto, em situações de campo diferentes fases do processo de infecção do fungo podem estar ocorrendo simultaneamente, quando se realiza a pulverização. Portanto, a avaliação da eficiência de carboxamidas + estrobilurinas aplicadas isolados e/ou em mistura, sob diferentes fases do processo de infecção do fungo representaria importante contribuição de pesquisa, especialmente em isolados com a mutação I86F.</w:t>
      </w:r>
    </w:p>
    <w:p w14:paraId="2A923F48" w14:textId="77777777" w:rsidR="00724C20" w:rsidRDefault="00724C20" w:rsidP="005F7854">
      <w:pPr>
        <w:spacing w:after="0" w:line="360" w:lineRule="auto"/>
      </w:pPr>
    </w:p>
    <w:p w14:paraId="1DE34B2E" w14:textId="3488F006" w:rsidR="00A231F7" w:rsidRDefault="00CA6CFD" w:rsidP="005F7854">
      <w:pPr>
        <w:pStyle w:val="Ttulo5"/>
        <w:spacing w:after="0" w:line="360" w:lineRule="auto"/>
      </w:pPr>
      <w:bookmarkStart w:id="183" w:name="_Toc22568244"/>
      <w:r w:rsidRPr="00B7238F">
        <w:t>2.7.3.4.4</w:t>
      </w:r>
      <w:r w:rsidR="00AA2BF2" w:rsidRPr="00B7238F">
        <w:t xml:space="preserve"> </w:t>
      </w:r>
      <w:r w:rsidR="00A231F7">
        <w:t>F</w:t>
      </w:r>
      <w:r w:rsidR="00A231F7" w:rsidRPr="00B7238F">
        <w:t>ungicidas multissítios</w:t>
      </w:r>
      <w:bookmarkEnd w:id="183"/>
    </w:p>
    <w:p w14:paraId="18B8EE85" w14:textId="77777777" w:rsidR="00A231F7" w:rsidRDefault="00A231F7" w:rsidP="005F7854">
      <w:pPr>
        <w:spacing w:line="360" w:lineRule="auto"/>
      </w:pPr>
    </w:p>
    <w:p w14:paraId="6DDD2F8E" w14:textId="77777777" w:rsidR="00A231F7" w:rsidRDefault="00B35296" w:rsidP="005F7854">
      <w:pPr>
        <w:spacing w:after="0" w:line="360" w:lineRule="auto"/>
      </w:pPr>
      <w:r w:rsidRPr="00B7238F">
        <w:t>Os fungicidas que interferem em várias funções celulares, são também denominados de multissítios. Estes compostos interrompem a função da célula de uma maneira não específica, apresentando amplo espectro de ação (GULLINO et al., 2010). Substâncias que pertencem a este grupo de fungicidas não apresentam mobilidade, e caso fossem absorvidos pelas células causariam fitotoxicidade. A absorção pelo fungo acontece no momento em que o esporo absorve água para germinação com a presença do fungicida, por isto são denominados fungicidas protetores (REIS, REIS &amp; CARMONA, 2016).</w:t>
      </w:r>
    </w:p>
    <w:p w14:paraId="2DBC5C90" w14:textId="77777777" w:rsidR="00A231F7" w:rsidRDefault="00B35296" w:rsidP="005F7854">
      <w:pPr>
        <w:spacing w:after="0" w:line="360" w:lineRule="auto"/>
        <w:rPr>
          <w:b/>
        </w:rPr>
      </w:pPr>
      <w:r w:rsidRPr="00B7238F">
        <w:t xml:space="preserve">Os principais fungicidas protetores utilizados no controle de </w:t>
      </w:r>
      <w:r w:rsidRPr="00B7238F">
        <w:rPr>
          <w:i/>
        </w:rPr>
        <w:t>P. pachyrhizi</w:t>
      </w:r>
      <w:r w:rsidRPr="00B7238F">
        <w:t xml:space="preserve"> no Brasil são mancozebe, clorotalonil, hidróxido de cobre e oxicloreto de cobre</w:t>
      </w:r>
      <w:r w:rsidRPr="00B7238F">
        <w:rPr>
          <w:b/>
        </w:rPr>
        <w:t>.</w:t>
      </w:r>
    </w:p>
    <w:p w14:paraId="6CDC5B24" w14:textId="77777777" w:rsidR="00A231F7" w:rsidRDefault="00B35296" w:rsidP="005F7854">
      <w:pPr>
        <w:spacing w:after="0" w:line="360" w:lineRule="auto"/>
      </w:pPr>
      <w:r w:rsidRPr="00B7238F">
        <w:t>A ação destas substâncias ocorre em um grupo de enzimas, interferindo diversos processos bioquímicos das células fúngicas ao mesmo tempo. De maneira geral, enzimas contendo radicais sufidrilas, hidroxila ou carboxila podem sofrer interferência da ação de fungicidas multissítios.</w:t>
      </w:r>
    </w:p>
    <w:p w14:paraId="5A0A2973" w14:textId="77777777" w:rsidR="00A231F7" w:rsidRDefault="00B35296" w:rsidP="005F7854">
      <w:pPr>
        <w:spacing w:after="0" w:line="360" w:lineRule="auto"/>
      </w:pPr>
      <w:r w:rsidRPr="00B7238F">
        <w:t>A ocorrência de mutações, capazes de ocasionarem redução da sensibilidade de patógenos a este grupo de fungicidas, apresenta baixo risco. Não há relato da redução da sensibilidade de patógenos a mancozebe, clorotalonil e fungicidas cúpricos (GULLINO et al., 2010; REIS, REIS &amp; CARMONA, 2016).</w:t>
      </w:r>
    </w:p>
    <w:p w14:paraId="3A3AACEB" w14:textId="0634EE58" w:rsidR="004748D6" w:rsidRDefault="00B35296" w:rsidP="005F7854">
      <w:pPr>
        <w:spacing w:after="0" w:line="360" w:lineRule="auto"/>
      </w:pPr>
      <w:r w:rsidRPr="00B7238F">
        <w:t xml:space="preserve">A utilização de fungicidas protetores na cultura da soja aumentou principalmente em virtude da redução da sensibilidade de </w:t>
      </w:r>
      <w:r w:rsidRPr="00B7238F">
        <w:rPr>
          <w:i/>
        </w:rPr>
        <w:t xml:space="preserve">P. pachyrhizi </w:t>
      </w:r>
      <w:r w:rsidRPr="00B7238F">
        <w:t xml:space="preserve">a triazóis, estrobilurinas e carboxamidas. A adição de fungicidas protetores as misturas comerciais de moléculas com ação sitio </w:t>
      </w:r>
      <w:r w:rsidR="00A231F7" w:rsidRPr="00B7238F">
        <w:t>específico</w:t>
      </w:r>
      <w:r w:rsidRPr="00B7238F">
        <w:t xml:space="preserve"> resultam em aumento da eficiência de controle da FAS, além de ser uma estratégia de manejo da resistência.</w:t>
      </w:r>
      <w:bookmarkStart w:id="184" w:name="_Toc516580487"/>
      <w:bookmarkStart w:id="185" w:name="_Toc517105662"/>
      <w:bookmarkEnd w:id="91"/>
      <w:bookmarkEnd w:id="92"/>
    </w:p>
    <w:p w14:paraId="37A851CD" w14:textId="77777777" w:rsidR="00724C20" w:rsidRDefault="00724C20" w:rsidP="002173E0">
      <w:pPr>
        <w:spacing w:after="0" w:line="360" w:lineRule="auto"/>
      </w:pPr>
    </w:p>
    <w:p w14:paraId="2A2B7C87" w14:textId="5760DE3D" w:rsidR="00051AE1" w:rsidRPr="00B7238F" w:rsidRDefault="009F4F45" w:rsidP="002173E0">
      <w:pPr>
        <w:pStyle w:val="Ttulo1"/>
        <w:spacing w:after="0" w:line="360" w:lineRule="auto"/>
      </w:pPr>
      <w:bookmarkStart w:id="186" w:name="_Toc22568245"/>
      <w:r w:rsidRPr="00B7238F">
        <w:t xml:space="preserve">3 </w:t>
      </w:r>
      <w:r w:rsidR="00051AE1" w:rsidRPr="00B7238F">
        <w:t>HIPÓTESES</w:t>
      </w:r>
      <w:bookmarkEnd w:id="184"/>
      <w:bookmarkEnd w:id="185"/>
      <w:bookmarkEnd w:id="186"/>
    </w:p>
    <w:p w14:paraId="615517AA" w14:textId="0A39D986" w:rsidR="00051AE1" w:rsidRDefault="00051AE1" w:rsidP="002173E0">
      <w:pPr>
        <w:spacing w:after="0" w:line="240" w:lineRule="auto"/>
      </w:pPr>
    </w:p>
    <w:p w14:paraId="685AA219" w14:textId="77777777" w:rsidR="002173E0" w:rsidRPr="00B7238F" w:rsidRDefault="002173E0" w:rsidP="002173E0">
      <w:pPr>
        <w:spacing w:after="0" w:line="240" w:lineRule="auto"/>
      </w:pPr>
    </w:p>
    <w:p w14:paraId="69A67B0B" w14:textId="11965690" w:rsidR="00D875C5" w:rsidRDefault="000647B7" w:rsidP="002173E0">
      <w:pPr>
        <w:pStyle w:val="Ttulo2"/>
        <w:spacing w:before="0" w:after="0" w:line="360" w:lineRule="auto"/>
      </w:pPr>
      <w:bookmarkStart w:id="187" w:name="_Toc516580488"/>
      <w:bookmarkStart w:id="188" w:name="_Toc517105663"/>
      <w:bookmarkStart w:id="189" w:name="_Toc22568246"/>
      <w:r w:rsidRPr="00B7238F">
        <w:t xml:space="preserve">3.1 </w:t>
      </w:r>
      <w:r w:rsidR="00051AE1" w:rsidRPr="00B7238F">
        <w:t>GERAL</w:t>
      </w:r>
      <w:bookmarkEnd w:id="187"/>
      <w:bookmarkEnd w:id="188"/>
      <w:bookmarkEnd w:id="189"/>
    </w:p>
    <w:p w14:paraId="1274B4C2" w14:textId="77777777" w:rsidR="002173E0" w:rsidRPr="00724C20" w:rsidRDefault="002173E0" w:rsidP="002173E0">
      <w:pPr>
        <w:spacing w:after="0" w:line="360" w:lineRule="auto"/>
      </w:pPr>
    </w:p>
    <w:p w14:paraId="29525918" w14:textId="77777777" w:rsidR="00D875C5" w:rsidRDefault="00EE5AC2" w:rsidP="002173E0">
      <w:pPr>
        <w:spacing w:after="0" w:line="360" w:lineRule="auto"/>
      </w:pPr>
      <w:r w:rsidRPr="00B7238F">
        <w:t xml:space="preserve">A utilização de diferentes estratégias de controle químico e genético </w:t>
      </w:r>
      <w:r w:rsidR="00D34090" w:rsidRPr="00B7238F">
        <w:t xml:space="preserve">podem reduzir a </w:t>
      </w:r>
      <w:r w:rsidR="00B35296" w:rsidRPr="00B7238F">
        <w:t>frequência</w:t>
      </w:r>
      <w:r w:rsidR="00D34090" w:rsidRPr="00B7238F">
        <w:t xml:space="preserve"> da mutação I86F em populações de </w:t>
      </w:r>
      <w:r w:rsidR="00D34090" w:rsidRPr="00B7238F">
        <w:rPr>
          <w:i/>
        </w:rPr>
        <w:t>P. pachyrhizi</w:t>
      </w:r>
      <w:r w:rsidR="00D34090" w:rsidRPr="00B7238F">
        <w:t>.</w:t>
      </w:r>
      <w:bookmarkStart w:id="190" w:name="_Toc516580489"/>
      <w:bookmarkStart w:id="191" w:name="_Toc517105664"/>
    </w:p>
    <w:p w14:paraId="0211B0E8" w14:textId="77777777" w:rsidR="00D875C5" w:rsidRDefault="00D875C5" w:rsidP="002173E0">
      <w:pPr>
        <w:spacing w:after="0" w:line="360" w:lineRule="auto"/>
      </w:pPr>
    </w:p>
    <w:p w14:paraId="624C8B51" w14:textId="277BB441" w:rsidR="00051AE1" w:rsidRDefault="000647B7" w:rsidP="002173E0">
      <w:pPr>
        <w:pStyle w:val="Ttulo2"/>
        <w:spacing w:before="0" w:after="0" w:line="360" w:lineRule="auto"/>
      </w:pPr>
      <w:bookmarkStart w:id="192" w:name="_Toc22568247"/>
      <w:r w:rsidRPr="00B7238F">
        <w:t xml:space="preserve">3.2 </w:t>
      </w:r>
      <w:r w:rsidR="00051AE1" w:rsidRPr="00B7238F">
        <w:t>ESPECÍFICAS</w:t>
      </w:r>
      <w:bookmarkEnd w:id="190"/>
      <w:bookmarkEnd w:id="191"/>
      <w:bookmarkEnd w:id="192"/>
    </w:p>
    <w:p w14:paraId="4FBEEDD1" w14:textId="77777777" w:rsidR="00D875C5" w:rsidRPr="00B7238F" w:rsidRDefault="00D875C5" w:rsidP="002173E0">
      <w:pPr>
        <w:spacing w:after="0" w:line="360" w:lineRule="auto"/>
        <w:rPr>
          <w:highlight w:val="yellow"/>
        </w:rPr>
      </w:pPr>
    </w:p>
    <w:p w14:paraId="53D665E7" w14:textId="74FE022D" w:rsidR="00D34090" w:rsidRPr="00B7238F" w:rsidRDefault="00D34090" w:rsidP="002173E0">
      <w:pPr>
        <w:pStyle w:val="PargrafodaLista"/>
        <w:numPr>
          <w:ilvl w:val="0"/>
          <w:numId w:val="10"/>
        </w:numPr>
        <w:spacing w:line="360" w:lineRule="auto"/>
      </w:pPr>
      <w:r w:rsidRPr="00B7238F">
        <w:t xml:space="preserve">Há redução de eficiência de fungicidas do grupo das carboxamidas quando aplicadas após a inoculação de </w:t>
      </w:r>
      <w:r w:rsidRPr="00B7238F">
        <w:rPr>
          <w:i/>
        </w:rPr>
        <w:t>P. pachyrhizi</w:t>
      </w:r>
      <w:r w:rsidRPr="00B7238F">
        <w:t xml:space="preserve"> com presença da mutação I86F;</w:t>
      </w:r>
    </w:p>
    <w:p w14:paraId="4FA6601F" w14:textId="19679E33" w:rsidR="00D34090" w:rsidRPr="00B7238F" w:rsidRDefault="00D34090" w:rsidP="002173E0">
      <w:pPr>
        <w:pStyle w:val="PargrafodaLista"/>
        <w:numPr>
          <w:ilvl w:val="0"/>
          <w:numId w:val="10"/>
        </w:numPr>
        <w:spacing w:line="360" w:lineRule="auto"/>
      </w:pPr>
      <w:r w:rsidRPr="00B7238F">
        <w:t>A adição de fungicidas do grupo químico dos triazóis a carboxamidas proporciona aumento de controle da ferrugem asiática da soja independente da fase do processo de infecção do fungo em que são pulverizados;</w:t>
      </w:r>
    </w:p>
    <w:p w14:paraId="29507143" w14:textId="35B48907" w:rsidR="00D34090" w:rsidRPr="00B7238F" w:rsidRDefault="00D34090" w:rsidP="002173E0">
      <w:pPr>
        <w:pStyle w:val="PargrafodaLista"/>
        <w:numPr>
          <w:ilvl w:val="0"/>
          <w:numId w:val="10"/>
        </w:numPr>
        <w:spacing w:line="360" w:lineRule="auto"/>
      </w:pPr>
      <w:r w:rsidRPr="00B7238F">
        <w:t xml:space="preserve">Há variabilidade na frequência da mutação I86F em populações de </w:t>
      </w:r>
      <w:r w:rsidRPr="00B7238F">
        <w:rPr>
          <w:i/>
          <w:iCs/>
        </w:rPr>
        <w:t xml:space="preserve">P. pachyrhizi </w:t>
      </w:r>
      <w:r w:rsidRPr="00B7238F">
        <w:t>oriundas de regiões com diferentes altitudes no estado de SC;</w:t>
      </w:r>
    </w:p>
    <w:p w14:paraId="4FCD3D47" w14:textId="2B27D527" w:rsidR="00D34090" w:rsidRPr="00B7238F" w:rsidRDefault="00D34090" w:rsidP="002173E0">
      <w:pPr>
        <w:pStyle w:val="PargrafodaLista"/>
        <w:numPr>
          <w:ilvl w:val="0"/>
          <w:numId w:val="10"/>
        </w:numPr>
        <w:spacing w:line="360" w:lineRule="auto"/>
      </w:pPr>
      <w:r w:rsidRPr="00B7238F">
        <w:t>A mutação I86F está presente em todas as regiões do estado, mas apresenta diferenças na porcentagem de populações resistentes e frequência da mutação em populações mutantes;</w:t>
      </w:r>
    </w:p>
    <w:p w14:paraId="4DB06F4F" w14:textId="6B5B15F3" w:rsidR="00D34090" w:rsidRPr="00B7238F" w:rsidRDefault="00D34090" w:rsidP="002173E0">
      <w:pPr>
        <w:pStyle w:val="PargrafodaLista"/>
        <w:numPr>
          <w:ilvl w:val="0"/>
          <w:numId w:val="10"/>
        </w:numPr>
        <w:spacing w:line="360" w:lineRule="auto"/>
      </w:pPr>
      <w:r w:rsidRPr="00B7238F">
        <w:t>Os menores valores de porcentagem de populações mutantes e frequência da mutação I86F são observados no momento da detecção dos primeiros sintomas;</w:t>
      </w:r>
    </w:p>
    <w:p w14:paraId="2CD0BEF7" w14:textId="045210C4" w:rsidR="00D34090" w:rsidRPr="00B7238F" w:rsidRDefault="00D34090" w:rsidP="002173E0">
      <w:pPr>
        <w:pStyle w:val="PargrafodaLista"/>
        <w:numPr>
          <w:ilvl w:val="0"/>
          <w:numId w:val="10"/>
        </w:numPr>
        <w:spacing w:line="360" w:lineRule="auto"/>
      </w:pPr>
      <w:r w:rsidRPr="00B7238F">
        <w:t xml:space="preserve">Existe incremento na porcentagem de populações mutantes e frequência de mutações I86F em populações de </w:t>
      </w:r>
      <w:r w:rsidRPr="00B7238F">
        <w:rPr>
          <w:i/>
          <w:iCs/>
        </w:rPr>
        <w:t>P. pachyrhizi</w:t>
      </w:r>
      <w:r w:rsidRPr="00B7238F">
        <w:t xml:space="preserve"> durante o ciclo da cultura da soja;</w:t>
      </w:r>
    </w:p>
    <w:p w14:paraId="4899C2AA" w14:textId="1FD8FBBA" w:rsidR="00D34090" w:rsidRPr="00B7238F" w:rsidRDefault="00D34090" w:rsidP="002173E0">
      <w:pPr>
        <w:pStyle w:val="PargrafodaLista"/>
        <w:numPr>
          <w:ilvl w:val="0"/>
          <w:numId w:val="10"/>
        </w:numPr>
        <w:spacing w:line="360" w:lineRule="auto"/>
      </w:pPr>
      <w:r w:rsidRPr="00B7238F">
        <w:t>A menor porcentagem de populações mutantes e frequência de mutação I86F é encontrada em programas sem a utilização de fungicidas do grupo químico das carboxamidas;</w:t>
      </w:r>
    </w:p>
    <w:p w14:paraId="7BC22500" w14:textId="75F6BBC7" w:rsidR="00D34090" w:rsidRPr="00B7238F" w:rsidRDefault="00D34090" w:rsidP="002173E0">
      <w:pPr>
        <w:pStyle w:val="PargrafodaLista"/>
        <w:numPr>
          <w:ilvl w:val="0"/>
          <w:numId w:val="10"/>
        </w:numPr>
        <w:spacing w:line="360" w:lineRule="auto"/>
      </w:pPr>
      <w:r w:rsidRPr="00B7238F">
        <w:t>O aumento do número de aplicações de fungicidas contendo carboxamida resulta em maior frequência de mutações I86F;</w:t>
      </w:r>
    </w:p>
    <w:p w14:paraId="0E99A99C" w14:textId="293F17D0" w:rsidR="004C7DCD" w:rsidRDefault="00D34090" w:rsidP="002173E0">
      <w:pPr>
        <w:pStyle w:val="PargrafodaLista"/>
        <w:numPr>
          <w:ilvl w:val="0"/>
          <w:numId w:val="10"/>
        </w:numPr>
        <w:spacing w:line="360" w:lineRule="auto"/>
      </w:pPr>
      <w:r w:rsidRPr="00B7238F">
        <w:t xml:space="preserve">A utilização de cultivares de soja com </w:t>
      </w:r>
      <w:r w:rsidR="00C5591D">
        <w:t xml:space="preserve">a tecnologia Inox </w:t>
      </w:r>
      <w:r w:rsidRPr="00B7238F">
        <w:t>reduz a porcentagem de populações mutantes e frequência da mutação I86F.</w:t>
      </w:r>
      <w:bookmarkStart w:id="193" w:name="_Toc516580490"/>
      <w:r w:rsidR="00486233" w:rsidRPr="00B7238F">
        <w:rPr>
          <w:noProof/>
          <w:lang w:eastAsia="pt-BR"/>
        </w:rPr>
        <mc:AlternateContent>
          <mc:Choice Requires="wps">
            <w:drawing>
              <wp:anchor distT="0" distB="0" distL="114300" distR="114300" simplePos="0" relativeHeight="251694080" behindDoc="0" locked="0" layoutInCell="1" allowOverlap="1" wp14:anchorId="273F07E9" wp14:editId="381F4A77">
                <wp:simplePos x="0" y="0"/>
                <wp:positionH relativeFrom="column">
                  <wp:posOffset>-234315</wp:posOffset>
                </wp:positionH>
                <wp:positionV relativeFrom="paragraph">
                  <wp:posOffset>-584835</wp:posOffset>
                </wp:positionV>
                <wp:extent cx="771525" cy="581025"/>
                <wp:effectExtent l="0" t="0" r="9525" b="9525"/>
                <wp:wrapNone/>
                <wp:docPr id="51" name="Caixa de Texto 51"/>
                <wp:cNvGraphicFramePr/>
                <a:graphic xmlns:a="http://schemas.openxmlformats.org/drawingml/2006/main">
                  <a:graphicData uri="http://schemas.microsoft.com/office/word/2010/wordprocessingShape">
                    <wps:wsp>
                      <wps:cNvSpPr txBox="1"/>
                      <wps:spPr>
                        <a:xfrm>
                          <a:off x="0" y="0"/>
                          <a:ext cx="771525" cy="581025"/>
                        </a:xfrm>
                        <a:prstGeom prst="rect">
                          <a:avLst/>
                        </a:prstGeom>
                        <a:solidFill>
                          <a:schemeClr val="lt1"/>
                        </a:solidFill>
                        <a:ln w="6350">
                          <a:noFill/>
                        </a:ln>
                      </wps:spPr>
                      <wps:txbx>
                        <w:txbxContent>
                          <w:p w14:paraId="5549A245" w14:textId="77777777" w:rsidR="00C5591D" w:rsidRPr="00486233" w:rsidRDefault="00C5591D" w:rsidP="000546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3F07E9" id="_x0000_t202" coordsize="21600,21600" o:spt="202" path="m,l,21600r21600,l21600,xe">
                <v:stroke joinstyle="miter"/>
                <v:path gradientshapeok="t" o:connecttype="rect"/>
              </v:shapetype>
              <v:shape id="Caixa de Texto 51" o:spid="_x0000_s1026" type="#_x0000_t202" style="position:absolute;left:0;text-align:left;margin-left:-18.45pt;margin-top:-46.05pt;width:60.75pt;height:45.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" fillcolor="white [3201]" stroked="f" strokeweight=".5pt">
                <v:textbox>
                  <w:txbxContent>
                    <w:p w14:paraId="5549A245" w14:textId="77777777" w:rsidR="00C5591D" w:rsidRPr="00486233" w:rsidRDefault="00C5591D" w:rsidP="0005468C"/>
                  </w:txbxContent>
                </v:textbox>
              </v:shape>
            </w:pict>
          </mc:Fallback>
        </mc:AlternateContent>
      </w:r>
      <w:r w:rsidR="00486233" w:rsidRPr="00B7238F">
        <w:rPr>
          <w:noProof/>
          <w:lang w:eastAsia="pt-BR"/>
        </w:rPr>
        <mc:AlternateContent>
          <mc:Choice Requires="wps">
            <w:drawing>
              <wp:anchor distT="0" distB="0" distL="114300" distR="114300" simplePos="0" relativeHeight="251692032" behindDoc="0" locked="0" layoutInCell="1" allowOverlap="1" wp14:anchorId="7E6C48BA" wp14:editId="2A365012">
                <wp:simplePos x="0" y="0"/>
                <wp:positionH relativeFrom="column">
                  <wp:posOffset>-390525</wp:posOffset>
                </wp:positionH>
                <wp:positionV relativeFrom="paragraph">
                  <wp:posOffset>-741680</wp:posOffset>
                </wp:positionV>
                <wp:extent cx="771525" cy="581025"/>
                <wp:effectExtent l="0" t="0" r="9525" b="9525"/>
                <wp:wrapNone/>
                <wp:docPr id="32" name="Caixa de Texto 32"/>
                <wp:cNvGraphicFramePr/>
                <a:graphic xmlns:a="http://schemas.openxmlformats.org/drawingml/2006/main">
                  <a:graphicData uri="http://schemas.microsoft.com/office/word/2010/wordprocessingShape">
                    <wps:wsp>
                      <wps:cNvSpPr txBox="1"/>
                      <wps:spPr>
                        <a:xfrm>
                          <a:off x="0" y="0"/>
                          <a:ext cx="771525" cy="581025"/>
                        </a:xfrm>
                        <a:prstGeom prst="rect">
                          <a:avLst/>
                        </a:prstGeom>
                        <a:solidFill>
                          <a:schemeClr val="lt1"/>
                        </a:solidFill>
                        <a:ln w="6350">
                          <a:noFill/>
                        </a:ln>
                      </wps:spPr>
                      <wps:txbx>
                        <w:txbxContent>
                          <w:p w14:paraId="5C9541EA" w14:textId="77777777" w:rsidR="00C5591D" w:rsidRPr="00486233" w:rsidRDefault="00C5591D" w:rsidP="000546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C48BA" id="Caixa de Texto 32" o:spid="_x0000_s1027" type="#_x0000_t202" style="position:absolute;left:0;text-align:left;margin-left:-30.75pt;margin-top:-58.4pt;width:60.75pt;height:45.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" fillcolor="white [3201]" stroked="f" strokeweight=".5pt">
                <v:textbox>
                  <w:txbxContent>
                    <w:p w14:paraId="5C9541EA" w14:textId="77777777" w:rsidR="00C5591D" w:rsidRPr="00486233" w:rsidRDefault="00C5591D" w:rsidP="0005468C"/>
                  </w:txbxContent>
                </v:textbox>
              </v:shape>
            </w:pict>
          </mc:Fallback>
        </mc:AlternateContent>
      </w:r>
      <w:bookmarkStart w:id="194" w:name="_Toc517105665"/>
    </w:p>
    <w:p w14:paraId="20080B9E" w14:textId="78087647" w:rsidR="004C7DCD" w:rsidRDefault="004C7DCD" w:rsidP="002173E0">
      <w:pPr>
        <w:spacing w:line="360" w:lineRule="auto"/>
        <w:ind w:firstLine="0"/>
      </w:pPr>
    </w:p>
    <w:p w14:paraId="77AE89DC" w14:textId="7DEBB7BA" w:rsidR="004748D6" w:rsidRDefault="004748D6" w:rsidP="002173E0">
      <w:pPr>
        <w:spacing w:line="360" w:lineRule="auto"/>
        <w:ind w:firstLine="0"/>
      </w:pPr>
    </w:p>
    <w:p w14:paraId="56F44FAF" w14:textId="75A1C2D0" w:rsidR="004748D6" w:rsidRDefault="004748D6" w:rsidP="002173E0">
      <w:pPr>
        <w:spacing w:line="360" w:lineRule="auto"/>
        <w:ind w:firstLine="0"/>
      </w:pPr>
    </w:p>
    <w:p w14:paraId="59BBA863" w14:textId="0F37BD80" w:rsidR="004748D6" w:rsidRDefault="004748D6" w:rsidP="002173E0">
      <w:pPr>
        <w:spacing w:line="360" w:lineRule="auto"/>
        <w:ind w:firstLine="0"/>
      </w:pPr>
    </w:p>
    <w:p w14:paraId="686DA1AD" w14:textId="50E0634E" w:rsidR="004748D6" w:rsidRDefault="004748D6" w:rsidP="004C7DCD">
      <w:pPr>
        <w:ind w:firstLine="0"/>
      </w:pPr>
    </w:p>
    <w:p w14:paraId="4B4E9209" w14:textId="20452FEC" w:rsidR="004748D6" w:rsidRDefault="004748D6" w:rsidP="004C7DCD">
      <w:pPr>
        <w:ind w:firstLine="0"/>
      </w:pPr>
    </w:p>
    <w:p w14:paraId="194C439C" w14:textId="1DCA671B" w:rsidR="004748D6" w:rsidRDefault="004748D6" w:rsidP="004C7DCD">
      <w:pPr>
        <w:ind w:firstLine="0"/>
      </w:pPr>
    </w:p>
    <w:p w14:paraId="78E22975" w14:textId="175D659E" w:rsidR="004748D6" w:rsidRDefault="004748D6" w:rsidP="004C7DCD">
      <w:pPr>
        <w:ind w:firstLine="0"/>
      </w:pPr>
    </w:p>
    <w:p w14:paraId="75101877" w14:textId="058784AC" w:rsidR="004748D6" w:rsidRDefault="004748D6" w:rsidP="004C7DCD">
      <w:pPr>
        <w:ind w:firstLine="0"/>
      </w:pPr>
    </w:p>
    <w:p w14:paraId="3AF95C47" w14:textId="0B55E690" w:rsidR="004748D6" w:rsidRDefault="004748D6" w:rsidP="004C7DCD">
      <w:pPr>
        <w:ind w:firstLine="0"/>
      </w:pPr>
    </w:p>
    <w:p w14:paraId="797AE2D3" w14:textId="7A5CA18C" w:rsidR="004748D6" w:rsidRDefault="004748D6" w:rsidP="004C7DCD">
      <w:pPr>
        <w:ind w:firstLine="0"/>
      </w:pPr>
    </w:p>
    <w:p w14:paraId="4EAE8373" w14:textId="17F5BBE8" w:rsidR="004748D6" w:rsidRDefault="004748D6" w:rsidP="004C7DCD">
      <w:pPr>
        <w:ind w:firstLine="0"/>
      </w:pPr>
    </w:p>
    <w:p w14:paraId="493660B0" w14:textId="46281CA0" w:rsidR="004748D6" w:rsidRDefault="004748D6" w:rsidP="004C7DCD">
      <w:pPr>
        <w:ind w:firstLine="0"/>
      </w:pPr>
    </w:p>
    <w:p w14:paraId="0BDEF40E" w14:textId="1D75D267" w:rsidR="004748D6" w:rsidRDefault="004748D6" w:rsidP="004C7DCD">
      <w:pPr>
        <w:ind w:firstLine="0"/>
      </w:pPr>
    </w:p>
    <w:p w14:paraId="4C1583D2" w14:textId="2A553438" w:rsidR="00724C20" w:rsidRDefault="00724C20" w:rsidP="004C7DCD">
      <w:pPr>
        <w:ind w:firstLine="0"/>
      </w:pPr>
    </w:p>
    <w:p w14:paraId="21C103D7" w14:textId="3850F7B7" w:rsidR="00724C20" w:rsidRDefault="00724C20" w:rsidP="004C7DCD">
      <w:pPr>
        <w:ind w:firstLine="0"/>
      </w:pPr>
    </w:p>
    <w:p w14:paraId="153BF15D" w14:textId="1A462F0D" w:rsidR="002173E0" w:rsidRDefault="002173E0" w:rsidP="004C7DCD">
      <w:pPr>
        <w:ind w:firstLine="0"/>
      </w:pPr>
    </w:p>
    <w:p w14:paraId="1187BADA" w14:textId="2558889B" w:rsidR="002173E0" w:rsidRDefault="002173E0" w:rsidP="004C7DCD">
      <w:pPr>
        <w:ind w:firstLine="0"/>
      </w:pPr>
    </w:p>
    <w:p w14:paraId="507D5CE7" w14:textId="77777777" w:rsidR="002173E0" w:rsidRDefault="002173E0" w:rsidP="004C7DCD">
      <w:pPr>
        <w:ind w:firstLine="0"/>
      </w:pPr>
    </w:p>
    <w:p w14:paraId="13CA52C8" w14:textId="5B3BCBD8" w:rsidR="00051AE1" w:rsidRPr="00B7238F" w:rsidRDefault="009F4F45" w:rsidP="004C7DCD">
      <w:pPr>
        <w:pStyle w:val="Ttulo1"/>
      </w:pPr>
      <w:bookmarkStart w:id="195" w:name="_Toc22568248"/>
      <w:r w:rsidRPr="00B7238F">
        <w:t xml:space="preserve">4 </w:t>
      </w:r>
      <w:r w:rsidR="00051AE1" w:rsidRPr="00B7238F">
        <w:t>OBJETIVO</w:t>
      </w:r>
      <w:bookmarkEnd w:id="193"/>
      <w:bookmarkEnd w:id="194"/>
      <w:r w:rsidR="000B74B3" w:rsidRPr="00B7238F">
        <w:t>S</w:t>
      </w:r>
      <w:bookmarkEnd w:id="195"/>
    </w:p>
    <w:p w14:paraId="5D09C94D" w14:textId="76A68F9B" w:rsidR="004C7DCD" w:rsidRDefault="009F4F45" w:rsidP="00516785">
      <w:pPr>
        <w:pStyle w:val="Ttulo2"/>
        <w:spacing w:before="0" w:after="0" w:line="240" w:lineRule="auto"/>
      </w:pPr>
      <w:bookmarkStart w:id="196" w:name="_Toc516580491"/>
      <w:bookmarkStart w:id="197" w:name="_Toc517105666"/>
      <w:bookmarkStart w:id="198" w:name="_Toc22568249"/>
      <w:r w:rsidRPr="00B7238F">
        <w:t xml:space="preserve">4.1 </w:t>
      </w:r>
      <w:bookmarkEnd w:id="196"/>
      <w:bookmarkEnd w:id="197"/>
      <w:r w:rsidR="00516785">
        <w:t>GERAL</w:t>
      </w:r>
      <w:bookmarkEnd w:id="198"/>
    </w:p>
    <w:p w14:paraId="5E16C076" w14:textId="711DF7F5" w:rsidR="00516785" w:rsidRDefault="00516785" w:rsidP="00516785">
      <w:pPr>
        <w:spacing w:after="0" w:line="240" w:lineRule="auto"/>
      </w:pPr>
    </w:p>
    <w:p w14:paraId="25BE5510" w14:textId="77777777" w:rsidR="00516785" w:rsidRPr="00516785" w:rsidRDefault="00516785" w:rsidP="00516785">
      <w:pPr>
        <w:spacing w:after="0" w:line="240" w:lineRule="auto"/>
      </w:pPr>
    </w:p>
    <w:p w14:paraId="4E2F78F1" w14:textId="5A0983A1" w:rsidR="004C7DCD" w:rsidRDefault="00704271" w:rsidP="00516785">
      <w:pPr>
        <w:spacing w:after="0"/>
        <w:rPr>
          <w:iCs/>
        </w:rPr>
      </w:pPr>
      <w:r w:rsidRPr="00B7238F">
        <w:t xml:space="preserve">O principal objetivo deste estudo será quantificar a eficiência de carboxamidas isoladas ou em mistura com outros fungicidas no controle de isolados de </w:t>
      </w:r>
      <w:r w:rsidRPr="00B7238F">
        <w:rPr>
          <w:i/>
          <w:iCs/>
        </w:rPr>
        <w:t xml:space="preserve">P. pachyrhizi </w:t>
      </w:r>
      <w:r w:rsidRPr="00B7238F">
        <w:rPr>
          <w:iCs/>
        </w:rPr>
        <w:t>com mutação I86F aplicadas em diferentes fases do processo de infecção do fungo.</w:t>
      </w:r>
    </w:p>
    <w:p w14:paraId="37614185" w14:textId="77777777" w:rsidR="004C7DCD" w:rsidRDefault="004C7DCD" w:rsidP="00516785">
      <w:pPr>
        <w:spacing w:after="0" w:line="360" w:lineRule="auto"/>
        <w:rPr>
          <w:iCs/>
        </w:rPr>
      </w:pPr>
    </w:p>
    <w:p w14:paraId="569765B5" w14:textId="0E3F8F18" w:rsidR="00704271" w:rsidRPr="00B7238F" w:rsidRDefault="00704271" w:rsidP="00516785">
      <w:pPr>
        <w:pStyle w:val="Ttulo2"/>
        <w:spacing w:before="0" w:after="0"/>
      </w:pPr>
      <w:bookmarkStart w:id="199" w:name="_Toc22568250"/>
      <w:r w:rsidRPr="00B7238F">
        <w:t>4.2. ESPECÍFICOS</w:t>
      </w:r>
      <w:bookmarkEnd w:id="199"/>
      <w:r w:rsidRPr="00B7238F">
        <w:t xml:space="preserve"> </w:t>
      </w:r>
    </w:p>
    <w:p w14:paraId="0085B641" w14:textId="77777777" w:rsidR="00704271" w:rsidRPr="00B7238F" w:rsidRDefault="00704271" w:rsidP="00516785">
      <w:pPr>
        <w:spacing w:after="0" w:line="360" w:lineRule="auto"/>
      </w:pPr>
    </w:p>
    <w:p w14:paraId="0925AD85" w14:textId="458BC30B" w:rsidR="00704271" w:rsidRPr="00B7238F" w:rsidRDefault="00704271" w:rsidP="00516785">
      <w:pPr>
        <w:pStyle w:val="PargrafodaLista"/>
        <w:numPr>
          <w:ilvl w:val="0"/>
          <w:numId w:val="9"/>
        </w:numPr>
        <w:spacing w:after="0" w:line="360" w:lineRule="auto"/>
      </w:pPr>
      <w:r w:rsidRPr="00B7238F">
        <w:t xml:space="preserve">Monitorar a ocorrência, distribuição e frequência da mutação I86F em populações de </w:t>
      </w:r>
      <w:r w:rsidRPr="00B7238F">
        <w:rPr>
          <w:i/>
          <w:iCs/>
        </w:rPr>
        <w:t xml:space="preserve">P. pachyrhizi </w:t>
      </w:r>
      <w:r w:rsidRPr="00B7238F">
        <w:t>oriundas de diferentes regiões do estado de Santa Catarina;</w:t>
      </w:r>
    </w:p>
    <w:p w14:paraId="057E75DA" w14:textId="380DBDD9" w:rsidR="00704271" w:rsidRPr="00B7238F" w:rsidRDefault="00704271" w:rsidP="00516785">
      <w:pPr>
        <w:pStyle w:val="PargrafodaLista"/>
        <w:numPr>
          <w:ilvl w:val="0"/>
          <w:numId w:val="9"/>
        </w:numPr>
        <w:spacing w:after="0" w:line="360" w:lineRule="auto"/>
      </w:pPr>
      <w:r w:rsidRPr="00B7238F">
        <w:t xml:space="preserve">Avaliar a eficiência de fungicidas do grupo químico das carboxamidas isolados ou em mistura com estrobilurinas, triazóis e ditiocarbamatos pulverizados em diferentes fases do processo de infecção de </w:t>
      </w:r>
      <w:r w:rsidRPr="00B7238F">
        <w:rPr>
          <w:i/>
        </w:rPr>
        <w:t>P. pachyrhizi</w:t>
      </w:r>
      <w:r w:rsidRPr="00B7238F">
        <w:t xml:space="preserve"> com isolado apresentando 47% de frequência da mutação I86F;</w:t>
      </w:r>
    </w:p>
    <w:p w14:paraId="5F7BD7F4" w14:textId="77777777" w:rsidR="00704271" w:rsidRPr="00B7238F" w:rsidRDefault="00704271" w:rsidP="00516785">
      <w:pPr>
        <w:pStyle w:val="PargrafodaLista"/>
        <w:numPr>
          <w:ilvl w:val="0"/>
          <w:numId w:val="9"/>
        </w:numPr>
        <w:spacing w:after="0" w:line="360" w:lineRule="auto"/>
      </w:pPr>
      <w:r w:rsidRPr="00B7238F">
        <w:t xml:space="preserve">Avaliar o efeito de diferentes programas de aplicações de fungicidas na ocorrência e frequência da mutação I86F em populações de </w:t>
      </w:r>
      <w:r w:rsidRPr="00B7238F">
        <w:rPr>
          <w:i/>
          <w:iCs/>
        </w:rPr>
        <w:t>P. pachyrhizi;</w:t>
      </w:r>
    </w:p>
    <w:p w14:paraId="00B50F91" w14:textId="6A29465B" w:rsidR="00374EB1" w:rsidRPr="00374EB1" w:rsidRDefault="00704271" w:rsidP="00516785">
      <w:pPr>
        <w:pStyle w:val="PargrafodaLista"/>
        <w:numPr>
          <w:ilvl w:val="0"/>
          <w:numId w:val="9"/>
        </w:numPr>
        <w:spacing w:after="0" w:line="360" w:lineRule="auto"/>
      </w:pPr>
      <w:r w:rsidRPr="00374EB1">
        <w:rPr>
          <w:iCs/>
        </w:rPr>
        <w:t>C</w:t>
      </w:r>
      <w:r w:rsidRPr="00B7238F">
        <w:t>omparar cultivares de soja com ausência e presença d</w:t>
      </w:r>
      <w:r w:rsidR="000309E7">
        <w:t>a tecnologia Inox</w:t>
      </w:r>
      <w:r w:rsidRPr="00B7238F">
        <w:t xml:space="preserve"> na ocorrência e frequência da mutação I86F em populações de </w:t>
      </w:r>
      <w:r w:rsidRPr="00374EB1">
        <w:rPr>
          <w:i/>
          <w:iCs/>
        </w:rPr>
        <w:t>P. pachyrhizi.</w:t>
      </w:r>
    </w:p>
    <w:p w14:paraId="6C005A2F" w14:textId="77777777" w:rsidR="00516785" w:rsidRDefault="00516785">
      <w:pPr>
        <w:autoSpaceDE/>
        <w:autoSpaceDN/>
        <w:adjustRightInd/>
        <w:ind w:firstLine="0"/>
        <w:jc w:val="left"/>
      </w:pPr>
      <w:r>
        <w:br w:type="page"/>
      </w:r>
    </w:p>
    <w:p w14:paraId="4118278D" w14:textId="573207BE" w:rsidR="00FC0AE5" w:rsidRPr="00B7238F" w:rsidRDefault="0024575C" w:rsidP="00374EB1">
      <w:pPr>
        <w:pStyle w:val="Ttulo1"/>
      </w:pPr>
      <w:bookmarkStart w:id="200" w:name="_Toc516580492"/>
      <w:bookmarkStart w:id="201" w:name="_Toc517105667"/>
      <w:bookmarkStart w:id="202" w:name="_Toc22568251"/>
      <w:r w:rsidRPr="00B7238F">
        <w:t>5</w:t>
      </w:r>
      <w:r w:rsidR="0016517F" w:rsidRPr="00B7238F">
        <w:t xml:space="preserve"> </w:t>
      </w:r>
      <w:bookmarkEnd w:id="200"/>
      <w:bookmarkEnd w:id="201"/>
      <w:r w:rsidR="00746C56" w:rsidRPr="00B7238F">
        <w:t xml:space="preserve">DESEMPENHO DE CARBOXAMIDAS NO CONTROLE DE </w:t>
      </w:r>
      <w:r w:rsidR="00746C56" w:rsidRPr="00B7238F">
        <w:rPr>
          <w:i/>
          <w:color w:val="212121"/>
          <w:lang w:val="pt-PT"/>
        </w:rPr>
        <w:t xml:space="preserve">Phakopsora pachyrhizi </w:t>
      </w:r>
      <w:r w:rsidR="00746C56" w:rsidRPr="00B7238F">
        <w:t>APLICADAS EM DIFERENTES FASES DO PROCESSO DE INFECÇÃO DO PATÓGENO</w:t>
      </w:r>
      <w:bookmarkEnd w:id="202"/>
    </w:p>
    <w:p w14:paraId="56B22982" w14:textId="77777777" w:rsidR="00FC0AE5" w:rsidRPr="00B7238F" w:rsidRDefault="00FC0AE5" w:rsidP="00796F1B">
      <w:pPr>
        <w:spacing w:after="0" w:line="360" w:lineRule="auto"/>
      </w:pPr>
    </w:p>
    <w:p w14:paraId="0BEF3F8A" w14:textId="77777777" w:rsidR="00FC0AE5" w:rsidRPr="00B7238F" w:rsidRDefault="00FC0AE5" w:rsidP="00D83A13">
      <w:pPr>
        <w:pStyle w:val="Ttulo2"/>
        <w:spacing w:line="240" w:lineRule="auto"/>
      </w:pPr>
      <w:bookmarkStart w:id="203" w:name="_Toc516580493"/>
      <w:bookmarkStart w:id="204" w:name="_Toc517105668"/>
      <w:bookmarkStart w:id="205" w:name="_Toc22568252"/>
      <w:r w:rsidRPr="00B7238F">
        <w:t>5.1 RESUMO</w:t>
      </w:r>
      <w:bookmarkEnd w:id="203"/>
      <w:bookmarkEnd w:id="204"/>
      <w:bookmarkEnd w:id="205"/>
    </w:p>
    <w:p w14:paraId="74654667" w14:textId="77777777" w:rsidR="00FC0AE5" w:rsidRPr="00B7238F" w:rsidRDefault="00FC0AE5" w:rsidP="00796F1B">
      <w:pPr>
        <w:spacing w:after="0" w:line="240" w:lineRule="auto"/>
      </w:pPr>
    </w:p>
    <w:p w14:paraId="64B29170" w14:textId="20D4CB7B" w:rsidR="00D81C5D" w:rsidRPr="00B7238F" w:rsidRDefault="00417DA9" w:rsidP="00D83A13">
      <w:pPr>
        <w:spacing w:line="240" w:lineRule="auto"/>
        <w:ind w:firstLine="0"/>
      </w:pPr>
      <w:r w:rsidRPr="00B7238F">
        <w:t xml:space="preserve">A </w:t>
      </w:r>
      <w:r w:rsidRPr="00B7238F">
        <w:rPr>
          <w:color w:val="000000"/>
        </w:rPr>
        <w:t>ferrugem asiática da soja tem limitado o potencial de produtividade</w:t>
      </w:r>
      <w:r w:rsidRPr="00B7238F">
        <w:t xml:space="preserve"> em virtude da frequência de ocorrência, severidade e potencial de dano. A mutação I86F afeta a eficiência de controle de fungicidas do grupo químico das carboxamidas, mas não há informações sobre seu efeito em diferentes fases do processo de infecção do fungo</w:t>
      </w:r>
      <w:r w:rsidR="00274E84" w:rsidRPr="00B7238F">
        <w:t xml:space="preserve"> onde é realizada a aplicação de carboxamidas isoladas e/ou em mistura. O o</w:t>
      </w:r>
      <w:r w:rsidRPr="00B7238F">
        <w:t xml:space="preserve">bjetivo deste trabalho foi obter informações quantitativas da eficiência de carboxamidas isoladas e/ou em mistura com outros fungicidas no controle de </w:t>
      </w:r>
      <w:r w:rsidR="00274E84" w:rsidRPr="00B7238F">
        <w:t>uma população</w:t>
      </w:r>
      <w:r w:rsidRPr="00B7238F">
        <w:t xml:space="preserve"> de </w:t>
      </w:r>
      <w:r w:rsidRPr="00B7238F">
        <w:rPr>
          <w:i/>
          <w:iCs/>
        </w:rPr>
        <w:t xml:space="preserve">P. pachyrhizi </w:t>
      </w:r>
      <w:r w:rsidRPr="00B7238F">
        <w:rPr>
          <w:iCs/>
        </w:rPr>
        <w:t xml:space="preserve">com </w:t>
      </w:r>
      <w:r w:rsidR="00355888" w:rsidRPr="00B7238F">
        <w:rPr>
          <w:iCs/>
        </w:rPr>
        <w:t>47 % de frequência da</w:t>
      </w:r>
      <w:r w:rsidRPr="00B7238F">
        <w:rPr>
          <w:iCs/>
        </w:rPr>
        <w:t xml:space="preserve"> mutação I86F</w:t>
      </w:r>
      <w:r w:rsidR="00274E84" w:rsidRPr="00B7238F">
        <w:rPr>
          <w:iCs/>
        </w:rPr>
        <w:t xml:space="preserve">, </w:t>
      </w:r>
      <w:r w:rsidRPr="00B7238F">
        <w:t>em diferentes fases do processo de infecção do fungo</w:t>
      </w:r>
      <w:r w:rsidRPr="00B7238F">
        <w:rPr>
          <w:iCs/>
        </w:rPr>
        <w:t>.</w:t>
      </w:r>
      <w:r w:rsidR="00007E20" w:rsidRPr="00B7238F">
        <w:rPr>
          <w:iCs/>
        </w:rPr>
        <w:t xml:space="preserve"> </w:t>
      </w:r>
      <w:r w:rsidR="00355888" w:rsidRPr="00B7238F">
        <w:rPr>
          <w:iCs/>
        </w:rPr>
        <w:t xml:space="preserve">A </w:t>
      </w:r>
      <w:r w:rsidR="00007E20" w:rsidRPr="00B7238F">
        <w:rPr>
          <w:iCs/>
        </w:rPr>
        <w:t>inocula</w:t>
      </w:r>
      <w:r w:rsidR="00355888" w:rsidRPr="00B7238F">
        <w:rPr>
          <w:iCs/>
        </w:rPr>
        <w:t>ção foi realizada</w:t>
      </w:r>
      <w:r w:rsidR="00007E20" w:rsidRPr="00B7238F">
        <w:rPr>
          <w:iCs/>
        </w:rPr>
        <w:t xml:space="preserve"> em plantas de soja cultivar BMX Lança IPRO mantidas em casa de vegetação no estádio fenológico V2.</w:t>
      </w:r>
      <w:r w:rsidR="00355888" w:rsidRPr="00B7238F">
        <w:rPr>
          <w:iCs/>
        </w:rPr>
        <w:t xml:space="preserve"> Os fungicidas avaliados foram </w:t>
      </w:r>
      <w:r w:rsidR="00355888" w:rsidRPr="00B7238F">
        <w:t>fluxapyroxada, bixafeno, azoxistrobina + benzovindiflupir, piraclostrobina + fluxapiroxada, picoxistrobina + benzovindiflupir, piraclostrobina + fluxapiroxada +epoxiconazol, trifloxistrobina + bixafeno + protioconazol, azoxistrobina + benzovindiflupir + difenoconazol + ciproconazol, azoxistrobina + benzovindiflupir + mancozebe, trifloxistrobina + protioconazol.</w:t>
      </w:r>
      <w:r w:rsidR="00007E20" w:rsidRPr="00B7238F">
        <w:rPr>
          <w:iCs/>
        </w:rPr>
        <w:t xml:space="preserve"> Foram realizadas aplicações de fungicidas </w:t>
      </w:r>
      <w:r w:rsidR="00355888" w:rsidRPr="00B7238F">
        <w:t xml:space="preserve">em seis momentos: M1) 48 h antes da inoculação; M2) 24 h após a inoculação; M3) 48 h após a inoculação; M4) 72 h após a inoculação; M5) 120 h após a inoculação; M6) 168 h após a inoculação. A avaliação de severidade da doença foi realizada aos vinte dias após a inoculação. </w:t>
      </w:r>
      <w:r w:rsidR="00D81C5D" w:rsidRPr="00B7238F">
        <w:t xml:space="preserve">Aplicação de forma preventiva de carboxamidas isoladas propiciaram menor número de lesões e maior controle do patógeno, quando comparada com aplicações curativas. Os fungicidas testados apresentaram diferença quanto ao potencial curativo, sendo trifloxistrobina + protioconazole + bixafeno, trifloxistrobina + protioconazole, picoxistrobina + benzovindiflupyre azoxistrobina + benzovindiflupyr + ciproconazole + difenoconazole os tratamentos com maior eficiência de controle curativo. A eficiência de controle de </w:t>
      </w:r>
      <w:r w:rsidR="00D81C5D" w:rsidRPr="00B7238F">
        <w:rPr>
          <w:i/>
        </w:rPr>
        <w:t>P. pachyrhizi</w:t>
      </w:r>
      <w:r w:rsidR="00D81C5D" w:rsidRPr="00B7238F">
        <w:t xml:space="preserve"> pelos fungicidas do grupo químico das carboxamidas fluxapyroxada e bixafeno é reduzida linearmente quando esses são pulverizados após a inoculação do fungo. Os fungicidas do grupo químico das carboxamidas proporcionam controle da doença mesmo em população de </w:t>
      </w:r>
      <w:r w:rsidR="00D81C5D" w:rsidRPr="00B7238F">
        <w:rPr>
          <w:i/>
        </w:rPr>
        <w:t xml:space="preserve">P. pachyrhizi </w:t>
      </w:r>
      <w:r w:rsidR="00D81C5D" w:rsidRPr="00B7238F">
        <w:t>com alta frequência da mutação I86F, quando pulverizados em fases iniciais do processo de infecção do fungo e/ou aplicados em mistura.</w:t>
      </w:r>
    </w:p>
    <w:p w14:paraId="451BAC23" w14:textId="203DD4F4" w:rsidR="00417DA9" w:rsidRPr="00B7238F" w:rsidRDefault="00417DA9" w:rsidP="00D83A13">
      <w:pPr>
        <w:spacing w:line="240" w:lineRule="auto"/>
      </w:pPr>
    </w:p>
    <w:p w14:paraId="6582B754" w14:textId="491C8899" w:rsidR="00FC0AE5" w:rsidRPr="00B7238F" w:rsidRDefault="00C54672" w:rsidP="00D83A13">
      <w:pPr>
        <w:spacing w:line="240" w:lineRule="auto"/>
        <w:ind w:firstLine="0"/>
      </w:pPr>
      <w:r w:rsidRPr="00B7238F">
        <w:rPr>
          <w:b/>
        </w:rPr>
        <w:t xml:space="preserve">Palavras </w:t>
      </w:r>
      <w:r w:rsidR="00FC0AE5" w:rsidRPr="00B7238F">
        <w:rPr>
          <w:b/>
        </w:rPr>
        <w:t xml:space="preserve">chave: </w:t>
      </w:r>
      <w:r w:rsidR="00D81C5D" w:rsidRPr="00B7238F">
        <w:t>Fungicidas</w:t>
      </w:r>
      <w:r w:rsidRPr="00B7238F">
        <w:t>.</w:t>
      </w:r>
      <w:r w:rsidR="00D81C5D" w:rsidRPr="00B7238F">
        <w:t>Controle químico</w:t>
      </w:r>
      <w:r w:rsidRPr="00B7238F">
        <w:t>.</w:t>
      </w:r>
      <w:r w:rsidR="00746C56" w:rsidRPr="00B7238F">
        <w:t xml:space="preserve"> </w:t>
      </w:r>
      <w:r w:rsidR="00D81C5D" w:rsidRPr="00B7238F">
        <w:t>Controle curativo</w:t>
      </w:r>
      <w:r w:rsidR="00FC0AE5" w:rsidRPr="00B7238F">
        <w:t>.</w:t>
      </w:r>
      <w:r w:rsidR="00D81C5D" w:rsidRPr="00B7238F">
        <w:t xml:space="preserve"> Ferrugem asiática</w:t>
      </w:r>
    </w:p>
    <w:p w14:paraId="09483901" w14:textId="3966E92D" w:rsidR="00B0794C" w:rsidRDefault="00B0794C" w:rsidP="0005468C"/>
    <w:p w14:paraId="2CEB16A3" w14:textId="51D04581" w:rsidR="00796F1B" w:rsidRDefault="00796F1B">
      <w:pPr>
        <w:autoSpaceDE/>
        <w:autoSpaceDN/>
        <w:adjustRightInd/>
        <w:ind w:firstLine="0"/>
        <w:jc w:val="left"/>
      </w:pPr>
      <w:r>
        <w:br w:type="page"/>
      </w:r>
    </w:p>
    <w:p w14:paraId="79FC5979" w14:textId="5514DBCB" w:rsidR="00FC0AE5" w:rsidRDefault="00FC0AE5" w:rsidP="00516785">
      <w:pPr>
        <w:pStyle w:val="Ttulo2"/>
        <w:spacing w:before="0" w:after="0" w:line="360" w:lineRule="auto"/>
      </w:pPr>
      <w:bookmarkStart w:id="206" w:name="_Toc516580494"/>
      <w:bookmarkStart w:id="207" w:name="_Toc517105669"/>
      <w:bookmarkStart w:id="208" w:name="_Toc22568253"/>
      <w:r w:rsidRPr="00B7238F">
        <w:t>5.2 INTRODUÇÃO</w:t>
      </w:r>
      <w:bookmarkEnd w:id="206"/>
      <w:bookmarkEnd w:id="207"/>
      <w:bookmarkEnd w:id="208"/>
    </w:p>
    <w:p w14:paraId="1C40D496" w14:textId="77777777" w:rsidR="00516785" w:rsidRPr="00516785" w:rsidRDefault="00516785" w:rsidP="00516785">
      <w:pPr>
        <w:spacing w:after="0" w:line="360" w:lineRule="auto"/>
      </w:pPr>
    </w:p>
    <w:p w14:paraId="3A22A837" w14:textId="77777777" w:rsidR="00D83A13" w:rsidRDefault="0042362B" w:rsidP="00516785">
      <w:pPr>
        <w:spacing w:after="0" w:line="360" w:lineRule="auto"/>
      </w:pPr>
      <w:bookmarkStart w:id="209" w:name="_Toc516580496"/>
      <w:bookmarkStart w:id="210" w:name="_Toc517105671"/>
      <w:r w:rsidRPr="00B7238F">
        <w:t>A soja (</w:t>
      </w:r>
      <w:r w:rsidRPr="00B7238F">
        <w:rPr>
          <w:i/>
        </w:rPr>
        <w:t xml:space="preserve">Glycine max </w:t>
      </w:r>
      <w:r w:rsidRPr="00B7238F">
        <w:t>(L.) Merrill.) é uma das plantas de lavoura mais cultivadas no mundo. No Brasil, a área cultivada triplicou nos últimos vinte anos, aumentando de 11,38 milhões de hectares na safra de 1997/98 para 35,8 milhões de hectares na safra de 2017/18 (</w:t>
      </w:r>
      <w:bookmarkStart w:id="211" w:name="_Hlk12599613"/>
      <w:r w:rsidRPr="00B7238F">
        <w:t>CONAB, 2019</w:t>
      </w:r>
      <w:bookmarkEnd w:id="211"/>
      <w:r w:rsidRPr="00B7238F">
        <w:t>).</w:t>
      </w:r>
    </w:p>
    <w:p w14:paraId="37D48995" w14:textId="77777777" w:rsidR="00D83A13" w:rsidRDefault="0042362B" w:rsidP="00516785">
      <w:pPr>
        <w:spacing w:after="0" w:line="360" w:lineRule="auto"/>
      </w:pPr>
      <w:r w:rsidRPr="00B7238F">
        <w:t>Apesar do incremento crescente de área, a produção e a produtividade não tem tido o mesmo crescimento em razão de alguns fatores abióticos e bióticos.</w:t>
      </w:r>
    </w:p>
    <w:p w14:paraId="7F92C136" w14:textId="77777777" w:rsidR="00D83A13" w:rsidRDefault="0042362B" w:rsidP="00516785">
      <w:pPr>
        <w:spacing w:after="0" w:line="360" w:lineRule="auto"/>
      </w:pPr>
      <w:r w:rsidRPr="00B7238F">
        <w:t xml:space="preserve">A ocorrência de doenças, como a ferrugem asiática da soja (FAS), causada pelo fungo </w:t>
      </w:r>
      <w:r w:rsidRPr="00B7238F">
        <w:rPr>
          <w:i/>
          <w:color w:val="212121"/>
          <w:lang w:val="pt-PT"/>
        </w:rPr>
        <w:t xml:space="preserve">Phakopsora pachyrhizi </w:t>
      </w:r>
      <w:r w:rsidRPr="00B7238F">
        <w:t>Sydow &amp; Sydow</w:t>
      </w:r>
      <w:r w:rsidRPr="00B7238F">
        <w:rPr>
          <w:color w:val="000000" w:themeColor="text1"/>
          <w:lang w:val="pt-PT"/>
        </w:rPr>
        <w:t>,</w:t>
      </w:r>
      <w:r w:rsidRPr="00B7238F">
        <w:rPr>
          <w:i/>
          <w:color w:val="212121"/>
          <w:lang w:val="pt-PT"/>
        </w:rPr>
        <w:t xml:space="preserve"> </w:t>
      </w:r>
      <w:r w:rsidRPr="00B7238F">
        <w:t>relatada pela primeira vez na América do Sul em 2001 (YORINORI &amp; MOREL, 2002), tem limitado o potencial de produtividade (YORINO</w:t>
      </w:r>
      <w:r w:rsidRPr="00B7238F">
        <w:rPr>
          <w:color w:val="000000" w:themeColor="text1"/>
        </w:rPr>
        <w:t>RI</w:t>
      </w:r>
      <w:r w:rsidRPr="00B7238F">
        <w:rPr>
          <w:color w:val="FF0000"/>
        </w:rPr>
        <w:t xml:space="preserve"> </w:t>
      </w:r>
      <w:r w:rsidRPr="00B7238F">
        <w:t>et al., 2005) em virtude da frequência de ocorrência, severidade e potencial de dano (DALLA LANA et al., 2015; GODOY et al., 2016). A FAS pode causar rápido amarelecimento e desfolha precoce das plantas, prejudicando a formação de vagens e grãos, e consequentemente reduzindo a produtividade (YANG et al., 1991; KUMUDINI et al., 2008).</w:t>
      </w:r>
    </w:p>
    <w:p w14:paraId="51F22B14" w14:textId="77777777" w:rsidR="00D83A13" w:rsidRDefault="0042362B" w:rsidP="00516785">
      <w:pPr>
        <w:spacing w:after="0" w:line="360" w:lineRule="auto"/>
        <w:rPr>
          <w:color w:val="000000" w:themeColor="text1"/>
          <w:lang w:val="pt-PT"/>
        </w:rPr>
      </w:pPr>
      <w:r w:rsidRPr="00B7238F">
        <w:t>Danos da FAS foram estimados de 23 a 90% em Taiwan (HARTMAN, WANG &amp; TSCHANZ, 1991), 10 a 40% na Tailândia, 10 a 90% na Índia, 10 a 50% no sul da China e 40% no Japão (SINCLAIR &amp; HARTMAN, 1999), 50% no Paraguai (MOREL, 2001) e 40 a 80% no Zimbabwe (LEVY, 2005).</w:t>
      </w:r>
      <w:r w:rsidRPr="00B7238F">
        <w:rPr>
          <w:color w:val="FF0000"/>
        </w:rPr>
        <w:t xml:space="preserve"> </w:t>
      </w:r>
      <w:r w:rsidRPr="00B7238F">
        <w:t xml:space="preserve">No Brasil, estimativas de dano variam de </w:t>
      </w:r>
      <w:r w:rsidRPr="00B7238F">
        <w:rPr>
          <w:color w:val="000000"/>
        </w:rPr>
        <w:t xml:space="preserve">10 a 100% (YORINORI &amp; MOREL, 2002; </w:t>
      </w:r>
      <w:r w:rsidRPr="00B7238F">
        <w:rPr>
          <w:color w:val="000000" w:themeColor="text1"/>
        </w:rPr>
        <w:t>HIKISHIMA et al., 2010). Correlação entre severidade e redução da produtividade indicou redução de</w:t>
      </w:r>
      <w:r w:rsidRPr="00B7238F">
        <w:rPr>
          <w:color w:val="000000" w:themeColor="text1"/>
          <w:lang w:val="pt-PT"/>
        </w:rPr>
        <w:t xml:space="preserve"> 0,41 a 0,79% (média 0,6%) para cada 1% de severidade da doença (DALLA LANA et al., 2015). Ao considerar a área cultivada na safra de 2018/19 de 35,82 milhões de hectares, a severidade média da testemunha nos ensaios em rede de 78,1%, a redução de 0,6% de produtividade para 1% de severidade e a produtividade média de 3.206 kg.ha</w:t>
      </w:r>
      <w:r w:rsidRPr="00B7238F">
        <w:rPr>
          <w:color w:val="000000" w:themeColor="text1"/>
          <w:vertAlign w:val="superscript"/>
          <w:lang w:val="pt-PT"/>
        </w:rPr>
        <w:t>-1</w:t>
      </w:r>
      <w:r w:rsidRPr="00B7238F">
        <w:rPr>
          <w:color w:val="000000" w:themeColor="text1"/>
          <w:lang w:val="pt-PT"/>
        </w:rPr>
        <w:t>, tem-se o dano potencial estimado da FAS no Brasil nesta safra de 53,81 milhões de toneladas de soja ou 67,27 bilhões de reais considerando o preço do saca de R$ 75,00 (DALLA LANA et al., 2015; CONAB, 2019; GODOY et al., 2018).</w:t>
      </w:r>
    </w:p>
    <w:p w14:paraId="66DAE43B" w14:textId="77777777" w:rsidR="00D83A13" w:rsidRDefault="0042362B" w:rsidP="00516785">
      <w:pPr>
        <w:spacing w:after="0" w:line="360" w:lineRule="auto"/>
      </w:pPr>
      <w:r w:rsidRPr="00B7238F">
        <w:t xml:space="preserve">Cultivares de soja com resistência duradoura a todos os isolados de </w:t>
      </w:r>
      <w:r w:rsidRPr="00B7238F">
        <w:rPr>
          <w:i/>
        </w:rPr>
        <w:t>P. pachyrhizi</w:t>
      </w:r>
      <w:r w:rsidRPr="00B7238F">
        <w:t xml:space="preserve"> não estão disponíveis. Outras estratégias de controle como a escolha da época de semeadura, o arranjo da população de plantas, o cultivo de genótipos precoces e a eliminação de plantas voluntárias são estratégias complementares, no entanto, devido facilidade de dispersão do inóculo o patógeno tem sido detectado em praticamente todos os sistemas de cultivo, o que torna o controle químico a estratégia mais utilizada no controle da doença (KAWASHIMA et al., 2016). Quando o controle químico se torna a única estratégia ou a mais utilizada, pode ocorrer necessidade do aumento do número de pulverizações e consequentemente maior período de exposição do patógeno aos fungicidas. O aumento do período de exposição do patógeno ao fungicida e/ou aumento da dose total de ingrediente ativo pulverizado durante o ciclo da cultura, causa aumento da taxa de seleção de isolados do patógeno com menor sensibilidade a fungicidas (HOBBELEN et al., 2011; van den BOSCH et al., 2014). O patógeno ao ser exposto a aplicações repetidas de fungicidas de sítio específico com o mesmo mecanismo de ação sofre pressão de seleção, proporcionando incremento da frequência de indivíduos menos sensíveis na população do fungo.</w:t>
      </w:r>
    </w:p>
    <w:p w14:paraId="37796D06" w14:textId="77777777" w:rsidR="00D83A13" w:rsidRDefault="0042362B" w:rsidP="00516785">
      <w:pPr>
        <w:spacing w:after="0" w:line="360" w:lineRule="auto"/>
      </w:pPr>
      <w:r w:rsidRPr="00B7238F">
        <w:t>A redução de eficiência dos fungicidas no controle da FAS observada a nível de campo, deve-se a menor sensibilidade do fungo a fungicidas com mecanismo de ação DMI’s, IQe’s e SDHI’s (SCHMITZ et al., 2013; KLOSOWSK et al., 2016; SIMÕES et al., 2017). Os fungicidas do grupo químico das carboxamidas, inibem a respiração mitocondrial através da ligação a enzima succinato desidrogenase (SDHI’s) no complexo II da cadeia respiratória, impedindo a transferência de elétrons e consequentemente a produção de ATP, levando a uma deficiência de energia e morte do fungo (SIEROTZKI &amp; SCALLIET, 2013). As carboxamidas foram registradas no Brasil para o controle da FAS no ano de 2013, sendo os produtos comerciais formulados por misturas de carboxamidas e estrobilurinas (IQe’s) e desde então apresentavam os maiores valores de controle da doença nos ensaios do consórcio em rede (GODOY et al. 2016a; GODOY et al. 2016b). Os fungicidas SDHI’s e IQe’s são classificados como fungicidas de alto risco de resistência pelo FRAC (FRAC, 2017). A recomendação do FRAC internacional para utilização de misturas nas formulações com SDHI, visando o manejo de resistência, menciona a necessidade deste produto parceiro apresentar eficiência satisfatória quando utilizado de maneira isolada visando o controle da doença alvo (FRAC, 201</w:t>
      </w:r>
      <w:r w:rsidR="00147B71" w:rsidRPr="00B7238F">
        <w:t>7</w:t>
      </w:r>
      <w:r w:rsidRPr="00B7238F">
        <w:t>). Contudo, na safra 2012/13, o fungicida azoxistrobina quando avaliado de maneira isolada nos ensaios do consórcio em rede apresentava eficiência de controle da FAS inferior a 30% em 25% dos locais de avaliação, havendo presença de locais com controle inferior a 10% (GODOY et al., 2013). Na safra seguinte, quando houve aumento de utilização de carboxamidas em misturas com estrobilurinas, o controle de azoxistrobina isolada foi inferior a 10% em 25% dos locais avaliados nos ensaios do consórcio em rede (GODOY et al., 2014). Desta forma, as carboxamidas foram registradas em mistura com fungicidas com baixa eficiência, aceitando assim maior risco de seleção de indivíduos com menor sensibilidade a este grupo de fungicidas.</w:t>
      </w:r>
    </w:p>
    <w:p w14:paraId="568747D9" w14:textId="77777777" w:rsidR="00D83A13" w:rsidRDefault="0042362B" w:rsidP="00516785">
      <w:pPr>
        <w:spacing w:after="0" w:line="360" w:lineRule="auto"/>
      </w:pPr>
      <w:r w:rsidRPr="00B7238F">
        <w:t xml:space="preserve">Em monitoramento realizado pelo FRAC, foi verificado em </w:t>
      </w:r>
      <w:r w:rsidR="00274E84" w:rsidRPr="00B7238F">
        <w:t>populações</w:t>
      </w:r>
      <w:r w:rsidRPr="00B7238F">
        <w:t xml:space="preserve"> do patógeno coletad</w:t>
      </w:r>
      <w:r w:rsidR="00274E84" w:rsidRPr="00B7238F">
        <w:t>a</w:t>
      </w:r>
      <w:r w:rsidRPr="00B7238F">
        <w:t xml:space="preserve">s na safra 2015/16, a presença da mutação I86F na subunidade C da enzima succinato desidrogenase, a qual confere menor sensibilidade de </w:t>
      </w:r>
      <w:r w:rsidRPr="00B7238F">
        <w:rPr>
          <w:i/>
        </w:rPr>
        <w:t xml:space="preserve">P. pachyrhizi </w:t>
      </w:r>
      <w:r w:rsidRPr="00B7238F">
        <w:t xml:space="preserve">a carboxamidas (SIMÕES et al., 2017). Além disso, nos ensaios do consórcio em rede observou-se a redução de eficiência de carboxamidas, principalmente na região sul do país (GODOY et al., 2017). A redução da sensibilidade do fungo a este grupo de fungicidas, pode representar a perda dos ingredientes ativos considerados eficientes no controle de </w:t>
      </w:r>
      <w:r w:rsidRPr="00B7238F">
        <w:rPr>
          <w:i/>
        </w:rPr>
        <w:t>P. pachyrhizi.</w:t>
      </w:r>
      <w:r w:rsidRPr="00B7238F">
        <w:t xml:space="preserve"> A existência de custo de adaptação para mutações relacionadas a redução de sensibilidade a fungicidas, proporciona a possibilidade de aumento da frequência de indivíduos com maior sensibilidade aos fungicidas quando ocorre redução da exposição do fungo a ingredientes ativos relacionados com estas mutações (HAWKINS &amp; FRAAIJE, 2018). Portanto, há necessidade de realização de estudos avaliando o custo de adaptação da mutação I86F em </w:t>
      </w:r>
      <w:r w:rsidR="00274E84" w:rsidRPr="00B7238F">
        <w:t>populações</w:t>
      </w:r>
      <w:r w:rsidRPr="00B7238F">
        <w:t xml:space="preserve"> de </w:t>
      </w:r>
      <w:r w:rsidRPr="00B7238F">
        <w:rPr>
          <w:i/>
        </w:rPr>
        <w:t>P. pachyrhizi</w:t>
      </w:r>
      <w:r w:rsidRPr="00B7238F">
        <w:t xml:space="preserve"> visando compreender quais estratégias de manejo de resistência serão eficazes para proporcionar aumento de eficiência de fungicidas do grupo das carboxamidas.</w:t>
      </w:r>
    </w:p>
    <w:p w14:paraId="1A57C659" w14:textId="77777777" w:rsidR="00D83A13" w:rsidRDefault="0042362B" w:rsidP="00516785">
      <w:pPr>
        <w:spacing w:after="0" w:line="360" w:lineRule="auto"/>
        <w:rPr>
          <w:iCs/>
        </w:rPr>
      </w:pPr>
      <w:r w:rsidRPr="00B7238F">
        <w:t xml:space="preserve">A nível de campo as aplicações de fungicidas são recomendadas preventivamente, porém quando há presença do patógeno na lavoura todas fases do processo de infecção ocorrem ao mesmo tempo (van den BOSCH et al., 2016). Diante do exposto há necessidade de compreender a eficiência de fungicidas aplicados em diferentes fases do processo de infecção de </w:t>
      </w:r>
      <w:r w:rsidRPr="00B7238F">
        <w:rPr>
          <w:i/>
        </w:rPr>
        <w:t>P. pachyrhizi</w:t>
      </w:r>
      <w:r w:rsidRPr="00B7238F">
        <w:t>, pois pouca informação foi obtida neste sentido (GODOY &amp; CANTERI, 2004), descritas antes dos relatos de redução da sensibilidade a fungicidas do grupo químico dos triazóis, estrobilurinas e carboxamidas. Da mesma forma não há comprovação científica de que aplicações curativas de fungicidas proporcionam maior taxa de seleção de isolados resistentes (van den BOSCH et al., 2014). A mutação I86F afeta a eficiência de controle de fungicidas do grupo químico das carboxamidas, mas não há informações sobre seu efeito em diferentes fases do processo de infecção do fungo, bem como sobre o efeito de mistura de carboxamidas com fungicidas de outros grupos químicos visando aumentar o controle do patógeno em isolados mutantes. Neste sentido, o objetivo deste trabalho foi obter informações quantitativas da eficiência de carboxamidas isoladas e/ou em mistura com outros fungicidas no controle</w:t>
      </w:r>
      <w:r w:rsidR="00274E84" w:rsidRPr="00B7238F">
        <w:t xml:space="preserve"> de uma população</w:t>
      </w:r>
      <w:r w:rsidRPr="00B7238F">
        <w:t xml:space="preserve"> de </w:t>
      </w:r>
      <w:r w:rsidRPr="00B7238F">
        <w:rPr>
          <w:i/>
          <w:iCs/>
        </w:rPr>
        <w:t xml:space="preserve">P. pachyrhizi </w:t>
      </w:r>
      <w:r w:rsidRPr="00B7238F">
        <w:rPr>
          <w:iCs/>
        </w:rPr>
        <w:t>com a mutação I86F</w:t>
      </w:r>
      <w:r w:rsidRPr="00B7238F">
        <w:t xml:space="preserve"> aplicadas em diferentes fases do processo de infecção do fungo</w:t>
      </w:r>
      <w:r w:rsidRPr="00B7238F">
        <w:rPr>
          <w:iCs/>
        </w:rPr>
        <w:t>.</w:t>
      </w:r>
      <w:bookmarkStart w:id="212" w:name="_Toc516580495"/>
      <w:bookmarkStart w:id="213" w:name="_Toc517105670"/>
    </w:p>
    <w:p w14:paraId="68D49FD5" w14:textId="77777777" w:rsidR="00516785" w:rsidRDefault="00516785" w:rsidP="00516785">
      <w:pPr>
        <w:spacing w:after="0" w:line="360" w:lineRule="auto"/>
        <w:rPr>
          <w:iCs/>
        </w:rPr>
      </w:pPr>
    </w:p>
    <w:p w14:paraId="3479674C" w14:textId="1D3CC972" w:rsidR="0042362B" w:rsidRDefault="0042362B" w:rsidP="00516785">
      <w:pPr>
        <w:pStyle w:val="Ttulo2"/>
        <w:spacing w:before="0" w:after="0" w:line="360" w:lineRule="auto"/>
      </w:pPr>
      <w:bookmarkStart w:id="214" w:name="_Toc22568254"/>
      <w:r w:rsidRPr="00B7238F">
        <w:t xml:space="preserve">5.3 </w:t>
      </w:r>
      <w:r w:rsidR="0082234C">
        <w:t>M</w:t>
      </w:r>
      <w:r w:rsidR="0082234C" w:rsidRPr="00B7238F">
        <w:t>ATERIA</w:t>
      </w:r>
      <w:r w:rsidR="0082234C">
        <w:t xml:space="preserve">IS </w:t>
      </w:r>
      <w:r w:rsidR="0082234C" w:rsidRPr="00B7238F">
        <w:t>E MÉTODOS</w:t>
      </w:r>
      <w:bookmarkEnd w:id="212"/>
      <w:bookmarkEnd w:id="213"/>
      <w:bookmarkEnd w:id="214"/>
    </w:p>
    <w:p w14:paraId="4008D2C3" w14:textId="77777777" w:rsidR="00516785" w:rsidRPr="00516785" w:rsidRDefault="00516785" w:rsidP="00516785">
      <w:pPr>
        <w:spacing w:after="0"/>
      </w:pPr>
    </w:p>
    <w:p w14:paraId="307C9EC9" w14:textId="77777777" w:rsidR="0042362B" w:rsidRPr="00B7238F" w:rsidRDefault="0042362B" w:rsidP="00516785">
      <w:pPr>
        <w:spacing w:after="0" w:line="360" w:lineRule="auto"/>
      </w:pPr>
      <w:r w:rsidRPr="00B7238F">
        <w:t>Os experimentos foram conduzidos no Laboratório de Fitopatologia e em casa de vegetação localizados no Centro de Ciências Agroveterinárias da Universidade do Estado de Santa Catarina. Foram conduzidos dois estudos com aplicações de fungicidas carboxamidas de forma isolada (primeiro estudo) e em mistura (segundo estudo) de carboxamidas com estrobilurinas, triazóis e ditiocarbamato. Cada estudo foi replicado uma vez.</w:t>
      </w:r>
    </w:p>
    <w:p w14:paraId="37E44622" w14:textId="77777777" w:rsidR="0042362B" w:rsidRPr="00B7238F" w:rsidRDefault="0042362B" w:rsidP="00516785">
      <w:pPr>
        <w:spacing w:after="0" w:line="360" w:lineRule="auto"/>
      </w:pPr>
    </w:p>
    <w:p w14:paraId="4B635A45" w14:textId="60BB0262" w:rsidR="0042362B" w:rsidRPr="00B7238F" w:rsidRDefault="0042362B" w:rsidP="00516785">
      <w:pPr>
        <w:pStyle w:val="Ttulo3"/>
        <w:spacing w:after="0" w:line="360" w:lineRule="auto"/>
      </w:pPr>
      <w:bookmarkStart w:id="215" w:name="_Toc22568255"/>
      <w:r w:rsidRPr="00B7238F">
        <w:t xml:space="preserve">5.3.1 </w:t>
      </w:r>
      <w:r w:rsidR="00D47D6E">
        <w:t>P</w:t>
      </w:r>
      <w:r w:rsidR="00D47D6E" w:rsidRPr="00B7238F">
        <w:t>opulação do fungo</w:t>
      </w:r>
      <w:bookmarkEnd w:id="215"/>
    </w:p>
    <w:p w14:paraId="16B392FD" w14:textId="5AFF0B1B" w:rsidR="0042362B" w:rsidRPr="00B7238F" w:rsidRDefault="0042362B" w:rsidP="00516785">
      <w:pPr>
        <w:spacing w:after="0" w:line="360" w:lineRule="auto"/>
      </w:pPr>
    </w:p>
    <w:p w14:paraId="7F8C525D" w14:textId="6080DE63" w:rsidR="00D47D6E" w:rsidRDefault="00827DD3" w:rsidP="00516785">
      <w:pPr>
        <w:spacing w:after="0" w:line="360" w:lineRule="auto"/>
      </w:pPr>
      <w:r w:rsidRPr="00B7238F">
        <w:rPr>
          <w:color w:val="000000" w:themeColor="text1"/>
        </w:rPr>
        <w:t xml:space="preserve">A população de </w:t>
      </w:r>
      <w:r w:rsidRPr="00B7238F">
        <w:rPr>
          <w:i/>
          <w:color w:val="000000" w:themeColor="text1"/>
        </w:rPr>
        <w:t>P. pachyrhizi</w:t>
      </w:r>
      <w:r w:rsidR="0042362B" w:rsidRPr="00B7238F">
        <w:rPr>
          <w:color w:val="000000" w:themeColor="text1"/>
        </w:rPr>
        <w:t xml:space="preserve"> </w:t>
      </w:r>
      <w:r w:rsidR="0042362B" w:rsidRPr="00B7238F">
        <w:t>selecionad</w:t>
      </w:r>
      <w:r w:rsidRPr="00B7238F">
        <w:t>a</w:t>
      </w:r>
      <w:r w:rsidR="0042362B" w:rsidRPr="00B7238F">
        <w:t xml:space="preserve"> para utilização nos experimentos foi coletad</w:t>
      </w:r>
      <w:r w:rsidRPr="00B7238F">
        <w:t>a</w:t>
      </w:r>
      <w:r w:rsidR="0042362B" w:rsidRPr="00B7238F">
        <w:t xml:space="preserve"> no município de Lages, estado de Santa Catarina, e apresentou 47% de frequência da mutação I86F, sendo que</w:t>
      </w:r>
      <w:r w:rsidR="00AB1CAF">
        <w:t xml:space="preserve"> em geral a mutação ocorre em apenas um dos núcleos alcançando 50 % de frequência</w:t>
      </w:r>
      <w:r w:rsidR="0042362B" w:rsidRPr="00B7238F">
        <w:t>.</w:t>
      </w:r>
      <w:bookmarkEnd w:id="209"/>
      <w:bookmarkEnd w:id="210"/>
    </w:p>
    <w:p w14:paraId="63EAAE61" w14:textId="4540C5FA" w:rsidR="004E3D23" w:rsidRPr="00B7238F" w:rsidRDefault="004E3D23" w:rsidP="00516785">
      <w:pPr>
        <w:spacing w:after="0" w:line="360" w:lineRule="auto"/>
      </w:pPr>
      <w:r w:rsidRPr="00B7238F">
        <w:t>P</w:t>
      </w:r>
      <w:r w:rsidR="00827DD3" w:rsidRPr="00B7238F">
        <w:t>a</w:t>
      </w:r>
      <w:r w:rsidRPr="00B7238F">
        <w:t xml:space="preserve">ra </w:t>
      </w:r>
      <w:r w:rsidR="00827DD3" w:rsidRPr="00B7238F">
        <w:t xml:space="preserve">quantificação da frequência da mutação </w:t>
      </w:r>
      <w:r w:rsidRPr="00B7238F">
        <w:rPr>
          <w:color w:val="000000" w:themeColor="text1"/>
        </w:rPr>
        <w:t>foi realizada a extração do DNA d</w:t>
      </w:r>
      <w:r w:rsidR="00827DD3" w:rsidRPr="00B7238F">
        <w:rPr>
          <w:color w:val="000000" w:themeColor="text1"/>
        </w:rPr>
        <w:t>a</w:t>
      </w:r>
      <w:r w:rsidRPr="00B7238F">
        <w:rPr>
          <w:color w:val="000000" w:themeColor="text1"/>
        </w:rPr>
        <w:t xml:space="preserve"> populaç</w:t>
      </w:r>
      <w:r w:rsidR="00827DD3" w:rsidRPr="00B7238F">
        <w:rPr>
          <w:color w:val="000000" w:themeColor="text1"/>
        </w:rPr>
        <w:t>ão</w:t>
      </w:r>
      <w:r w:rsidRPr="00B7238F">
        <w:rPr>
          <w:color w:val="000000" w:themeColor="text1"/>
        </w:rPr>
        <w:t xml:space="preserve"> do patógeno </w:t>
      </w:r>
      <w:r w:rsidRPr="00B7238F">
        <w:t>conforme metodologia descrita por Schimitz et al. (2014)</w:t>
      </w:r>
      <w:r w:rsidR="00827DD3" w:rsidRPr="00B7238F">
        <w:t xml:space="preserve">, na Estação Experimental da empresa BASF, em Santo Antônio </w:t>
      </w:r>
      <w:r w:rsidR="00827DD3" w:rsidRPr="00B7238F">
        <w:rPr>
          <w:color w:val="000000" w:themeColor="text1"/>
        </w:rPr>
        <w:t xml:space="preserve">de Posse, estado de São Paulo, </w:t>
      </w:r>
      <w:r w:rsidRPr="00B7238F">
        <w:t xml:space="preserve"> A análise quantitativa genética da mutação I86F na subunidade SDHc, foi realizada através de PCR em tempo real pela metodologia desenvolvida e descrita por Simões et al. (2017).</w:t>
      </w:r>
    </w:p>
    <w:p w14:paraId="7860BF28" w14:textId="60F7DBF7" w:rsidR="0042362B" w:rsidRDefault="0042362B" w:rsidP="00516785">
      <w:pPr>
        <w:spacing w:after="0" w:line="360" w:lineRule="auto"/>
      </w:pPr>
    </w:p>
    <w:p w14:paraId="1AD8F09B" w14:textId="758FE1CF" w:rsidR="0042362B" w:rsidRPr="00B7238F" w:rsidRDefault="0042362B" w:rsidP="00516785">
      <w:pPr>
        <w:pStyle w:val="Ttulo3"/>
        <w:spacing w:after="0" w:line="360" w:lineRule="auto"/>
      </w:pPr>
      <w:bookmarkStart w:id="216" w:name="_Toc516580497"/>
      <w:bookmarkStart w:id="217" w:name="_Toc517105672"/>
      <w:bookmarkStart w:id="218" w:name="_Toc22568256"/>
      <w:r w:rsidRPr="00B7238F">
        <w:t xml:space="preserve">5.3.2 </w:t>
      </w:r>
      <w:bookmarkEnd w:id="216"/>
      <w:bookmarkEnd w:id="217"/>
      <w:r w:rsidR="00D47D6E">
        <w:t>M</w:t>
      </w:r>
      <w:r w:rsidR="00D47D6E" w:rsidRPr="00B7238F">
        <w:t>anutenção do inóculo</w:t>
      </w:r>
      <w:bookmarkEnd w:id="218"/>
    </w:p>
    <w:p w14:paraId="0F931B8A" w14:textId="77777777" w:rsidR="0042362B" w:rsidRPr="00B7238F" w:rsidRDefault="0042362B" w:rsidP="00516785">
      <w:pPr>
        <w:spacing w:after="0" w:line="360" w:lineRule="auto"/>
      </w:pPr>
    </w:p>
    <w:p w14:paraId="3B5F38AB" w14:textId="77777777" w:rsidR="0082234C" w:rsidRDefault="0042362B" w:rsidP="00516785">
      <w:pPr>
        <w:spacing w:after="0" w:line="360" w:lineRule="auto"/>
      </w:pPr>
      <w:r w:rsidRPr="00B7238F">
        <w:t>A manutenção do inóculo d</w:t>
      </w:r>
      <w:r w:rsidR="005B605E" w:rsidRPr="00B7238F">
        <w:t xml:space="preserve">a população de </w:t>
      </w:r>
      <w:r w:rsidR="005B605E" w:rsidRPr="00B7238F">
        <w:rPr>
          <w:i/>
        </w:rPr>
        <w:t>P. pachyrhizi</w:t>
      </w:r>
      <w:r w:rsidR="005B605E" w:rsidRPr="00B7238F">
        <w:t xml:space="preserve"> </w:t>
      </w:r>
      <w:r w:rsidRPr="00B7238F">
        <w:t>foi feita em plantas de soja do cultivar BMX Lança IPRO cultivadas em casa de vegetação com semeadura a cada duas semanas para manutenção do inóculo durante todo o período de estudo.</w:t>
      </w:r>
    </w:p>
    <w:p w14:paraId="467E7216" w14:textId="77777777" w:rsidR="0082234C" w:rsidRDefault="0042362B" w:rsidP="00516785">
      <w:pPr>
        <w:spacing w:after="0" w:line="360" w:lineRule="auto"/>
      </w:pPr>
      <w:r w:rsidRPr="00B7238F">
        <w:t>Folhas de soja com lesões e urédias contendo uredosporos foram coletadas sempre que necessário para produção do inóculo. No Laboratório de Fitopatologia os folíolos infectados foram inseridos dentro de Erlenmeyrs, contendo água destilada com duas gotas por litro do surfactante Tween 20, os quais foram agitados manualmente para formar uma suspensão de uredosporos. Foram coletadas alíquotas dessa suspensão para mensuração da concentração de inóculo em microscópio ótico utilizando hemacitômetro.</w:t>
      </w:r>
      <w:bookmarkStart w:id="219" w:name="_Toc516580498"/>
      <w:bookmarkStart w:id="220" w:name="_Toc517105673"/>
    </w:p>
    <w:p w14:paraId="155BC2AD" w14:textId="77777777" w:rsidR="0082234C" w:rsidRDefault="0082234C" w:rsidP="00516785">
      <w:pPr>
        <w:spacing w:after="0" w:line="360" w:lineRule="auto"/>
      </w:pPr>
    </w:p>
    <w:p w14:paraId="373241BA" w14:textId="0154C061" w:rsidR="0042362B" w:rsidRPr="00B7238F" w:rsidRDefault="0082234C" w:rsidP="00516785">
      <w:pPr>
        <w:pStyle w:val="Ttulo3"/>
        <w:spacing w:after="0" w:line="360" w:lineRule="auto"/>
      </w:pPr>
      <w:bookmarkStart w:id="221" w:name="_Toc22568257"/>
      <w:bookmarkEnd w:id="219"/>
      <w:bookmarkEnd w:id="220"/>
      <w:r w:rsidRPr="00B7238F">
        <w:t xml:space="preserve">5.3.3 </w:t>
      </w:r>
      <w:r w:rsidR="00781A22">
        <w:t>I</w:t>
      </w:r>
      <w:r w:rsidRPr="00B7238F">
        <w:t>noculações</w:t>
      </w:r>
      <w:bookmarkEnd w:id="221"/>
    </w:p>
    <w:p w14:paraId="1E104CE5" w14:textId="77777777" w:rsidR="0042362B" w:rsidRPr="00B7238F" w:rsidRDefault="0042362B" w:rsidP="00516785">
      <w:pPr>
        <w:spacing w:after="0" w:line="360" w:lineRule="auto"/>
      </w:pPr>
    </w:p>
    <w:p w14:paraId="7262BC3D" w14:textId="77777777" w:rsidR="0042362B" w:rsidRPr="00B7238F" w:rsidRDefault="0042362B" w:rsidP="00516785">
      <w:pPr>
        <w:spacing w:after="0" w:line="360" w:lineRule="auto"/>
      </w:pPr>
      <w:r w:rsidRPr="00B7238F">
        <w:t>Os dois estudos foram conduzidos com a mesma cultivar BMX Lança IPRO, porém mantidas em outra casa de vegetação separada daquela onde havia manutenção do inóculo.</w:t>
      </w:r>
    </w:p>
    <w:p w14:paraId="50DC6233" w14:textId="77777777" w:rsidR="0042362B" w:rsidRPr="00B7238F" w:rsidRDefault="0042362B" w:rsidP="00516785">
      <w:pPr>
        <w:spacing w:after="0" w:line="360" w:lineRule="auto"/>
      </w:pPr>
      <w:r w:rsidRPr="00B7238F">
        <w:t xml:space="preserve">Foram utilizados vasos plásticos com capacidade de 0,5 L contendo o substrato Plant max HT ®, composto por casca de pinus, turfa, vermiculita expandida, e enriquecido com macro e micronutrientes. Em cada vaso foram semeadas dez sementes sendo que após a emergência dos cotilédones manteve-se seis plântulas até o estádio fenológico V2 (primeiro trifólio aberto) (FEHR &amp; CAVINESS,1977) onde procedeu-se os tratamentos. </w:t>
      </w:r>
    </w:p>
    <w:p w14:paraId="31B02A0D" w14:textId="77777777" w:rsidR="0042362B" w:rsidRPr="00B7238F" w:rsidRDefault="0042362B" w:rsidP="00516785">
      <w:pPr>
        <w:spacing w:after="0" w:line="360" w:lineRule="auto"/>
      </w:pPr>
      <w:r w:rsidRPr="00B7238F">
        <w:t>As inoculações nesse estádio foram realizadas com borrifador manual plástico, aplicando 10 mL da suspensão da concentração 1,5 x 10</w:t>
      </w:r>
      <w:r w:rsidRPr="00B7238F">
        <w:rPr>
          <w:vertAlign w:val="superscript"/>
        </w:rPr>
        <w:t>5</w:t>
      </w:r>
      <w:r w:rsidRPr="00B7238F">
        <w:t xml:space="preserve"> uredosporos mL</w:t>
      </w:r>
      <w:r w:rsidRPr="00B7238F">
        <w:rPr>
          <w:vertAlign w:val="superscript"/>
        </w:rPr>
        <w:t>-1</w:t>
      </w:r>
      <w:r w:rsidRPr="00B7238F">
        <w:t xml:space="preserve"> por vaso.</w:t>
      </w:r>
    </w:p>
    <w:p w14:paraId="4E4A014C" w14:textId="77777777" w:rsidR="0042362B" w:rsidRPr="00B7238F" w:rsidRDefault="0042362B" w:rsidP="00516785">
      <w:pPr>
        <w:spacing w:after="0" w:line="360" w:lineRule="auto"/>
      </w:pPr>
      <w:r w:rsidRPr="00B7238F">
        <w:t>Após a inoculação as plantas foram mantidas na casa de vegetação com temperatura de 22</w:t>
      </w:r>
      <w:r w:rsidRPr="00B7238F">
        <w:rPr>
          <w:vertAlign w:val="superscript"/>
        </w:rPr>
        <w:t>o</w:t>
      </w:r>
      <w:r w:rsidRPr="00B7238F">
        <w:t>C ± 2</w:t>
      </w:r>
      <w:r w:rsidRPr="00B7238F">
        <w:rPr>
          <w:vertAlign w:val="superscript"/>
        </w:rPr>
        <w:t>o</w:t>
      </w:r>
      <w:r w:rsidRPr="00B7238F">
        <w:t>C, sob luz natural, sendo acionado o sistema de nebulização por cinco minutos com intervalos de três horas nas primeiras 24 horas. Durante os 17 dias posteriores à inoculação manteve-se a aspersão de água por cinco minutos no início da noite visando manter o molhamento foliar noturno e umidade relativa entre 70 e 95 %.</w:t>
      </w:r>
    </w:p>
    <w:p w14:paraId="0820B2E1" w14:textId="77777777" w:rsidR="0042362B" w:rsidRPr="00B7238F" w:rsidRDefault="0042362B" w:rsidP="00516785">
      <w:pPr>
        <w:spacing w:after="0" w:line="360" w:lineRule="auto"/>
      </w:pPr>
    </w:p>
    <w:p w14:paraId="697B1549" w14:textId="44E62C40" w:rsidR="0042362B" w:rsidRPr="00B7238F" w:rsidRDefault="0082234C" w:rsidP="00516785">
      <w:pPr>
        <w:pStyle w:val="Ttulo3"/>
        <w:spacing w:after="0" w:line="360" w:lineRule="auto"/>
      </w:pPr>
      <w:bookmarkStart w:id="222" w:name="_Toc22568258"/>
      <w:r w:rsidRPr="00B7238F">
        <w:t xml:space="preserve">5.3.4 </w:t>
      </w:r>
      <w:r>
        <w:t>A</w:t>
      </w:r>
      <w:r w:rsidRPr="00B7238F">
        <w:t>plicações de fungicidas</w:t>
      </w:r>
      <w:bookmarkEnd w:id="222"/>
    </w:p>
    <w:p w14:paraId="31EC9086" w14:textId="77777777" w:rsidR="0042362B" w:rsidRPr="00B7238F" w:rsidRDefault="0042362B" w:rsidP="00516785">
      <w:pPr>
        <w:spacing w:after="0" w:line="360" w:lineRule="auto"/>
      </w:pPr>
    </w:p>
    <w:p w14:paraId="5B7139F2" w14:textId="4586961A" w:rsidR="0042362B" w:rsidRPr="00B7238F" w:rsidRDefault="0042362B" w:rsidP="00516785">
      <w:pPr>
        <w:spacing w:after="0" w:line="360" w:lineRule="auto"/>
      </w:pPr>
      <w:r w:rsidRPr="00B7238F">
        <w:t>As aplicações de fungicidas foram realizadas com um pulverizador costal pressurizado com gás CO</w:t>
      </w:r>
      <w:r w:rsidRPr="00B7238F">
        <w:rPr>
          <w:vertAlign w:val="subscript"/>
        </w:rPr>
        <w:t>2</w:t>
      </w:r>
      <w:r w:rsidRPr="00B7238F">
        <w:t xml:space="preserve">, equipado com ponta de pulverização tipo leque </w:t>
      </w:r>
      <w:r w:rsidR="00991356" w:rsidRPr="00B7238F">
        <w:t>duplo</w:t>
      </w:r>
      <w:r w:rsidR="00CC7E6E" w:rsidRPr="00B7238F">
        <w:t xml:space="preserve"> </w:t>
      </w:r>
      <w:r w:rsidRPr="00B7238F">
        <w:t>(</w:t>
      </w:r>
      <w:r w:rsidR="00CC7E6E" w:rsidRPr="00B7238F">
        <w:t>TJ 60 - 11002</w:t>
      </w:r>
      <w:r w:rsidRPr="00B7238F">
        <w:t>), calibrado para vazão de 200 L ha</w:t>
      </w:r>
      <w:r w:rsidRPr="00B7238F">
        <w:rPr>
          <w:rFonts w:eastAsia="MS Mincho"/>
          <w:vertAlign w:val="superscript"/>
        </w:rPr>
        <w:noBreakHyphen/>
      </w:r>
      <w:r w:rsidRPr="00B7238F">
        <w:rPr>
          <w:vertAlign w:val="superscript"/>
        </w:rPr>
        <w:t>1</w:t>
      </w:r>
      <w:r w:rsidRPr="00B7238F">
        <w:t>. As aplicações de fungicidas foram realizadas fora da casa de vegetação, em ambiente coberto, posicionando os vasos de cada tratamento no chão equidistantes para passagem da barra do pulverizador com velocidade uniforme sobre as plantas com o objetivo de proporcionar cobertura completa dos folíolos.</w:t>
      </w:r>
    </w:p>
    <w:p w14:paraId="21C8EDE1" w14:textId="77777777" w:rsidR="0042362B" w:rsidRPr="00B7238F" w:rsidRDefault="0042362B" w:rsidP="00516785">
      <w:pPr>
        <w:spacing w:after="0" w:line="360" w:lineRule="auto"/>
      </w:pPr>
    </w:p>
    <w:p w14:paraId="7984F5A5" w14:textId="3D3792AB" w:rsidR="0082234C" w:rsidRDefault="0042362B" w:rsidP="00516785">
      <w:pPr>
        <w:pStyle w:val="Ttulo3"/>
        <w:spacing w:after="0" w:line="360" w:lineRule="auto"/>
      </w:pPr>
      <w:bookmarkStart w:id="223" w:name="_Toc22568259"/>
      <w:r w:rsidRPr="00B7238F">
        <w:t xml:space="preserve">5.3.5 </w:t>
      </w:r>
      <w:r w:rsidR="0082234C">
        <w:t>D</w:t>
      </w:r>
      <w:r w:rsidR="0082234C" w:rsidRPr="00B7238F">
        <w:t>elineamento experimental e tratamentos</w:t>
      </w:r>
      <w:bookmarkEnd w:id="223"/>
    </w:p>
    <w:p w14:paraId="18028F94" w14:textId="77777777" w:rsidR="00516785" w:rsidRPr="00516785" w:rsidRDefault="00516785" w:rsidP="00516785">
      <w:pPr>
        <w:spacing w:after="0" w:line="360" w:lineRule="auto"/>
      </w:pPr>
    </w:p>
    <w:p w14:paraId="11AFAF67" w14:textId="77777777" w:rsidR="0082234C" w:rsidRDefault="0042362B" w:rsidP="00516785">
      <w:pPr>
        <w:spacing w:after="0" w:line="360" w:lineRule="auto"/>
      </w:pPr>
      <w:r w:rsidRPr="00B7238F">
        <w:t>Nos dois estudos os fungicidas foram aplicados em seis momentos: M1) 48 h antes da inoculação; M2) 24 h após a inoculação; M3) 48 h após a inoculação; M4) 72 h após a inoculação; M5) 120 h após a inoculação; M6) 168 h após a inoculação. Cada experimento foi replicado uma vez.</w:t>
      </w:r>
    </w:p>
    <w:p w14:paraId="67557E0A" w14:textId="5F874EDC" w:rsidR="0082234C" w:rsidRDefault="0042362B" w:rsidP="00516785">
      <w:pPr>
        <w:spacing w:after="0" w:line="360" w:lineRule="auto"/>
        <w:rPr>
          <w:color w:val="00B0F0"/>
        </w:rPr>
      </w:pPr>
      <w:r w:rsidRPr="00B7238F">
        <w:t>O delineamento experimental utilizado foi inteiramente casualizado, constituindo um fatorial entre fungicidas e momentos de aplicação</w:t>
      </w:r>
      <w:r w:rsidR="008D20CA" w:rsidRPr="00B7238F">
        <w:t>, sendo realizadas cinco repetições</w:t>
      </w:r>
      <w:r w:rsidRPr="00B7238F">
        <w:t xml:space="preserve">. A unidade experimental foi constituída por um vaso onde foram avaliados </w:t>
      </w:r>
      <w:r w:rsidR="008D20CA" w:rsidRPr="00B7238F">
        <w:t>quatro</w:t>
      </w:r>
      <w:r w:rsidRPr="00B7238F">
        <w:t xml:space="preserve"> folíolos centrais</w:t>
      </w:r>
      <w:r w:rsidRPr="00B7238F">
        <w:rPr>
          <w:color w:val="00B0F0"/>
        </w:rPr>
        <w:t>.</w:t>
      </w:r>
    </w:p>
    <w:p w14:paraId="64E93180" w14:textId="611CE4B3" w:rsidR="00516785" w:rsidRDefault="00516785" w:rsidP="00516785">
      <w:pPr>
        <w:spacing w:after="0" w:line="360" w:lineRule="auto"/>
        <w:rPr>
          <w:color w:val="00B0F0"/>
        </w:rPr>
      </w:pPr>
    </w:p>
    <w:p w14:paraId="2C7E81C4" w14:textId="4FE0F25E" w:rsidR="00516785" w:rsidRDefault="00516785" w:rsidP="00516785">
      <w:pPr>
        <w:spacing w:after="0" w:line="360" w:lineRule="auto"/>
        <w:rPr>
          <w:color w:val="00B0F0"/>
        </w:rPr>
      </w:pPr>
    </w:p>
    <w:p w14:paraId="03BEEE5F" w14:textId="77777777" w:rsidR="00516785" w:rsidRDefault="00516785" w:rsidP="00516785">
      <w:pPr>
        <w:spacing w:after="0" w:line="360" w:lineRule="auto"/>
        <w:rPr>
          <w:color w:val="00B0F0"/>
        </w:rPr>
      </w:pPr>
    </w:p>
    <w:p w14:paraId="79492501" w14:textId="60EE2DC4" w:rsidR="0042362B" w:rsidRPr="00B7238F" w:rsidRDefault="0042362B" w:rsidP="00516785">
      <w:pPr>
        <w:pStyle w:val="Ttulo4"/>
        <w:spacing w:after="0" w:line="360" w:lineRule="auto"/>
      </w:pPr>
      <w:bookmarkStart w:id="224" w:name="_Toc22568260"/>
      <w:r w:rsidRPr="00B7238F">
        <w:t xml:space="preserve">5.3.5.1 </w:t>
      </w:r>
      <w:r w:rsidR="00020B0A">
        <w:t>E</w:t>
      </w:r>
      <w:r w:rsidR="00020B0A" w:rsidRPr="00B7238F">
        <w:t xml:space="preserve">studo </w:t>
      </w:r>
      <w:r w:rsidR="00020B0A">
        <w:t>I</w:t>
      </w:r>
      <w:r w:rsidR="00020B0A" w:rsidRPr="00B7238F">
        <w:t xml:space="preserve"> – carboxamidas isoladas</w:t>
      </w:r>
      <w:bookmarkEnd w:id="224"/>
    </w:p>
    <w:p w14:paraId="061D8C68" w14:textId="77777777" w:rsidR="0042362B" w:rsidRPr="00B7238F" w:rsidRDefault="0042362B" w:rsidP="00516785">
      <w:pPr>
        <w:spacing w:after="0" w:line="360" w:lineRule="auto"/>
      </w:pPr>
    </w:p>
    <w:p w14:paraId="36A01AC5" w14:textId="77777777" w:rsidR="0042362B" w:rsidRPr="00B7238F" w:rsidRDefault="0042362B" w:rsidP="00516785">
      <w:pPr>
        <w:spacing w:after="0" w:line="360" w:lineRule="auto"/>
      </w:pPr>
      <w:r w:rsidRPr="00B7238F">
        <w:t>Nesse estudo foram avaliados os ingredientes ativos bixafeno e fluxapiroxada, nas doses de 62,5 e 58,45 g de i.a ha</w:t>
      </w:r>
      <w:r w:rsidRPr="00B7238F">
        <w:rPr>
          <w:vertAlign w:val="superscript"/>
        </w:rPr>
        <w:t>-1</w:t>
      </w:r>
      <w:r w:rsidRPr="00B7238F">
        <w:t>, respectivamente. Foram utilizados em mistura o óleo vegetal Aureo e óleo mineral Assist, ambos na dose de 0,5 L.ha</w:t>
      </w:r>
      <w:r w:rsidRPr="00B7238F">
        <w:rPr>
          <w:vertAlign w:val="superscript"/>
        </w:rPr>
        <w:t>-1</w:t>
      </w:r>
      <w:r w:rsidRPr="00B7238F">
        <w:t>, respectivamente para bixafeno e fluxapiroxada.</w:t>
      </w:r>
    </w:p>
    <w:p w14:paraId="372FB8C1" w14:textId="77777777" w:rsidR="0042362B" w:rsidRPr="00B7238F" w:rsidRDefault="0042362B" w:rsidP="00516785">
      <w:pPr>
        <w:spacing w:after="0" w:line="360" w:lineRule="auto"/>
      </w:pPr>
    </w:p>
    <w:p w14:paraId="3CCF9F00" w14:textId="65AE823E" w:rsidR="0042362B" w:rsidRPr="00B7238F" w:rsidRDefault="0042362B" w:rsidP="00516785">
      <w:pPr>
        <w:pStyle w:val="Ttulo4"/>
        <w:spacing w:after="0" w:line="360" w:lineRule="auto"/>
      </w:pPr>
      <w:bookmarkStart w:id="225" w:name="_Toc22568261"/>
      <w:r w:rsidRPr="00B7238F">
        <w:t xml:space="preserve">5.3.5.1 </w:t>
      </w:r>
      <w:r w:rsidR="00020B0A" w:rsidRPr="00B7238F">
        <w:t xml:space="preserve">Estudo </w:t>
      </w:r>
      <w:r w:rsidRPr="00B7238F">
        <w:t xml:space="preserve">II – </w:t>
      </w:r>
      <w:r w:rsidR="00020B0A" w:rsidRPr="00B7238F">
        <w:t>misturas de carboxamidas</w:t>
      </w:r>
      <w:bookmarkEnd w:id="225"/>
    </w:p>
    <w:p w14:paraId="0413A982" w14:textId="77777777" w:rsidR="0042362B" w:rsidRPr="00B7238F" w:rsidRDefault="0042362B" w:rsidP="00516785">
      <w:pPr>
        <w:spacing w:after="0" w:line="360" w:lineRule="auto"/>
      </w:pPr>
    </w:p>
    <w:p w14:paraId="3F016598" w14:textId="6D8E2EF7" w:rsidR="008D4777" w:rsidRPr="00B7238F" w:rsidRDefault="0042362B" w:rsidP="00516785">
      <w:pPr>
        <w:spacing w:after="0" w:line="360" w:lineRule="auto"/>
      </w:pPr>
      <w:r w:rsidRPr="00B7238F">
        <w:t>Os fungicidas utilizados nesse estudo constam de mistura de carboxamidas com estrobilurinas, triazóis e ditiocarbamatos (Tabela 1).</w:t>
      </w:r>
    </w:p>
    <w:p w14:paraId="4651F293" w14:textId="4867FD1B" w:rsidR="008D4777" w:rsidRDefault="008D4777" w:rsidP="00504194">
      <w:pPr>
        <w:pStyle w:val="Legenda"/>
        <w:keepNext/>
      </w:pPr>
    </w:p>
    <w:p w14:paraId="6D0FA0F0" w14:textId="68E9EC5D" w:rsidR="00170856" w:rsidRDefault="00170856" w:rsidP="0027193D">
      <w:pPr>
        <w:pStyle w:val="Legenda"/>
        <w:keepNext/>
        <w:ind w:firstLine="0"/>
      </w:pPr>
      <w:bookmarkStart w:id="226" w:name="_Toc16173037"/>
      <w:r>
        <w:t xml:space="preserve">Tabela </w:t>
      </w:r>
      <w:r w:rsidR="00D00510">
        <w:fldChar w:fldCharType="begin"/>
      </w:r>
      <w:r w:rsidR="00D00510">
        <w:instrText xml:space="preserve"> SEQ Tabela \* ARABIC </w:instrText>
      </w:r>
      <w:r w:rsidR="00D00510">
        <w:fldChar w:fldCharType="separate"/>
      </w:r>
      <w:r w:rsidR="002D15F8">
        <w:rPr>
          <w:noProof/>
        </w:rPr>
        <w:t>1</w:t>
      </w:r>
      <w:r w:rsidR="00D00510">
        <w:rPr>
          <w:noProof/>
        </w:rPr>
        <w:fldChar w:fldCharType="end"/>
      </w:r>
      <w:r w:rsidRPr="00B33597">
        <w:t xml:space="preserve">. Produto comercial, ingrediente ativo e dose de fungicidas aplicados em diferentes fases do processo de infecção do fungo </w:t>
      </w:r>
      <w:r w:rsidRPr="00292357">
        <w:rPr>
          <w:i/>
        </w:rPr>
        <w:t xml:space="preserve">Phakopsora pachyrhizi </w:t>
      </w:r>
      <w:r w:rsidRPr="00B33597">
        <w:t>em plantas de soja. Lages, SC. 2019.</w:t>
      </w:r>
      <w:bookmarkEnd w:id="226"/>
    </w:p>
    <w:tbl>
      <w:tblPr>
        <w:tblStyle w:val="Tabelacomgrade"/>
        <w:tblW w:w="9072" w:type="dxa"/>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4394"/>
        <w:gridCol w:w="2126"/>
      </w:tblGrid>
      <w:tr w:rsidR="00FE63CD" w:rsidRPr="00FE63CD" w14:paraId="59D1C694" w14:textId="77777777" w:rsidTr="003873B0">
        <w:tc>
          <w:tcPr>
            <w:tcW w:w="2552" w:type="dxa"/>
            <w:tcBorders>
              <w:top w:val="single" w:sz="4" w:space="0" w:color="auto"/>
              <w:left w:val="nil"/>
              <w:bottom w:val="single" w:sz="4" w:space="0" w:color="auto"/>
              <w:right w:val="nil"/>
            </w:tcBorders>
            <w:vAlign w:val="center"/>
            <w:hideMark/>
          </w:tcPr>
          <w:p w14:paraId="770E517C" w14:textId="77777777" w:rsidR="00FE63CD" w:rsidRPr="00FE63CD" w:rsidRDefault="00FE63CD" w:rsidP="00FE63CD">
            <w:pPr>
              <w:spacing w:line="276" w:lineRule="auto"/>
              <w:ind w:firstLine="0"/>
              <w:jc w:val="center"/>
              <w:rPr>
                <w:rFonts w:cstheme="minorBidi"/>
                <w:b/>
                <w:color w:val="231F20"/>
                <w:szCs w:val="22"/>
              </w:rPr>
            </w:pPr>
            <w:r w:rsidRPr="00FE63CD">
              <w:rPr>
                <w:rFonts w:cstheme="minorBidi"/>
                <w:b/>
                <w:color w:val="231F20"/>
                <w:szCs w:val="22"/>
              </w:rPr>
              <w:t>Produto</w:t>
            </w:r>
          </w:p>
          <w:p w14:paraId="7B58FF1A" w14:textId="77777777" w:rsidR="00FE63CD" w:rsidRPr="00FE63CD" w:rsidRDefault="00FE63CD" w:rsidP="00FE63CD">
            <w:pPr>
              <w:spacing w:line="276" w:lineRule="auto"/>
              <w:ind w:firstLine="0"/>
              <w:jc w:val="center"/>
              <w:rPr>
                <w:rFonts w:cstheme="minorBidi"/>
                <w:b/>
                <w:color w:val="231F20"/>
                <w:szCs w:val="22"/>
              </w:rPr>
            </w:pPr>
            <w:r w:rsidRPr="00FE63CD">
              <w:rPr>
                <w:rFonts w:cstheme="minorBidi"/>
                <w:b/>
                <w:color w:val="231F20"/>
                <w:szCs w:val="22"/>
              </w:rPr>
              <w:t>Comercial</w:t>
            </w:r>
          </w:p>
        </w:tc>
        <w:tc>
          <w:tcPr>
            <w:tcW w:w="4394" w:type="dxa"/>
            <w:tcBorders>
              <w:top w:val="single" w:sz="4" w:space="0" w:color="auto"/>
              <w:left w:val="nil"/>
              <w:bottom w:val="single" w:sz="4" w:space="0" w:color="auto"/>
              <w:right w:val="nil"/>
            </w:tcBorders>
            <w:vAlign w:val="center"/>
            <w:hideMark/>
          </w:tcPr>
          <w:p w14:paraId="203F73F8" w14:textId="77777777" w:rsidR="00FE63CD" w:rsidRPr="00FE63CD" w:rsidRDefault="00FE63CD" w:rsidP="00FE63CD">
            <w:pPr>
              <w:spacing w:line="276" w:lineRule="auto"/>
              <w:ind w:firstLine="0"/>
              <w:jc w:val="center"/>
              <w:rPr>
                <w:rFonts w:cstheme="minorBidi"/>
                <w:b/>
                <w:color w:val="231F20"/>
                <w:szCs w:val="22"/>
              </w:rPr>
            </w:pPr>
            <w:r w:rsidRPr="00FE63CD">
              <w:rPr>
                <w:rFonts w:cstheme="minorBidi"/>
                <w:b/>
                <w:color w:val="231F20"/>
                <w:szCs w:val="22"/>
              </w:rPr>
              <w:t>Ingrediente</w:t>
            </w:r>
          </w:p>
          <w:p w14:paraId="3D50BDBF" w14:textId="77777777" w:rsidR="00FE63CD" w:rsidRPr="00FE63CD" w:rsidRDefault="00FE63CD" w:rsidP="00FE63CD">
            <w:pPr>
              <w:spacing w:line="276" w:lineRule="auto"/>
              <w:ind w:firstLine="0"/>
              <w:jc w:val="center"/>
              <w:rPr>
                <w:rFonts w:cstheme="minorBidi"/>
                <w:b/>
                <w:color w:val="231F20"/>
                <w:szCs w:val="22"/>
              </w:rPr>
            </w:pPr>
            <w:r w:rsidRPr="00FE63CD">
              <w:rPr>
                <w:rFonts w:cstheme="minorBidi"/>
                <w:b/>
                <w:color w:val="231F20"/>
                <w:szCs w:val="22"/>
              </w:rPr>
              <w:t>ativo (i.a.)</w:t>
            </w:r>
          </w:p>
        </w:tc>
        <w:tc>
          <w:tcPr>
            <w:tcW w:w="2126" w:type="dxa"/>
            <w:tcBorders>
              <w:top w:val="single" w:sz="4" w:space="0" w:color="auto"/>
              <w:left w:val="nil"/>
              <w:bottom w:val="single" w:sz="4" w:space="0" w:color="auto"/>
              <w:right w:val="nil"/>
            </w:tcBorders>
            <w:vAlign w:val="center"/>
            <w:hideMark/>
          </w:tcPr>
          <w:p w14:paraId="5D8C1B42" w14:textId="77777777" w:rsidR="00FE63CD" w:rsidRPr="00FE63CD" w:rsidRDefault="00FE63CD" w:rsidP="00FE63CD">
            <w:pPr>
              <w:spacing w:line="276" w:lineRule="auto"/>
              <w:ind w:firstLine="0"/>
              <w:jc w:val="center"/>
              <w:rPr>
                <w:rFonts w:cstheme="minorBidi"/>
                <w:b/>
                <w:color w:val="231F20"/>
                <w:szCs w:val="22"/>
              </w:rPr>
            </w:pPr>
            <w:r w:rsidRPr="00FE63CD">
              <w:rPr>
                <w:rFonts w:cstheme="minorBidi"/>
                <w:b/>
                <w:color w:val="231F20"/>
                <w:szCs w:val="22"/>
              </w:rPr>
              <w:t>Dose</w:t>
            </w:r>
          </w:p>
          <w:p w14:paraId="62FE88C5" w14:textId="77777777" w:rsidR="00FE63CD" w:rsidRPr="00FE63CD" w:rsidRDefault="00FE63CD" w:rsidP="00FE63CD">
            <w:pPr>
              <w:spacing w:line="276" w:lineRule="auto"/>
              <w:ind w:firstLine="0"/>
              <w:jc w:val="center"/>
              <w:rPr>
                <w:rFonts w:cstheme="minorBidi"/>
                <w:b/>
                <w:color w:val="231F20"/>
                <w:szCs w:val="22"/>
              </w:rPr>
            </w:pPr>
            <w:r w:rsidRPr="00FE63CD">
              <w:rPr>
                <w:rFonts w:cstheme="minorBidi"/>
                <w:b/>
                <w:color w:val="231F20"/>
                <w:szCs w:val="22"/>
              </w:rPr>
              <w:t>(g i.a. ha</w:t>
            </w:r>
            <w:r w:rsidRPr="00FE63CD">
              <w:rPr>
                <w:rFonts w:cstheme="minorBidi"/>
                <w:b/>
                <w:color w:val="231F20"/>
                <w:szCs w:val="22"/>
                <w:vertAlign w:val="superscript"/>
              </w:rPr>
              <w:t>-1</w:t>
            </w:r>
            <w:r w:rsidRPr="00FE63CD">
              <w:rPr>
                <w:rFonts w:cstheme="minorBidi"/>
                <w:b/>
                <w:color w:val="231F20"/>
                <w:szCs w:val="22"/>
              </w:rPr>
              <w:t>)</w:t>
            </w:r>
          </w:p>
        </w:tc>
      </w:tr>
      <w:tr w:rsidR="00FE63CD" w:rsidRPr="00FE63CD" w14:paraId="73E9B18B" w14:textId="77777777" w:rsidTr="003873B0">
        <w:tc>
          <w:tcPr>
            <w:tcW w:w="2552" w:type="dxa"/>
            <w:tcBorders>
              <w:top w:val="single" w:sz="4" w:space="0" w:color="auto"/>
              <w:left w:val="nil"/>
              <w:bottom w:val="single" w:sz="4" w:space="0" w:color="auto"/>
              <w:right w:val="nil"/>
            </w:tcBorders>
            <w:vAlign w:val="center"/>
            <w:hideMark/>
          </w:tcPr>
          <w:p w14:paraId="5FBC13E0"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Testemunha</w:t>
            </w:r>
          </w:p>
        </w:tc>
        <w:tc>
          <w:tcPr>
            <w:tcW w:w="4394" w:type="dxa"/>
            <w:tcBorders>
              <w:top w:val="single" w:sz="4" w:space="0" w:color="auto"/>
              <w:left w:val="nil"/>
              <w:bottom w:val="single" w:sz="4" w:space="0" w:color="auto"/>
              <w:right w:val="nil"/>
            </w:tcBorders>
            <w:vAlign w:val="center"/>
            <w:hideMark/>
          </w:tcPr>
          <w:p w14:paraId="4D5358BB"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_</w:t>
            </w:r>
          </w:p>
        </w:tc>
        <w:tc>
          <w:tcPr>
            <w:tcW w:w="2126" w:type="dxa"/>
            <w:tcBorders>
              <w:top w:val="single" w:sz="4" w:space="0" w:color="auto"/>
              <w:left w:val="nil"/>
              <w:bottom w:val="single" w:sz="4" w:space="0" w:color="auto"/>
              <w:right w:val="nil"/>
            </w:tcBorders>
            <w:vAlign w:val="center"/>
            <w:hideMark/>
          </w:tcPr>
          <w:p w14:paraId="117FEE67"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_</w:t>
            </w:r>
          </w:p>
        </w:tc>
      </w:tr>
      <w:tr w:rsidR="00FE63CD" w:rsidRPr="00FE63CD" w14:paraId="38A976F2" w14:textId="77777777" w:rsidTr="003873B0">
        <w:tc>
          <w:tcPr>
            <w:tcW w:w="2552" w:type="dxa"/>
            <w:tcBorders>
              <w:top w:val="single" w:sz="4" w:space="0" w:color="auto"/>
              <w:left w:val="nil"/>
              <w:bottom w:val="single" w:sz="4" w:space="0" w:color="auto"/>
              <w:right w:val="nil"/>
            </w:tcBorders>
            <w:vAlign w:val="center"/>
            <w:hideMark/>
          </w:tcPr>
          <w:p w14:paraId="674D1050"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Fox</w:t>
            </w:r>
            <w:r w:rsidRPr="00FE63CD">
              <w:rPr>
                <w:rFonts w:cstheme="minorBidi"/>
                <w:color w:val="231F20"/>
                <w:sz w:val="20"/>
                <w:szCs w:val="20"/>
                <w:vertAlign w:val="superscript"/>
              </w:rPr>
              <w:t>1</w:t>
            </w:r>
          </w:p>
        </w:tc>
        <w:tc>
          <w:tcPr>
            <w:tcW w:w="4394" w:type="dxa"/>
            <w:tcBorders>
              <w:top w:val="single" w:sz="4" w:space="0" w:color="auto"/>
              <w:left w:val="nil"/>
              <w:bottom w:val="single" w:sz="4" w:space="0" w:color="auto"/>
              <w:right w:val="nil"/>
            </w:tcBorders>
            <w:vAlign w:val="center"/>
            <w:hideMark/>
          </w:tcPr>
          <w:p w14:paraId="1277BFC8"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trifloxistrobina + protioconazol</w:t>
            </w:r>
          </w:p>
        </w:tc>
        <w:tc>
          <w:tcPr>
            <w:tcW w:w="2126" w:type="dxa"/>
            <w:tcBorders>
              <w:top w:val="single" w:sz="4" w:space="0" w:color="auto"/>
              <w:left w:val="nil"/>
              <w:bottom w:val="single" w:sz="4" w:space="0" w:color="auto"/>
              <w:right w:val="nil"/>
            </w:tcBorders>
            <w:vAlign w:val="center"/>
            <w:hideMark/>
          </w:tcPr>
          <w:p w14:paraId="170512A8"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60 + 70</w:t>
            </w:r>
          </w:p>
        </w:tc>
      </w:tr>
      <w:tr w:rsidR="00FE63CD" w:rsidRPr="00FE63CD" w14:paraId="1A0A3816" w14:textId="77777777" w:rsidTr="003873B0">
        <w:tc>
          <w:tcPr>
            <w:tcW w:w="2552" w:type="dxa"/>
            <w:tcBorders>
              <w:top w:val="single" w:sz="4" w:space="0" w:color="auto"/>
              <w:left w:val="nil"/>
              <w:bottom w:val="single" w:sz="4" w:space="0" w:color="auto"/>
              <w:right w:val="nil"/>
            </w:tcBorders>
            <w:vAlign w:val="center"/>
            <w:hideMark/>
          </w:tcPr>
          <w:p w14:paraId="5844F96E"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Elatus</w:t>
            </w:r>
            <w:r w:rsidRPr="00FE63CD">
              <w:rPr>
                <w:rFonts w:cstheme="minorBidi"/>
                <w:color w:val="231F20"/>
                <w:sz w:val="20"/>
                <w:szCs w:val="20"/>
                <w:vertAlign w:val="superscript"/>
              </w:rPr>
              <w:t>2</w:t>
            </w:r>
          </w:p>
        </w:tc>
        <w:tc>
          <w:tcPr>
            <w:tcW w:w="4394" w:type="dxa"/>
            <w:tcBorders>
              <w:top w:val="single" w:sz="4" w:space="0" w:color="auto"/>
              <w:left w:val="nil"/>
              <w:bottom w:val="single" w:sz="4" w:space="0" w:color="auto"/>
              <w:right w:val="nil"/>
            </w:tcBorders>
            <w:vAlign w:val="center"/>
            <w:hideMark/>
          </w:tcPr>
          <w:p w14:paraId="6921D0CB"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azoxistrobina + benzovindiflupir</w:t>
            </w:r>
          </w:p>
        </w:tc>
        <w:tc>
          <w:tcPr>
            <w:tcW w:w="2126" w:type="dxa"/>
            <w:tcBorders>
              <w:top w:val="single" w:sz="4" w:space="0" w:color="auto"/>
              <w:left w:val="nil"/>
              <w:bottom w:val="single" w:sz="4" w:space="0" w:color="auto"/>
              <w:right w:val="nil"/>
            </w:tcBorders>
            <w:vAlign w:val="center"/>
            <w:hideMark/>
          </w:tcPr>
          <w:p w14:paraId="5153E1CC"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60 + 30</w:t>
            </w:r>
          </w:p>
        </w:tc>
      </w:tr>
      <w:tr w:rsidR="00FE63CD" w:rsidRPr="00FE63CD" w14:paraId="13E372A0" w14:textId="77777777" w:rsidTr="003873B0">
        <w:tc>
          <w:tcPr>
            <w:tcW w:w="2552" w:type="dxa"/>
            <w:tcBorders>
              <w:top w:val="single" w:sz="4" w:space="0" w:color="auto"/>
              <w:left w:val="nil"/>
              <w:bottom w:val="single" w:sz="4" w:space="0" w:color="auto"/>
              <w:right w:val="nil"/>
            </w:tcBorders>
            <w:vAlign w:val="center"/>
            <w:hideMark/>
          </w:tcPr>
          <w:p w14:paraId="151669D4"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Orkestra</w:t>
            </w:r>
            <w:r w:rsidRPr="00FE63CD">
              <w:rPr>
                <w:rFonts w:cstheme="minorBidi"/>
                <w:color w:val="231F20"/>
                <w:sz w:val="20"/>
                <w:szCs w:val="20"/>
                <w:vertAlign w:val="superscript"/>
              </w:rPr>
              <w:t>3</w:t>
            </w:r>
          </w:p>
        </w:tc>
        <w:tc>
          <w:tcPr>
            <w:tcW w:w="4394" w:type="dxa"/>
            <w:tcBorders>
              <w:top w:val="single" w:sz="4" w:space="0" w:color="auto"/>
              <w:left w:val="nil"/>
              <w:bottom w:val="single" w:sz="4" w:space="0" w:color="auto"/>
              <w:right w:val="nil"/>
            </w:tcBorders>
            <w:vAlign w:val="center"/>
            <w:hideMark/>
          </w:tcPr>
          <w:p w14:paraId="17E6A895"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piraclostrobina + fluxapiroxada</w:t>
            </w:r>
          </w:p>
        </w:tc>
        <w:tc>
          <w:tcPr>
            <w:tcW w:w="2126" w:type="dxa"/>
            <w:tcBorders>
              <w:top w:val="single" w:sz="4" w:space="0" w:color="auto"/>
              <w:left w:val="nil"/>
              <w:bottom w:val="single" w:sz="4" w:space="0" w:color="auto"/>
              <w:right w:val="nil"/>
            </w:tcBorders>
            <w:vAlign w:val="center"/>
            <w:hideMark/>
          </w:tcPr>
          <w:p w14:paraId="06DE294F"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116,55 + 58,45</w:t>
            </w:r>
          </w:p>
        </w:tc>
      </w:tr>
      <w:tr w:rsidR="00FE63CD" w:rsidRPr="00FE63CD" w14:paraId="43C3E069" w14:textId="77777777" w:rsidTr="003873B0">
        <w:tc>
          <w:tcPr>
            <w:tcW w:w="2552" w:type="dxa"/>
            <w:tcBorders>
              <w:top w:val="single" w:sz="4" w:space="0" w:color="auto"/>
              <w:left w:val="nil"/>
              <w:bottom w:val="single" w:sz="4" w:space="0" w:color="auto"/>
              <w:right w:val="nil"/>
            </w:tcBorders>
            <w:vAlign w:val="center"/>
            <w:hideMark/>
          </w:tcPr>
          <w:p w14:paraId="17B11D13"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Vessarya</w:t>
            </w:r>
            <w:r w:rsidRPr="00FE63CD">
              <w:rPr>
                <w:rFonts w:cstheme="minorBidi"/>
                <w:color w:val="231F20"/>
                <w:sz w:val="20"/>
                <w:szCs w:val="20"/>
                <w:vertAlign w:val="superscript"/>
              </w:rPr>
              <w:t>2</w:t>
            </w:r>
          </w:p>
        </w:tc>
        <w:tc>
          <w:tcPr>
            <w:tcW w:w="4394" w:type="dxa"/>
            <w:tcBorders>
              <w:top w:val="single" w:sz="4" w:space="0" w:color="auto"/>
              <w:left w:val="nil"/>
              <w:bottom w:val="single" w:sz="4" w:space="0" w:color="auto"/>
              <w:right w:val="nil"/>
            </w:tcBorders>
            <w:vAlign w:val="center"/>
            <w:hideMark/>
          </w:tcPr>
          <w:p w14:paraId="00B5172E"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picoxistrobina + benzovindiflupir</w:t>
            </w:r>
          </w:p>
        </w:tc>
        <w:tc>
          <w:tcPr>
            <w:tcW w:w="2126" w:type="dxa"/>
            <w:tcBorders>
              <w:top w:val="single" w:sz="4" w:space="0" w:color="auto"/>
              <w:left w:val="nil"/>
              <w:bottom w:val="single" w:sz="4" w:space="0" w:color="auto"/>
              <w:right w:val="nil"/>
            </w:tcBorders>
            <w:vAlign w:val="center"/>
            <w:hideMark/>
          </w:tcPr>
          <w:p w14:paraId="3E46F8CF"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60 + 30</w:t>
            </w:r>
          </w:p>
        </w:tc>
      </w:tr>
      <w:tr w:rsidR="00FE63CD" w:rsidRPr="00FE63CD" w14:paraId="48D3E173" w14:textId="77777777" w:rsidTr="003873B0">
        <w:tc>
          <w:tcPr>
            <w:tcW w:w="2552" w:type="dxa"/>
            <w:tcBorders>
              <w:top w:val="single" w:sz="4" w:space="0" w:color="auto"/>
              <w:left w:val="nil"/>
              <w:bottom w:val="single" w:sz="4" w:space="0" w:color="auto"/>
              <w:right w:val="nil"/>
            </w:tcBorders>
            <w:vAlign w:val="center"/>
            <w:hideMark/>
          </w:tcPr>
          <w:p w14:paraId="4C84FED3"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Ativum</w:t>
            </w:r>
            <w:r w:rsidRPr="00FE63CD">
              <w:rPr>
                <w:rFonts w:cstheme="minorBidi"/>
                <w:color w:val="231F20"/>
                <w:sz w:val="20"/>
                <w:szCs w:val="20"/>
                <w:vertAlign w:val="superscript"/>
              </w:rPr>
              <w:t>3</w:t>
            </w:r>
          </w:p>
        </w:tc>
        <w:tc>
          <w:tcPr>
            <w:tcW w:w="4394" w:type="dxa"/>
            <w:tcBorders>
              <w:top w:val="single" w:sz="4" w:space="0" w:color="auto"/>
              <w:left w:val="nil"/>
              <w:bottom w:val="single" w:sz="4" w:space="0" w:color="auto"/>
              <w:right w:val="nil"/>
            </w:tcBorders>
            <w:vAlign w:val="center"/>
            <w:hideMark/>
          </w:tcPr>
          <w:p w14:paraId="2530C6F6"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piraclostrobina + fluxapiroxada +epoxiconazol</w:t>
            </w:r>
          </w:p>
        </w:tc>
        <w:tc>
          <w:tcPr>
            <w:tcW w:w="2126" w:type="dxa"/>
            <w:tcBorders>
              <w:top w:val="single" w:sz="4" w:space="0" w:color="auto"/>
              <w:left w:val="nil"/>
              <w:bottom w:val="single" w:sz="4" w:space="0" w:color="auto"/>
              <w:right w:val="nil"/>
            </w:tcBorders>
            <w:vAlign w:val="center"/>
            <w:hideMark/>
          </w:tcPr>
          <w:p w14:paraId="5B4D8AD5"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64,8 + 40 +40</w:t>
            </w:r>
          </w:p>
        </w:tc>
      </w:tr>
      <w:tr w:rsidR="00FE63CD" w:rsidRPr="00FE63CD" w14:paraId="1BFAD402" w14:textId="77777777" w:rsidTr="003873B0">
        <w:tc>
          <w:tcPr>
            <w:tcW w:w="2552" w:type="dxa"/>
            <w:tcBorders>
              <w:top w:val="single" w:sz="4" w:space="0" w:color="auto"/>
              <w:left w:val="nil"/>
              <w:bottom w:val="single" w:sz="4" w:space="0" w:color="auto"/>
              <w:right w:val="nil"/>
            </w:tcBorders>
            <w:vAlign w:val="center"/>
            <w:hideMark/>
          </w:tcPr>
          <w:p w14:paraId="037CCAFA"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 xml:space="preserve">Flint </w:t>
            </w:r>
            <w:r w:rsidRPr="00FE63CD">
              <w:rPr>
                <w:rFonts w:cstheme="minorBidi"/>
                <w:color w:val="000000" w:themeColor="text1"/>
                <w:sz w:val="20"/>
                <w:szCs w:val="20"/>
              </w:rPr>
              <w:t>+ Redigo + Bixafeno</w:t>
            </w:r>
            <w:r w:rsidRPr="00FE63CD">
              <w:rPr>
                <w:rFonts w:cstheme="minorBidi"/>
                <w:color w:val="000000" w:themeColor="text1"/>
                <w:sz w:val="20"/>
                <w:szCs w:val="20"/>
                <w:vertAlign w:val="superscript"/>
              </w:rPr>
              <w:t>1,4</w:t>
            </w:r>
          </w:p>
        </w:tc>
        <w:tc>
          <w:tcPr>
            <w:tcW w:w="4394" w:type="dxa"/>
            <w:tcBorders>
              <w:top w:val="single" w:sz="4" w:space="0" w:color="auto"/>
              <w:left w:val="nil"/>
              <w:bottom w:val="single" w:sz="4" w:space="0" w:color="auto"/>
              <w:right w:val="nil"/>
            </w:tcBorders>
            <w:vAlign w:val="center"/>
            <w:hideMark/>
          </w:tcPr>
          <w:p w14:paraId="65839642"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trifloxistrobina + bixafeno + protioconazol</w:t>
            </w:r>
          </w:p>
        </w:tc>
        <w:tc>
          <w:tcPr>
            <w:tcW w:w="2126" w:type="dxa"/>
            <w:tcBorders>
              <w:top w:val="single" w:sz="4" w:space="0" w:color="auto"/>
              <w:left w:val="nil"/>
              <w:bottom w:val="single" w:sz="4" w:space="0" w:color="auto"/>
              <w:right w:val="nil"/>
            </w:tcBorders>
            <w:vAlign w:val="center"/>
            <w:hideMark/>
          </w:tcPr>
          <w:p w14:paraId="04286016"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75 + 87,5 + 62,5</w:t>
            </w:r>
          </w:p>
        </w:tc>
      </w:tr>
      <w:tr w:rsidR="00FE63CD" w:rsidRPr="00FE63CD" w14:paraId="18E43687" w14:textId="77777777" w:rsidTr="003873B0">
        <w:tc>
          <w:tcPr>
            <w:tcW w:w="2552" w:type="dxa"/>
            <w:tcBorders>
              <w:top w:val="single" w:sz="4" w:space="0" w:color="auto"/>
              <w:left w:val="nil"/>
              <w:bottom w:val="single" w:sz="4" w:space="0" w:color="auto"/>
              <w:right w:val="nil"/>
            </w:tcBorders>
            <w:vAlign w:val="center"/>
            <w:hideMark/>
          </w:tcPr>
          <w:p w14:paraId="00A4040E"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Elatus + Cypress</w:t>
            </w:r>
            <w:r w:rsidRPr="00FE63CD">
              <w:rPr>
                <w:rFonts w:cstheme="minorBidi"/>
                <w:color w:val="231F20"/>
                <w:sz w:val="20"/>
                <w:szCs w:val="20"/>
                <w:vertAlign w:val="superscript"/>
              </w:rPr>
              <w:t>2</w:t>
            </w:r>
          </w:p>
        </w:tc>
        <w:tc>
          <w:tcPr>
            <w:tcW w:w="4394" w:type="dxa"/>
            <w:tcBorders>
              <w:top w:val="single" w:sz="4" w:space="0" w:color="auto"/>
              <w:left w:val="nil"/>
              <w:bottom w:val="single" w:sz="4" w:space="0" w:color="auto"/>
              <w:right w:val="nil"/>
            </w:tcBorders>
            <w:vAlign w:val="center"/>
            <w:hideMark/>
          </w:tcPr>
          <w:p w14:paraId="2F3C50D3"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azoxistrobina + benzovindiflupir + difenoconazol + ciproconazol</w:t>
            </w:r>
          </w:p>
        </w:tc>
        <w:tc>
          <w:tcPr>
            <w:tcW w:w="2126" w:type="dxa"/>
            <w:tcBorders>
              <w:top w:val="single" w:sz="4" w:space="0" w:color="auto"/>
              <w:left w:val="nil"/>
              <w:bottom w:val="single" w:sz="4" w:space="0" w:color="auto"/>
              <w:right w:val="nil"/>
            </w:tcBorders>
            <w:vAlign w:val="center"/>
            <w:hideMark/>
          </w:tcPr>
          <w:p w14:paraId="37F569EC"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60 + 30 +</w:t>
            </w:r>
          </w:p>
          <w:p w14:paraId="5CED5BB6"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62,5 + 37,5</w:t>
            </w:r>
          </w:p>
        </w:tc>
      </w:tr>
      <w:tr w:rsidR="00FE63CD" w:rsidRPr="00FE63CD" w14:paraId="30182FFD" w14:textId="77777777" w:rsidTr="003873B0">
        <w:tc>
          <w:tcPr>
            <w:tcW w:w="2552" w:type="dxa"/>
            <w:tcBorders>
              <w:top w:val="single" w:sz="4" w:space="0" w:color="auto"/>
              <w:left w:val="nil"/>
              <w:bottom w:val="single" w:sz="4" w:space="0" w:color="auto"/>
              <w:right w:val="nil"/>
            </w:tcBorders>
            <w:vAlign w:val="center"/>
            <w:hideMark/>
          </w:tcPr>
          <w:p w14:paraId="060C919E"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Elatus + Unizeb Gold</w:t>
            </w:r>
            <w:r w:rsidRPr="00FE63CD">
              <w:rPr>
                <w:rFonts w:cstheme="minorBidi"/>
                <w:color w:val="231F20"/>
                <w:sz w:val="20"/>
                <w:szCs w:val="20"/>
                <w:vertAlign w:val="superscript"/>
              </w:rPr>
              <w:t>2</w:t>
            </w:r>
          </w:p>
        </w:tc>
        <w:tc>
          <w:tcPr>
            <w:tcW w:w="4394" w:type="dxa"/>
            <w:tcBorders>
              <w:top w:val="single" w:sz="4" w:space="0" w:color="auto"/>
              <w:left w:val="nil"/>
              <w:bottom w:val="single" w:sz="4" w:space="0" w:color="auto"/>
              <w:right w:val="nil"/>
            </w:tcBorders>
            <w:vAlign w:val="center"/>
            <w:hideMark/>
          </w:tcPr>
          <w:p w14:paraId="2B3B1332"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azoxistrobina + benzovindiflupir + mancozebe</w:t>
            </w:r>
          </w:p>
        </w:tc>
        <w:tc>
          <w:tcPr>
            <w:tcW w:w="2126" w:type="dxa"/>
            <w:tcBorders>
              <w:top w:val="single" w:sz="4" w:space="0" w:color="auto"/>
              <w:left w:val="nil"/>
              <w:bottom w:val="single" w:sz="4" w:space="0" w:color="auto"/>
              <w:right w:val="nil"/>
            </w:tcBorders>
            <w:vAlign w:val="center"/>
            <w:hideMark/>
          </w:tcPr>
          <w:p w14:paraId="145C32DE" w14:textId="77777777" w:rsidR="00FE63CD" w:rsidRPr="00FE63CD" w:rsidRDefault="00FE63CD" w:rsidP="00FE63CD">
            <w:pPr>
              <w:spacing w:line="360" w:lineRule="auto"/>
              <w:ind w:firstLine="0"/>
              <w:jc w:val="center"/>
              <w:rPr>
                <w:rFonts w:cstheme="minorBidi"/>
                <w:color w:val="231F20"/>
                <w:sz w:val="20"/>
                <w:szCs w:val="20"/>
              </w:rPr>
            </w:pPr>
            <w:r w:rsidRPr="00FE63CD">
              <w:rPr>
                <w:rFonts w:cstheme="minorBidi"/>
                <w:color w:val="231F20"/>
                <w:sz w:val="20"/>
                <w:szCs w:val="20"/>
              </w:rPr>
              <w:t>60 + 30 + 1500</w:t>
            </w:r>
          </w:p>
        </w:tc>
      </w:tr>
    </w:tbl>
    <w:p w14:paraId="2AF5BF60" w14:textId="0BD15CB3" w:rsidR="00FE63CD" w:rsidRDefault="00FE63CD" w:rsidP="003873B0">
      <w:pPr>
        <w:spacing w:after="0" w:line="360" w:lineRule="auto"/>
        <w:ind w:firstLine="0"/>
        <w:rPr>
          <w:rFonts w:cstheme="minorBidi"/>
          <w:color w:val="231F20"/>
          <w:sz w:val="16"/>
          <w:szCs w:val="16"/>
        </w:rPr>
      </w:pPr>
      <w:r w:rsidRPr="00FE63CD">
        <w:rPr>
          <w:rFonts w:cstheme="minorBidi"/>
          <w:color w:val="231F20"/>
          <w:sz w:val="16"/>
          <w:szCs w:val="16"/>
          <w:vertAlign w:val="superscript"/>
        </w:rPr>
        <w:t xml:space="preserve">1 </w:t>
      </w:r>
      <w:r w:rsidRPr="00FE63CD">
        <w:rPr>
          <w:rFonts w:cstheme="minorBidi"/>
          <w:color w:val="231F20"/>
          <w:sz w:val="16"/>
          <w:szCs w:val="16"/>
        </w:rPr>
        <w:t>Adição do óleo vegetal Aureo (0,5 l. ha</w:t>
      </w:r>
      <w:r w:rsidRPr="00FE63CD">
        <w:rPr>
          <w:rFonts w:cstheme="minorBidi"/>
          <w:color w:val="231F20"/>
          <w:sz w:val="16"/>
          <w:szCs w:val="16"/>
          <w:vertAlign w:val="superscript"/>
        </w:rPr>
        <w:t>-1</w:t>
      </w:r>
      <w:r w:rsidRPr="00FE63CD">
        <w:rPr>
          <w:rFonts w:cstheme="minorBidi"/>
          <w:color w:val="231F20"/>
          <w:sz w:val="16"/>
          <w:szCs w:val="16"/>
        </w:rPr>
        <w:t xml:space="preserve">); </w:t>
      </w:r>
      <w:r w:rsidRPr="00FE63CD">
        <w:rPr>
          <w:rFonts w:cstheme="minorBidi"/>
          <w:color w:val="231F20"/>
          <w:sz w:val="16"/>
          <w:szCs w:val="16"/>
          <w:vertAlign w:val="superscript"/>
        </w:rPr>
        <w:t>2</w:t>
      </w:r>
      <w:r w:rsidRPr="00FE63CD">
        <w:rPr>
          <w:rFonts w:cstheme="minorBidi"/>
          <w:color w:val="231F20"/>
          <w:sz w:val="16"/>
          <w:szCs w:val="16"/>
        </w:rPr>
        <w:t xml:space="preserve"> Adição do óleo mineral Nimbus (0,6 l. ha</w:t>
      </w:r>
      <w:r w:rsidRPr="00FE63CD">
        <w:rPr>
          <w:rFonts w:cstheme="minorBidi"/>
          <w:color w:val="231F20"/>
          <w:sz w:val="16"/>
          <w:szCs w:val="16"/>
          <w:vertAlign w:val="superscript"/>
        </w:rPr>
        <w:t>-1</w:t>
      </w:r>
      <w:r w:rsidRPr="00FE63CD">
        <w:rPr>
          <w:rFonts w:cstheme="minorBidi"/>
          <w:color w:val="231F20"/>
          <w:sz w:val="16"/>
          <w:szCs w:val="16"/>
        </w:rPr>
        <w:t xml:space="preserve">); </w:t>
      </w:r>
      <w:r w:rsidRPr="00FE63CD">
        <w:rPr>
          <w:rFonts w:cstheme="minorBidi"/>
          <w:color w:val="231F20"/>
          <w:sz w:val="16"/>
          <w:szCs w:val="16"/>
          <w:vertAlign w:val="superscript"/>
        </w:rPr>
        <w:t>3</w:t>
      </w:r>
      <w:r w:rsidRPr="00FE63CD">
        <w:rPr>
          <w:rFonts w:cstheme="minorBidi"/>
          <w:color w:val="231F20"/>
          <w:sz w:val="16"/>
          <w:szCs w:val="16"/>
        </w:rPr>
        <w:t>Adição do óleo mineral Assist (0,5 l. ha</w:t>
      </w:r>
      <w:r w:rsidRPr="00FE63CD">
        <w:rPr>
          <w:rFonts w:cstheme="minorBidi"/>
          <w:color w:val="231F20"/>
          <w:sz w:val="16"/>
          <w:szCs w:val="16"/>
          <w:vertAlign w:val="superscript"/>
        </w:rPr>
        <w:t>-1</w:t>
      </w:r>
      <w:r w:rsidRPr="00FE63CD">
        <w:rPr>
          <w:rFonts w:cstheme="minorBidi"/>
          <w:color w:val="231F20"/>
          <w:sz w:val="16"/>
          <w:szCs w:val="16"/>
        </w:rPr>
        <w:t xml:space="preserve">); </w:t>
      </w:r>
      <w:r w:rsidRPr="00FE63CD">
        <w:rPr>
          <w:rFonts w:cstheme="minorBidi"/>
          <w:color w:val="231F20"/>
          <w:sz w:val="16"/>
          <w:szCs w:val="16"/>
          <w:vertAlign w:val="superscript"/>
        </w:rPr>
        <w:t>4</w:t>
      </w:r>
      <w:r w:rsidRPr="00FE63CD">
        <w:rPr>
          <w:rFonts w:cstheme="minorBidi"/>
          <w:color w:val="231F20"/>
          <w:sz w:val="16"/>
          <w:szCs w:val="16"/>
        </w:rPr>
        <w:t xml:space="preserve"> Fungicidas Redigo e Bixafeno são produtos pré-comerciais.</w:t>
      </w:r>
    </w:p>
    <w:p w14:paraId="79DDE59D" w14:textId="520A9CFC" w:rsidR="00516785" w:rsidRDefault="00516785" w:rsidP="00FE63CD">
      <w:pPr>
        <w:spacing w:after="0" w:line="360" w:lineRule="auto"/>
        <w:ind w:left="426" w:firstLine="0"/>
        <w:rPr>
          <w:rFonts w:cstheme="minorBidi"/>
          <w:color w:val="231F20"/>
          <w:sz w:val="16"/>
          <w:szCs w:val="16"/>
        </w:rPr>
      </w:pPr>
    </w:p>
    <w:p w14:paraId="7C355153" w14:textId="77777777" w:rsidR="00516785" w:rsidRPr="00FE63CD" w:rsidRDefault="00516785" w:rsidP="00516785">
      <w:pPr>
        <w:spacing w:after="0" w:line="360" w:lineRule="auto"/>
        <w:ind w:left="426" w:firstLine="0"/>
        <w:rPr>
          <w:rFonts w:cstheme="minorBidi"/>
          <w:color w:val="231F20"/>
          <w:sz w:val="16"/>
          <w:szCs w:val="16"/>
        </w:rPr>
      </w:pPr>
    </w:p>
    <w:p w14:paraId="542F9472" w14:textId="62BF3806" w:rsidR="008D20CA" w:rsidRDefault="008D20CA" w:rsidP="00516785">
      <w:pPr>
        <w:pStyle w:val="Ttulo3"/>
        <w:spacing w:line="360" w:lineRule="auto"/>
      </w:pPr>
      <w:bookmarkStart w:id="227" w:name="_Toc22568262"/>
      <w:r w:rsidRPr="00B7238F">
        <w:t xml:space="preserve">5.3.6 </w:t>
      </w:r>
      <w:r w:rsidR="00867C15">
        <w:t>A</w:t>
      </w:r>
      <w:r w:rsidR="00867C15" w:rsidRPr="00B7238F">
        <w:t>valiação de intensidade de doença</w:t>
      </w:r>
      <w:bookmarkEnd w:id="227"/>
    </w:p>
    <w:p w14:paraId="5CD53AA2" w14:textId="77777777" w:rsidR="00516785" w:rsidRPr="00516785" w:rsidRDefault="00516785" w:rsidP="00516785">
      <w:pPr>
        <w:spacing w:after="0" w:line="360" w:lineRule="auto"/>
      </w:pPr>
    </w:p>
    <w:p w14:paraId="0F319235" w14:textId="05E21B48" w:rsidR="008D20CA" w:rsidRPr="00B7238F" w:rsidRDefault="008D20CA" w:rsidP="00516785">
      <w:pPr>
        <w:spacing w:line="360" w:lineRule="auto"/>
      </w:pPr>
      <w:r w:rsidRPr="00B7238F">
        <w:t>A avaliação de severidade da doença foi realizada 20 dias após a inoculação do fungo. De cada unidade experimental foram removidos quatro</w:t>
      </w:r>
      <w:r w:rsidRPr="00B7238F">
        <w:rPr>
          <w:color w:val="FF0000"/>
        </w:rPr>
        <w:t xml:space="preserve"> </w:t>
      </w:r>
      <w:r w:rsidRPr="00B7238F">
        <w:t xml:space="preserve">folíolos centrais de folhas trifolioladas. Os folíolos foram levados ao laboratório onde sob lupa estereoscópica foi quantificado o número de lesões em uma área de dois discos de </w:t>
      </w:r>
      <w:r w:rsidRPr="00B7238F">
        <w:rPr>
          <w:color w:val="000000" w:themeColor="text1"/>
        </w:rPr>
        <w:t>um cm</w:t>
      </w:r>
      <w:r w:rsidRPr="00B7238F">
        <w:rPr>
          <w:color w:val="000000" w:themeColor="text1"/>
          <w:vertAlign w:val="superscript"/>
        </w:rPr>
        <w:t>2</w:t>
      </w:r>
      <w:r w:rsidRPr="00B7238F">
        <w:rPr>
          <w:color w:val="000000" w:themeColor="text1"/>
        </w:rPr>
        <w:t xml:space="preserve"> </w:t>
      </w:r>
      <w:r w:rsidRPr="00B7238F">
        <w:t xml:space="preserve">de diâmetro demarcada para cada folíolo (um em cada lado do folíolo considerando a nervura central). Foram consideradas lesões de FAS aquelas com a presença de no mínimo uma urédia de </w:t>
      </w:r>
      <w:r w:rsidRPr="00B7238F">
        <w:rPr>
          <w:i/>
        </w:rPr>
        <w:t>P. pachyrhizi</w:t>
      </w:r>
      <w:r w:rsidRPr="00B7238F">
        <w:t>. Posteriormente foi calculado o número de lesões por cm</w:t>
      </w:r>
      <w:r w:rsidRPr="00B7238F">
        <w:rPr>
          <w:vertAlign w:val="superscript"/>
        </w:rPr>
        <w:t>2</w:t>
      </w:r>
      <w:r w:rsidRPr="00B7238F">
        <w:t xml:space="preserve"> de tecido foliar.</w:t>
      </w:r>
    </w:p>
    <w:p w14:paraId="7BC2AF67" w14:textId="77777777" w:rsidR="008D20CA" w:rsidRPr="00B7238F" w:rsidRDefault="008D20CA" w:rsidP="00516785">
      <w:pPr>
        <w:spacing w:line="360" w:lineRule="auto"/>
      </w:pPr>
    </w:p>
    <w:p w14:paraId="76CFEC70" w14:textId="3A241692" w:rsidR="008D20CA" w:rsidRPr="00B7238F" w:rsidRDefault="008D20CA" w:rsidP="00516785">
      <w:pPr>
        <w:pStyle w:val="Ttulo3"/>
        <w:spacing w:line="360" w:lineRule="auto"/>
      </w:pPr>
      <w:bookmarkStart w:id="228" w:name="_Toc22568263"/>
      <w:r w:rsidRPr="00B7238F">
        <w:t xml:space="preserve">5.3.7 </w:t>
      </w:r>
      <w:r w:rsidR="00867C15">
        <w:t>A</w:t>
      </w:r>
      <w:r w:rsidR="00867C15" w:rsidRPr="00B7238F">
        <w:t>nálise estatística</w:t>
      </w:r>
      <w:bookmarkEnd w:id="228"/>
    </w:p>
    <w:p w14:paraId="21AE85CB" w14:textId="77777777" w:rsidR="008D20CA" w:rsidRPr="00B7238F" w:rsidRDefault="008D20CA" w:rsidP="00516785">
      <w:pPr>
        <w:spacing w:line="360" w:lineRule="auto"/>
        <w:rPr>
          <w:highlight w:val="yellow"/>
        </w:rPr>
      </w:pPr>
    </w:p>
    <w:p w14:paraId="3F4F6F06" w14:textId="77777777" w:rsidR="008D20CA" w:rsidRPr="00B7238F" w:rsidRDefault="008D20CA" w:rsidP="00516785">
      <w:pPr>
        <w:spacing w:line="360" w:lineRule="auto"/>
        <w:rPr>
          <w:color w:val="231F20"/>
        </w:rPr>
      </w:pPr>
      <w:r w:rsidRPr="00B7238F">
        <w:rPr>
          <w:shd w:val="clear" w:color="auto" w:fill="FFFFFF"/>
        </w:rPr>
        <w:t>Os dados de número de lesões por cm</w:t>
      </w:r>
      <w:r w:rsidRPr="00B7238F">
        <w:rPr>
          <w:shd w:val="clear" w:color="auto" w:fill="FFFFFF"/>
          <w:vertAlign w:val="superscript"/>
        </w:rPr>
        <w:t>2</w:t>
      </w:r>
      <w:r w:rsidRPr="00B7238F">
        <w:rPr>
          <w:shd w:val="clear" w:color="auto" w:fill="FFFFFF"/>
        </w:rPr>
        <w:t xml:space="preserve"> foram transformados em arc seno [raiz (x/k)], onde x é o número de lesões e k é uma constante com valor igual a 100.</w:t>
      </w:r>
      <w:r w:rsidRPr="00B7238F">
        <w:rPr>
          <w:color w:val="231F20"/>
        </w:rPr>
        <w:t xml:space="preserve"> A análise de variância foi realizada em esquema fatorial sendo considerada a interação entre momentos de aplicação e fungicidas. As análises foram feitas no programa SAS. As variáveis significativas no teste F, da análise de variância foram comparadas por teste de médias de Tukey (P &lt; 0,05). Foi realizada a análise de regressão para o número de lesões.cm</w:t>
      </w:r>
      <w:r w:rsidRPr="00B7238F">
        <w:rPr>
          <w:color w:val="231F20"/>
          <w:vertAlign w:val="superscript"/>
        </w:rPr>
        <w:t>-2</w:t>
      </w:r>
      <w:r w:rsidRPr="00B7238F">
        <w:rPr>
          <w:color w:val="231F20"/>
        </w:rPr>
        <w:t xml:space="preserve"> e controle da doença com os valores dos tratamentos realizados 0, 24, 48, 72, 120 e 168 h após a inoculação. Através das equações de regressões lineares foi determinado o número de horas após a inoculação em que os fungicidas obtiveram controle de 50 e 80%, bem como a redução média de controle por hora e dia de atraso da aplicação após a inoculação.</w:t>
      </w:r>
    </w:p>
    <w:p w14:paraId="65630E72" w14:textId="77777777" w:rsidR="008D20CA" w:rsidRPr="00B7238F" w:rsidRDefault="008D20CA" w:rsidP="00516785">
      <w:pPr>
        <w:spacing w:line="360" w:lineRule="auto"/>
      </w:pPr>
    </w:p>
    <w:p w14:paraId="242E2061" w14:textId="77777777" w:rsidR="008D20CA" w:rsidRPr="00B7238F" w:rsidRDefault="008D20CA" w:rsidP="00516785">
      <w:pPr>
        <w:pStyle w:val="Ttulo2"/>
        <w:spacing w:line="360" w:lineRule="auto"/>
      </w:pPr>
      <w:bookmarkStart w:id="229" w:name="_Toc516580500"/>
      <w:bookmarkStart w:id="230" w:name="_Toc517105675"/>
      <w:bookmarkStart w:id="231" w:name="_Toc22568264"/>
      <w:r w:rsidRPr="00B7238F">
        <w:t>5.4 RESULTADOS</w:t>
      </w:r>
      <w:bookmarkEnd w:id="229"/>
      <w:bookmarkEnd w:id="230"/>
      <w:bookmarkEnd w:id="231"/>
    </w:p>
    <w:p w14:paraId="189CF179" w14:textId="77777777" w:rsidR="008D20CA" w:rsidRPr="00B7238F" w:rsidRDefault="008D20CA" w:rsidP="00516785">
      <w:pPr>
        <w:spacing w:line="360" w:lineRule="auto"/>
      </w:pPr>
    </w:p>
    <w:p w14:paraId="57E86654" w14:textId="6BE5FF00" w:rsidR="008D20CA" w:rsidRPr="00B7238F" w:rsidRDefault="008D20CA" w:rsidP="00516785">
      <w:pPr>
        <w:pStyle w:val="Ttulo3"/>
        <w:spacing w:line="360" w:lineRule="auto"/>
      </w:pPr>
      <w:bookmarkStart w:id="232" w:name="_Toc516580501"/>
      <w:bookmarkStart w:id="233" w:name="_Toc517105676"/>
      <w:bookmarkStart w:id="234" w:name="_Toc22568265"/>
      <w:r w:rsidRPr="00B7238F">
        <w:t xml:space="preserve">5.4.1 </w:t>
      </w:r>
      <w:bookmarkEnd w:id="232"/>
      <w:bookmarkEnd w:id="233"/>
      <w:r w:rsidR="00AA1834" w:rsidRPr="00B7238F">
        <w:t xml:space="preserve">Estudo </w:t>
      </w:r>
      <w:r w:rsidRPr="00B7238F">
        <w:t xml:space="preserve">I - </w:t>
      </w:r>
      <w:r w:rsidR="00AA1834" w:rsidRPr="00B7238F">
        <w:t>carboxamidas isoladas</w:t>
      </w:r>
      <w:bookmarkEnd w:id="234"/>
    </w:p>
    <w:p w14:paraId="09AA8746" w14:textId="77777777" w:rsidR="008D20CA" w:rsidRPr="00B7238F" w:rsidRDefault="008D20CA" w:rsidP="00516785">
      <w:pPr>
        <w:spacing w:after="0" w:line="360" w:lineRule="auto"/>
      </w:pPr>
    </w:p>
    <w:p w14:paraId="031BC10C" w14:textId="77777777" w:rsidR="00B957A3" w:rsidRDefault="00EB4DA0" w:rsidP="00516785">
      <w:pPr>
        <w:spacing w:line="360" w:lineRule="auto"/>
      </w:pPr>
      <w:r w:rsidRPr="00B7238F">
        <w:t>Os dados apresentados e discutidos abaixo são formados pela média dos dois experimentos</w:t>
      </w:r>
      <w:r w:rsidR="004100ED" w:rsidRPr="00B7238F">
        <w:t>,</w:t>
      </w:r>
      <w:r w:rsidRPr="00B7238F">
        <w:t xml:space="preserve"> em virtude</w:t>
      </w:r>
      <w:r w:rsidR="004100ED" w:rsidRPr="00B7238F">
        <w:t xml:space="preserve"> de não ter ocorrido interação estatística.</w:t>
      </w:r>
    </w:p>
    <w:p w14:paraId="7260373E" w14:textId="5BCDD76C" w:rsidR="00CA356F" w:rsidRDefault="008D20CA" w:rsidP="00516785">
      <w:pPr>
        <w:spacing w:line="360" w:lineRule="auto"/>
      </w:pPr>
      <w:r w:rsidRPr="00B7238F">
        <w:t>Os fungicidas f</w:t>
      </w:r>
      <w:r w:rsidRPr="00B7238F">
        <w:rPr>
          <w:bCs/>
          <w:color w:val="000000"/>
        </w:rPr>
        <w:t>luxapiroxada e bixafeno</w:t>
      </w:r>
      <w:r w:rsidRPr="00B7238F">
        <w:t xml:space="preserve"> diferem com relação à eficiência de controle de </w:t>
      </w:r>
      <w:r w:rsidRPr="00B7238F">
        <w:rPr>
          <w:i/>
        </w:rPr>
        <w:t>P. pachyrhizi</w:t>
      </w:r>
      <w:r w:rsidRPr="00B7238F">
        <w:t xml:space="preserve"> quando aplicados em diferentes momentos de infecção do fungo (Tabela 2). Aplicação de forma preventiva das duas carboxamidas propiciaram menor número de lesões (Tabela 2) e maior controle do patógeno (Tabela 3), quando comparada com aplicações curativas. Com o aumento do número de horas após a inoculação em que os fungicidas foram aplicados foi observado incremento significativo do número médio de lesões (Tabela 2) e da redução da eficiência de controle (Tabela 3).</w:t>
      </w:r>
    </w:p>
    <w:p w14:paraId="0F3043EB" w14:textId="77777777" w:rsidR="00196265" w:rsidRPr="00196265" w:rsidRDefault="00196265" w:rsidP="00196265">
      <w:pPr>
        <w:autoSpaceDE/>
        <w:autoSpaceDN/>
        <w:adjustRightInd/>
        <w:spacing w:after="0" w:line="360" w:lineRule="auto"/>
        <w:ind w:firstLine="0"/>
      </w:pPr>
    </w:p>
    <w:p w14:paraId="4055402D" w14:textId="2ECA1752" w:rsidR="00664C38" w:rsidRDefault="00664C38" w:rsidP="0027193D">
      <w:pPr>
        <w:pStyle w:val="Legenda"/>
        <w:keepNext/>
        <w:ind w:firstLine="0"/>
      </w:pPr>
      <w:bookmarkStart w:id="235" w:name="_Toc16173038"/>
      <w:r>
        <w:t xml:space="preserve">Tabela </w:t>
      </w:r>
      <w:r w:rsidR="00D00510">
        <w:fldChar w:fldCharType="begin"/>
      </w:r>
      <w:r w:rsidR="00D00510">
        <w:instrText xml:space="preserve"> SEQ Tabela \* ARABIC </w:instrText>
      </w:r>
      <w:r w:rsidR="00D00510">
        <w:fldChar w:fldCharType="separate"/>
      </w:r>
      <w:r w:rsidR="002D15F8">
        <w:rPr>
          <w:noProof/>
        </w:rPr>
        <w:t>2</w:t>
      </w:r>
      <w:r w:rsidR="00D00510">
        <w:rPr>
          <w:noProof/>
        </w:rPr>
        <w:fldChar w:fldCharType="end"/>
      </w:r>
      <w:r>
        <w:t xml:space="preserve">. </w:t>
      </w:r>
      <w:r w:rsidRPr="001D3E07">
        <w:t>Número de lesões.cm-2 de ferrugem asiática da soja em folíolos trifoliolados com diferentes momentos de aplicação de carboxamidas isoladas. Lages, SC. 2017.</w:t>
      </w:r>
      <w:bookmarkEnd w:id="235"/>
    </w:p>
    <w:tbl>
      <w:tblPr>
        <w:tblW w:w="9061" w:type="dxa"/>
        <w:tblCellMar>
          <w:left w:w="70" w:type="dxa"/>
          <w:right w:w="70" w:type="dxa"/>
        </w:tblCellMar>
        <w:tblLook w:val="04A0" w:firstRow="1" w:lastRow="0" w:firstColumn="1" w:lastColumn="0" w:noHBand="0" w:noVBand="1"/>
      </w:tblPr>
      <w:tblGrid>
        <w:gridCol w:w="1808"/>
        <w:gridCol w:w="1058"/>
        <w:gridCol w:w="1057"/>
        <w:gridCol w:w="1057"/>
        <w:gridCol w:w="1057"/>
        <w:gridCol w:w="907"/>
        <w:gridCol w:w="1057"/>
        <w:gridCol w:w="1060"/>
      </w:tblGrid>
      <w:tr w:rsidR="00196265" w:rsidRPr="00196265" w14:paraId="13DCCB3B" w14:textId="77777777" w:rsidTr="00516785">
        <w:trPr>
          <w:trHeight w:val="313"/>
        </w:trPr>
        <w:tc>
          <w:tcPr>
            <w:tcW w:w="1808" w:type="dxa"/>
            <w:vMerge w:val="restart"/>
            <w:tcBorders>
              <w:top w:val="single" w:sz="4" w:space="0" w:color="auto"/>
              <w:bottom w:val="single" w:sz="4" w:space="0" w:color="auto"/>
            </w:tcBorders>
            <w:shd w:val="clear" w:color="auto" w:fill="auto"/>
            <w:noWrap/>
            <w:vAlign w:val="center"/>
            <w:hideMark/>
          </w:tcPr>
          <w:p w14:paraId="49AA54BA"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Tratamento</w:t>
            </w:r>
          </w:p>
        </w:tc>
        <w:tc>
          <w:tcPr>
            <w:tcW w:w="1058" w:type="dxa"/>
            <w:tcBorders>
              <w:top w:val="single" w:sz="4" w:space="0" w:color="auto"/>
              <w:bottom w:val="single" w:sz="4" w:space="0" w:color="auto"/>
            </w:tcBorders>
            <w:shd w:val="clear" w:color="auto" w:fill="auto"/>
            <w:noWrap/>
            <w:vAlign w:val="center"/>
            <w:hideMark/>
          </w:tcPr>
          <w:p w14:paraId="268152EA"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M1</w:t>
            </w:r>
          </w:p>
        </w:tc>
        <w:tc>
          <w:tcPr>
            <w:tcW w:w="1057" w:type="dxa"/>
            <w:tcBorders>
              <w:top w:val="single" w:sz="4" w:space="0" w:color="auto"/>
              <w:bottom w:val="single" w:sz="4" w:space="0" w:color="auto"/>
            </w:tcBorders>
            <w:shd w:val="clear" w:color="auto" w:fill="auto"/>
            <w:noWrap/>
            <w:vAlign w:val="center"/>
            <w:hideMark/>
          </w:tcPr>
          <w:p w14:paraId="4A56B1B3"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M2</w:t>
            </w:r>
          </w:p>
        </w:tc>
        <w:tc>
          <w:tcPr>
            <w:tcW w:w="1057" w:type="dxa"/>
            <w:tcBorders>
              <w:top w:val="single" w:sz="4" w:space="0" w:color="auto"/>
              <w:bottom w:val="single" w:sz="4" w:space="0" w:color="auto"/>
            </w:tcBorders>
            <w:shd w:val="clear" w:color="auto" w:fill="auto"/>
            <w:noWrap/>
            <w:vAlign w:val="center"/>
            <w:hideMark/>
          </w:tcPr>
          <w:p w14:paraId="7AEBFFEF"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M3</w:t>
            </w:r>
          </w:p>
        </w:tc>
        <w:tc>
          <w:tcPr>
            <w:tcW w:w="1057" w:type="dxa"/>
            <w:tcBorders>
              <w:top w:val="single" w:sz="4" w:space="0" w:color="auto"/>
              <w:bottom w:val="single" w:sz="4" w:space="0" w:color="auto"/>
            </w:tcBorders>
            <w:shd w:val="clear" w:color="auto" w:fill="auto"/>
            <w:noWrap/>
            <w:vAlign w:val="center"/>
            <w:hideMark/>
          </w:tcPr>
          <w:p w14:paraId="4AC660D8"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M4</w:t>
            </w:r>
          </w:p>
        </w:tc>
        <w:tc>
          <w:tcPr>
            <w:tcW w:w="907" w:type="dxa"/>
            <w:tcBorders>
              <w:top w:val="single" w:sz="4" w:space="0" w:color="auto"/>
              <w:bottom w:val="single" w:sz="4" w:space="0" w:color="auto"/>
            </w:tcBorders>
            <w:shd w:val="clear" w:color="auto" w:fill="auto"/>
            <w:noWrap/>
            <w:vAlign w:val="center"/>
            <w:hideMark/>
          </w:tcPr>
          <w:p w14:paraId="377E2366"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M5</w:t>
            </w:r>
          </w:p>
        </w:tc>
        <w:tc>
          <w:tcPr>
            <w:tcW w:w="1057" w:type="dxa"/>
            <w:tcBorders>
              <w:top w:val="single" w:sz="4" w:space="0" w:color="auto"/>
              <w:bottom w:val="single" w:sz="4" w:space="0" w:color="auto"/>
            </w:tcBorders>
            <w:shd w:val="clear" w:color="auto" w:fill="auto"/>
            <w:noWrap/>
            <w:vAlign w:val="center"/>
            <w:hideMark/>
          </w:tcPr>
          <w:p w14:paraId="7D20CD3A"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M6</w:t>
            </w:r>
          </w:p>
        </w:tc>
        <w:tc>
          <w:tcPr>
            <w:tcW w:w="1057" w:type="dxa"/>
            <w:tcBorders>
              <w:top w:val="single" w:sz="4" w:space="0" w:color="auto"/>
              <w:bottom w:val="single" w:sz="4" w:space="0" w:color="auto"/>
            </w:tcBorders>
            <w:shd w:val="clear" w:color="auto" w:fill="auto"/>
            <w:noWrap/>
            <w:vAlign w:val="center"/>
            <w:hideMark/>
          </w:tcPr>
          <w:p w14:paraId="6E6E2DB8"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Média</w:t>
            </w:r>
          </w:p>
        </w:tc>
      </w:tr>
      <w:tr w:rsidR="00196265" w:rsidRPr="00196265" w14:paraId="398068EA" w14:textId="77777777" w:rsidTr="00516785">
        <w:trPr>
          <w:trHeight w:val="360"/>
        </w:trPr>
        <w:tc>
          <w:tcPr>
            <w:tcW w:w="1808" w:type="dxa"/>
            <w:vMerge/>
            <w:tcBorders>
              <w:top w:val="single" w:sz="4" w:space="0" w:color="auto"/>
              <w:bottom w:val="single" w:sz="4" w:space="0" w:color="auto"/>
            </w:tcBorders>
            <w:vAlign w:val="center"/>
            <w:hideMark/>
          </w:tcPr>
          <w:p w14:paraId="186D52C1" w14:textId="77777777" w:rsidR="00196265" w:rsidRPr="00196265" w:rsidRDefault="00196265" w:rsidP="00196265">
            <w:pPr>
              <w:autoSpaceDE/>
              <w:autoSpaceDN/>
              <w:adjustRightInd/>
              <w:spacing w:after="0" w:line="360" w:lineRule="auto"/>
              <w:ind w:firstLine="0"/>
              <w:jc w:val="center"/>
              <w:rPr>
                <w:b/>
                <w:bCs/>
                <w:color w:val="000000"/>
              </w:rPr>
            </w:pPr>
          </w:p>
        </w:tc>
        <w:tc>
          <w:tcPr>
            <w:tcW w:w="7253" w:type="dxa"/>
            <w:gridSpan w:val="7"/>
            <w:tcBorders>
              <w:top w:val="single" w:sz="4" w:space="0" w:color="auto"/>
              <w:bottom w:val="single" w:sz="4" w:space="0" w:color="auto"/>
            </w:tcBorders>
            <w:shd w:val="clear" w:color="auto" w:fill="auto"/>
            <w:noWrap/>
            <w:vAlign w:val="center"/>
            <w:hideMark/>
          </w:tcPr>
          <w:p w14:paraId="350C720F"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Lesões/cm</w:t>
            </w:r>
            <w:r w:rsidRPr="00196265">
              <w:rPr>
                <w:b/>
                <w:bCs/>
                <w:color w:val="000000"/>
                <w:vertAlign w:val="superscript"/>
              </w:rPr>
              <w:t>2</w:t>
            </w:r>
          </w:p>
        </w:tc>
      </w:tr>
      <w:tr w:rsidR="00196265" w:rsidRPr="00196265" w14:paraId="36F2EE6D" w14:textId="77777777" w:rsidTr="00516785">
        <w:trPr>
          <w:trHeight w:val="313"/>
        </w:trPr>
        <w:tc>
          <w:tcPr>
            <w:tcW w:w="1808" w:type="dxa"/>
            <w:tcBorders>
              <w:top w:val="single" w:sz="4" w:space="0" w:color="auto"/>
            </w:tcBorders>
            <w:shd w:val="clear" w:color="auto" w:fill="auto"/>
            <w:noWrap/>
            <w:vAlign w:val="center"/>
            <w:hideMark/>
          </w:tcPr>
          <w:p w14:paraId="0E45AD15" w14:textId="77777777" w:rsidR="00196265" w:rsidRPr="00196265" w:rsidRDefault="00196265" w:rsidP="00196265">
            <w:pPr>
              <w:autoSpaceDE/>
              <w:autoSpaceDN/>
              <w:adjustRightInd/>
              <w:spacing w:after="0" w:line="360" w:lineRule="auto"/>
              <w:ind w:firstLine="0"/>
              <w:jc w:val="center"/>
              <w:rPr>
                <w:bCs/>
                <w:color w:val="000000"/>
                <w:sz w:val="20"/>
                <w:szCs w:val="20"/>
              </w:rPr>
            </w:pPr>
            <w:r w:rsidRPr="00196265">
              <w:rPr>
                <w:bCs/>
                <w:color w:val="000000"/>
                <w:sz w:val="20"/>
                <w:szCs w:val="20"/>
              </w:rPr>
              <w:t>Testemunha</w:t>
            </w:r>
          </w:p>
        </w:tc>
        <w:tc>
          <w:tcPr>
            <w:tcW w:w="1058" w:type="dxa"/>
            <w:tcBorders>
              <w:top w:val="single" w:sz="4" w:space="0" w:color="auto"/>
            </w:tcBorders>
            <w:shd w:val="clear" w:color="auto" w:fill="auto"/>
            <w:noWrap/>
            <w:vAlign w:val="center"/>
            <w:hideMark/>
          </w:tcPr>
          <w:p w14:paraId="220DAA77"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11,7Aa</w:t>
            </w:r>
          </w:p>
        </w:tc>
        <w:tc>
          <w:tcPr>
            <w:tcW w:w="1057" w:type="dxa"/>
            <w:tcBorders>
              <w:top w:val="single" w:sz="4" w:space="0" w:color="auto"/>
            </w:tcBorders>
            <w:shd w:val="clear" w:color="auto" w:fill="auto"/>
            <w:noWrap/>
            <w:vAlign w:val="center"/>
            <w:hideMark/>
          </w:tcPr>
          <w:p w14:paraId="015154AD"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11,5Aa</w:t>
            </w:r>
          </w:p>
        </w:tc>
        <w:tc>
          <w:tcPr>
            <w:tcW w:w="1057" w:type="dxa"/>
            <w:tcBorders>
              <w:top w:val="single" w:sz="4" w:space="0" w:color="auto"/>
            </w:tcBorders>
            <w:shd w:val="clear" w:color="auto" w:fill="auto"/>
            <w:noWrap/>
            <w:vAlign w:val="center"/>
            <w:hideMark/>
          </w:tcPr>
          <w:p w14:paraId="282A223A"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11,8Aa</w:t>
            </w:r>
          </w:p>
        </w:tc>
        <w:tc>
          <w:tcPr>
            <w:tcW w:w="1057" w:type="dxa"/>
            <w:tcBorders>
              <w:top w:val="single" w:sz="4" w:space="0" w:color="auto"/>
            </w:tcBorders>
            <w:shd w:val="clear" w:color="auto" w:fill="auto"/>
            <w:noWrap/>
            <w:vAlign w:val="center"/>
            <w:hideMark/>
          </w:tcPr>
          <w:p w14:paraId="736FD972"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11,6Aa</w:t>
            </w:r>
          </w:p>
        </w:tc>
        <w:tc>
          <w:tcPr>
            <w:tcW w:w="907" w:type="dxa"/>
            <w:tcBorders>
              <w:top w:val="single" w:sz="4" w:space="0" w:color="auto"/>
            </w:tcBorders>
            <w:shd w:val="clear" w:color="auto" w:fill="auto"/>
            <w:noWrap/>
            <w:vAlign w:val="center"/>
            <w:hideMark/>
          </w:tcPr>
          <w:p w14:paraId="24F5CF9B"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11,8Ba</w:t>
            </w:r>
          </w:p>
        </w:tc>
        <w:tc>
          <w:tcPr>
            <w:tcW w:w="1057" w:type="dxa"/>
            <w:tcBorders>
              <w:top w:val="single" w:sz="4" w:space="0" w:color="auto"/>
            </w:tcBorders>
            <w:shd w:val="clear" w:color="auto" w:fill="auto"/>
            <w:noWrap/>
            <w:vAlign w:val="center"/>
            <w:hideMark/>
          </w:tcPr>
          <w:p w14:paraId="052A3FCF"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11,5Ba</w:t>
            </w:r>
          </w:p>
        </w:tc>
        <w:tc>
          <w:tcPr>
            <w:tcW w:w="1057" w:type="dxa"/>
            <w:tcBorders>
              <w:top w:val="single" w:sz="4" w:space="0" w:color="auto"/>
            </w:tcBorders>
            <w:shd w:val="clear" w:color="auto" w:fill="auto"/>
            <w:noWrap/>
            <w:vAlign w:val="center"/>
            <w:hideMark/>
          </w:tcPr>
          <w:p w14:paraId="40DE9B27" w14:textId="77777777" w:rsidR="00196265" w:rsidRPr="00196265" w:rsidRDefault="00196265" w:rsidP="00196265">
            <w:pPr>
              <w:autoSpaceDE/>
              <w:autoSpaceDN/>
              <w:adjustRightInd/>
              <w:spacing w:after="0" w:line="360" w:lineRule="auto"/>
              <w:ind w:left="-16" w:firstLine="0"/>
              <w:jc w:val="left"/>
              <w:rPr>
                <w:color w:val="000000"/>
                <w:sz w:val="20"/>
                <w:szCs w:val="20"/>
              </w:rPr>
            </w:pPr>
            <w:r w:rsidRPr="00196265">
              <w:rPr>
                <w:color w:val="000000"/>
                <w:sz w:val="20"/>
                <w:szCs w:val="20"/>
              </w:rPr>
              <w:t xml:space="preserve">   11,6A</w:t>
            </w:r>
          </w:p>
        </w:tc>
      </w:tr>
      <w:tr w:rsidR="00196265" w:rsidRPr="00196265" w14:paraId="53A7C41E" w14:textId="77777777" w:rsidTr="00516785">
        <w:trPr>
          <w:trHeight w:val="313"/>
        </w:trPr>
        <w:tc>
          <w:tcPr>
            <w:tcW w:w="1808" w:type="dxa"/>
            <w:tcBorders>
              <w:top w:val="nil"/>
            </w:tcBorders>
            <w:shd w:val="clear" w:color="auto" w:fill="auto"/>
            <w:noWrap/>
            <w:vAlign w:val="center"/>
            <w:hideMark/>
          </w:tcPr>
          <w:p w14:paraId="20B19B79" w14:textId="77777777" w:rsidR="00196265" w:rsidRPr="00196265" w:rsidRDefault="00196265" w:rsidP="00196265">
            <w:pPr>
              <w:autoSpaceDE/>
              <w:autoSpaceDN/>
              <w:adjustRightInd/>
              <w:spacing w:after="0" w:line="360" w:lineRule="auto"/>
              <w:ind w:firstLine="0"/>
              <w:jc w:val="center"/>
              <w:rPr>
                <w:bCs/>
                <w:color w:val="000000"/>
                <w:sz w:val="20"/>
                <w:szCs w:val="20"/>
              </w:rPr>
            </w:pPr>
            <w:r w:rsidRPr="00196265">
              <w:rPr>
                <w:bCs/>
                <w:color w:val="000000"/>
                <w:sz w:val="20"/>
                <w:szCs w:val="20"/>
              </w:rPr>
              <w:t>Fluxapiroxada</w:t>
            </w:r>
          </w:p>
        </w:tc>
        <w:tc>
          <w:tcPr>
            <w:tcW w:w="1058" w:type="dxa"/>
            <w:tcBorders>
              <w:top w:val="nil"/>
            </w:tcBorders>
            <w:shd w:val="clear" w:color="auto" w:fill="auto"/>
            <w:noWrap/>
            <w:vAlign w:val="center"/>
            <w:hideMark/>
          </w:tcPr>
          <w:p w14:paraId="58A63C8F"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0,1Cd</w:t>
            </w:r>
          </w:p>
        </w:tc>
        <w:tc>
          <w:tcPr>
            <w:tcW w:w="1057" w:type="dxa"/>
            <w:tcBorders>
              <w:top w:val="nil"/>
            </w:tcBorders>
            <w:shd w:val="clear" w:color="auto" w:fill="auto"/>
            <w:noWrap/>
            <w:vAlign w:val="center"/>
            <w:hideMark/>
          </w:tcPr>
          <w:p w14:paraId="7C6E1E5A"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1,2Ccd</w:t>
            </w:r>
          </w:p>
        </w:tc>
        <w:tc>
          <w:tcPr>
            <w:tcW w:w="1057" w:type="dxa"/>
            <w:tcBorders>
              <w:top w:val="nil"/>
            </w:tcBorders>
            <w:shd w:val="clear" w:color="auto" w:fill="auto"/>
            <w:noWrap/>
            <w:vAlign w:val="center"/>
            <w:hideMark/>
          </w:tcPr>
          <w:p w14:paraId="278F4BD2"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1,4Cc</w:t>
            </w:r>
          </w:p>
        </w:tc>
        <w:tc>
          <w:tcPr>
            <w:tcW w:w="1057" w:type="dxa"/>
            <w:tcBorders>
              <w:top w:val="nil"/>
            </w:tcBorders>
            <w:shd w:val="clear" w:color="auto" w:fill="auto"/>
            <w:noWrap/>
            <w:vAlign w:val="center"/>
            <w:hideMark/>
          </w:tcPr>
          <w:p w14:paraId="3F5C8B22"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2,1Cc</w:t>
            </w:r>
          </w:p>
        </w:tc>
        <w:tc>
          <w:tcPr>
            <w:tcW w:w="907" w:type="dxa"/>
            <w:tcBorders>
              <w:top w:val="nil"/>
            </w:tcBorders>
            <w:shd w:val="clear" w:color="auto" w:fill="auto"/>
            <w:noWrap/>
            <w:vAlign w:val="center"/>
            <w:hideMark/>
          </w:tcPr>
          <w:p w14:paraId="5C527B01"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7,6Cb</w:t>
            </w:r>
          </w:p>
        </w:tc>
        <w:tc>
          <w:tcPr>
            <w:tcW w:w="1057" w:type="dxa"/>
            <w:tcBorders>
              <w:top w:val="nil"/>
            </w:tcBorders>
            <w:shd w:val="clear" w:color="auto" w:fill="auto"/>
            <w:noWrap/>
            <w:vAlign w:val="center"/>
            <w:hideMark/>
          </w:tcPr>
          <w:p w14:paraId="6345C587"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10,7Ba</w:t>
            </w:r>
          </w:p>
        </w:tc>
        <w:tc>
          <w:tcPr>
            <w:tcW w:w="1057" w:type="dxa"/>
            <w:tcBorders>
              <w:top w:val="nil"/>
            </w:tcBorders>
            <w:shd w:val="clear" w:color="auto" w:fill="auto"/>
            <w:noWrap/>
            <w:vAlign w:val="center"/>
            <w:hideMark/>
          </w:tcPr>
          <w:p w14:paraId="06B7C907"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3,8C</w:t>
            </w:r>
          </w:p>
        </w:tc>
      </w:tr>
      <w:tr w:rsidR="00196265" w:rsidRPr="00196265" w14:paraId="423218A9" w14:textId="77777777" w:rsidTr="00516785">
        <w:trPr>
          <w:trHeight w:val="313"/>
        </w:trPr>
        <w:tc>
          <w:tcPr>
            <w:tcW w:w="1808" w:type="dxa"/>
            <w:tcBorders>
              <w:top w:val="nil"/>
              <w:bottom w:val="single" w:sz="4" w:space="0" w:color="auto"/>
            </w:tcBorders>
            <w:shd w:val="clear" w:color="auto" w:fill="auto"/>
            <w:noWrap/>
            <w:vAlign w:val="center"/>
            <w:hideMark/>
          </w:tcPr>
          <w:p w14:paraId="661BA40A" w14:textId="77777777" w:rsidR="00196265" w:rsidRPr="00196265" w:rsidRDefault="00196265" w:rsidP="00196265">
            <w:pPr>
              <w:autoSpaceDE/>
              <w:autoSpaceDN/>
              <w:adjustRightInd/>
              <w:spacing w:after="0" w:line="360" w:lineRule="auto"/>
              <w:ind w:firstLine="0"/>
              <w:jc w:val="center"/>
              <w:rPr>
                <w:bCs/>
                <w:color w:val="000000"/>
                <w:sz w:val="20"/>
                <w:szCs w:val="20"/>
              </w:rPr>
            </w:pPr>
            <w:r w:rsidRPr="00196265">
              <w:rPr>
                <w:bCs/>
                <w:color w:val="000000"/>
                <w:sz w:val="20"/>
                <w:szCs w:val="20"/>
              </w:rPr>
              <w:t>Bixafeno</w:t>
            </w:r>
          </w:p>
        </w:tc>
        <w:tc>
          <w:tcPr>
            <w:tcW w:w="1058" w:type="dxa"/>
            <w:tcBorders>
              <w:top w:val="nil"/>
              <w:bottom w:val="single" w:sz="4" w:space="0" w:color="auto"/>
            </w:tcBorders>
            <w:shd w:val="clear" w:color="auto" w:fill="auto"/>
            <w:noWrap/>
            <w:vAlign w:val="center"/>
            <w:hideMark/>
          </w:tcPr>
          <w:p w14:paraId="4D70F81C"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2,5Be</w:t>
            </w:r>
          </w:p>
        </w:tc>
        <w:tc>
          <w:tcPr>
            <w:tcW w:w="1057" w:type="dxa"/>
            <w:tcBorders>
              <w:top w:val="nil"/>
              <w:bottom w:val="single" w:sz="4" w:space="0" w:color="auto"/>
            </w:tcBorders>
            <w:shd w:val="clear" w:color="auto" w:fill="auto"/>
            <w:noWrap/>
            <w:vAlign w:val="center"/>
            <w:hideMark/>
          </w:tcPr>
          <w:p w14:paraId="01EB3A45"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7,3Bd</w:t>
            </w:r>
          </w:p>
        </w:tc>
        <w:tc>
          <w:tcPr>
            <w:tcW w:w="1057" w:type="dxa"/>
            <w:tcBorders>
              <w:top w:val="nil"/>
              <w:bottom w:val="single" w:sz="4" w:space="0" w:color="auto"/>
            </w:tcBorders>
            <w:shd w:val="clear" w:color="auto" w:fill="auto"/>
            <w:noWrap/>
            <w:vAlign w:val="center"/>
            <w:hideMark/>
          </w:tcPr>
          <w:p w14:paraId="3827125A"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8,7Bc</w:t>
            </w:r>
          </w:p>
        </w:tc>
        <w:tc>
          <w:tcPr>
            <w:tcW w:w="1057" w:type="dxa"/>
            <w:tcBorders>
              <w:top w:val="nil"/>
              <w:bottom w:val="single" w:sz="4" w:space="0" w:color="auto"/>
            </w:tcBorders>
            <w:shd w:val="clear" w:color="auto" w:fill="auto"/>
            <w:noWrap/>
            <w:vAlign w:val="center"/>
            <w:hideMark/>
          </w:tcPr>
          <w:p w14:paraId="4DF7E3C2"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 xml:space="preserve"> 10,0Bb</w:t>
            </w:r>
          </w:p>
        </w:tc>
        <w:tc>
          <w:tcPr>
            <w:tcW w:w="907" w:type="dxa"/>
            <w:tcBorders>
              <w:top w:val="nil"/>
              <w:bottom w:val="single" w:sz="4" w:space="0" w:color="auto"/>
            </w:tcBorders>
            <w:shd w:val="clear" w:color="auto" w:fill="auto"/>
            <w:noWrap/>
            <w:vAlign w:val="center"/>
            <w:hideMark/>
          </w:tcPr>
          <w:p w14:paraId="39E96AE2"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15,3Aa</w:t>
            </w:r>
          </w:p>
        </w:tc>
        <w:tc>
          <w:tcPr>
            <w:tcW w:w="1057" w:type="dxa"/>
            <w:tcBorders>
              <w:top w:val="nil"/>
              <w:bottom w:val="single" w:sz="4" w:space="0" w:color="auto"/>
            </w:tcBorders>
            <w:shd w:val="clear" w:color="auto" w:fill="auto"/>
            <w:noWrap/>
            <w:vAlign w:val="center"/>
            <w:hideMark/>
          </w:tcPr>
          <w:p w14:paraId="4AB63F09"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15,8Aa</w:t>
            </w:r>
          </w:p>
        </w:tc>
        <w:tc>
          <w:tcPr>
            <w:tcW w:w="1057" w:type="dxa"/>
            <w:tcBorders>
              <w:top w:val="nil"/>
              <w:bottom w:val="single" w:sz="4" w:space="0" w:color="auto"/>
            </w:tcBorders>
            <w:shd w:val="clear" w:color="auto" w:fill="auto"/>
            <w:noWrap/>
            <w:vAlign w:val="center"/>
            <w:hideMark/>
          </w:tcPr>
          <w:p w14:paraId="4C9D1B6E"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9,9B</w:t>
            </w:r>
          </w:p>
        </w:tc>
      </w:tr>
      <w:tr w:rsidR="00196265" w:rsidRPr="00196265" w14:paraId="5BD0C5E8" w14:textId="77777777" w:rsidTr="00516785">
        <w:trPr>
          <w:trHeight w:val="313"/>
        </w:trPr>
        <w:tc>
          <w:tcPr>
            <w:tcW w:w="1808" w:type="dxa"/>
            <w:tcBorders>
              <w:top w:val="single" w:sz="4" w:space="0" w:color="auto"/>
              <w:bottom w:val="single" w:sz="4" w:space="0" w:color="auto"/>
            </w:tcBorders>
            <w:shd w:val="clear" w:color="auto" w:fill="auto"/>
            <w:noWrap/>
            <w:vAlign w:val="center"/>
            <w:hideMark/>
          </w:tcPr>
          <w:p w14:paraId="16E8F319" w14:textId="77777777" w:rsidR="00196265" w:rsidRPr="00196265" w:rsidRDefault="00196265" w:rsidP="00196265">
            <w:pPr>
              <w:autoSpaceDE/>
              <w:autoSpaceDN/>
              <w:adjustRightInd/>
              <w:spacing w:after="0" w:line="360" w:lineRule="auto"/>
              <w:ind w:firstLine="0"/>
              <w:jc w:val="center"/>
              <w:rPr>
                <w:b/>
                <w:bCs/>
                <w:color w:val="000000"/>
                <w:sz w:val="20"/>
                <w:szCs w:val="20"/>
              </w:rPr>
            </w:pPr>
            <w:r w:rsidRPr="00196265">
              <w:rPr>
                <w:b/>
                <w:bCs/>
                <w:color w:val="000000"/>
                <w:sz w:val="20"/>
                <w:szCs w:val="20"/>
              </w:rPr>
              <w:t>Média</w:t>
            </w:r>
          </w:p>
        </w:tc>
        <w:tc>
          <w:tcPr>
            <w:tcW w:w="1058" w:type="dxa"/>
            <w:tcBorders>
              <w:top w:val="single" w:sz="4" w:space="0" w:color="auto"/>
              <w:bottom w:val="single" w:sz="4" w:space="0" w:color="auto"/>
            </w:tcBorders>
            <w:shd w:val="clear" w:color="auto" w:fill="auto"/>
            <w:noWrap/>
            <w:vAlign w:val="center"/>
            <w:hideMark/>
          </w:tcPr>
          <w:p w14:paraId="01C2C88C" w14:textId="77777777" w:rsidR="00196265" w:rsidRPr="00196265" w:rsidRDefault="00196265" w:rsidP="00196265">
            <w:pPr>
              <w:autoSpaceDE/>
              <w:autoSpaceDN/>
              <w:adjustRightInd/>
              <w:spacing w:after="0" w:line="360" w:lineRule="auto"/>
              <w:ind w:firstLine="0"/>
              <w:jc w:val="left"/>
              <w:rPr>
                <w:color w:val="000000"/>
                <w:sz w:val="20"/>
                <w:szCs w:val="20"/>
              </w:rPr>
            </w:pPr>
            <w:r w:rsidRPr="00196265">
              <w:rPr>
                <w:color w:val="000000"/>
                <w:sz w:val="20"/>
                <w:szCs w:val="20"/>
              </w:rPr>
              <w:t xml:space="preserve">    4,8e</w:t>
            </w:r>
          </w:p>
        </w:tc>
        <w:tc>
          <w:tcPr>
            <w:tcW w:w="1057" w:type="dxa"/>
            <w:tcBorders>
              <w:top w:val="single" w:sz="4" w:space="0" w:color="auto"/>
              <w:bottom w:val="single" w:sz="4" w:space="0" w:color="auto"/>
            </w:tcBorders>
            <w:shd w:val="clear" w:color="auto" w:fill="auto"/>
            <w:noWrap/>
            <w:vAlign w:val="center"/>
            <w:hideMark/>
          </w:tcPr>
          <w:p w14:paraId="28945AC2" w14:textId="77777777" w:rsidR="00196265" w:rsidRPr="00196265" w:rsidRDefault="00196265" w:rsidP="00196265">
            <w:pPr>
              <w:autoSpaceDE/>
              <w:autoSpaceDN/>
              <w:adjustRightInd/>
              <w:spacing w:after="0" w:line="360" w:lineRule="auto"/>
              <w:ind w:firstLine="0"/>
              <w:jc w:val="left"/>
              <w:rPr>
                <w:color w:val="000000"/>
                <w:sz w:val="20"/>
                <w:szCs w:val="20"/>
              </w:rPr>
            </w:pPr>
            <w:r w:rsidRPr="00196265">
              <w:rPr>
                <w:color w:val="000000"/>
                <w:sz w:val="20"/>
                <w:szCs w:val="20"/>
              </w:rPr>
              <w:t xml:space="preserve">     6,7d</w:t>
            </w:r>
          </w:p>
        </w:tc>
        <w:tc>
          <w:tcPr>
            <w:tcW w:w="1057" w:type="dxa"/>
            <w:tcBorders>
              <w:top w:val="single" w:sz="4" w:space="0" w:color="auto"/>
              <w:bottom w:val="single" w:sz="4" w:space="0" w:color="auto"/>
            </w:tcBorders>
            <w:shd w:val="clear" w:color="auto" w:fill="auto"/>
            <w:noWrap/>
            <w:vAlign w:val="center"/>
            <w:hideMark/>
          </w:tcPr>
          <w:p w14:paraId="5E6A8B49" w14:textId="77777777" w:rsidR="00196265" w:rsidRPr="00196265" w:rsidRDefault="00196265" w:rsidP="00196265">
            <w:pPr>
              <w:autoSpaceDE/>
              <w:autoSpaceDN/>
              <w:adjustRightInd/>
              <w:spacing w:after="0" w:line="360" w:lineRule="auto"/>
              <w:ind w:firstLine="0"/>
              <w:jc w:val="center"/>
              <w:rPr>
                <w:color w:val="000000"/>
                <w:sz w:val="20"/>
                <w:szCs w:val="20"/>
              </w:rPr>
            </w:pPr>
            <w:r w:rsidRPr="00196265">
              <w:rPr>
                <w:color w:val="000000"/>
                <w:sz w:val="20"/>
                <w:szCs w:val="20"/>
              </w:rPr>
              <w:t>7,3c</w:t>
            </w:r>
          </w:p>
        </w:tc>
        <w:tc>
          <w:tcPr>
            <w:tcW w:w="1057" w:type="dxa"/>
            <w:tcBorders>
              <w:top w:val="single" w:sz="4" w:space="0" w:color="auto"/>
              <w:bottom w:val="single" w:sz="4" w:space="0" w:color="auto"/>
            </w:tcBorders>
            <w:shd w:val="clear" w:color="auto" w:fill="auto"/>
            <w:noWrap/>
            <w:vAlign w:val="center"/>
            <w:hideMark/>
          </w:tcPr>
          <w:p w14:paraId="386E52F3" w14:textId="77777777" w:rsidR="00196265" w:rsidRPr="00196265" w:rsidRDefault="00196265" w:rsidP="00196265">
            <w:pPr>
              <w:autoSpaceDE/>
              <w:autoSpaceDN/>
              <w:adjustRightInd/>
              <w:spacing w:after="0" w:line="360" w:lineRule="auto"/>
              <w:ind w:firstLine="0"/>
              <w:jc w:val="left"/>
              <w:rPr>
                <w:color w:val="000000"/>
                <w:sz w:val="20"/>
                <w:szCs w:val="20"/>
              </w:rPr>
            </w:pPr>
            <w:r w:rsidRPr="00196265">
              <w:rPr>
                <w:color w:val="000000"/>
                <w:sz w:val="20"/>
                <w:szCs w:val="20"/>
              </w:rPr>
              <w:t xml:space="preserve">     7,9b</w:t>
            </w:r>
          </w:p>
        </w:tc>
        <w:tc>
          <w:tcPr>
            <w:tcW w:w="907" w:type="dxa"/>
            <w:tcBorders>
              <w:top w:val="single" w:sz="4" w:space="0" w:color="auto"/>
              <w:bottom w:val="single" w:sz="4" w:space="0" w:color="auto"/>
            </w:tcBorders>
            <w:shd w:val="clear" w:color="auto" w:fill="auto"/>
            <w:noWrap/>
            <w:vAlign w:val="center"/>
            <w:hideMark/>
          </w:tcPr>
          <w:p w14:paraId="7B710F89" w14:textId="77777777" w:rsidR="00196265" w:rsidRPr="00196265" w:rsidRDefault="00196265" w:rsidP="00196265">
            <w:pPr>
              <w:autoSpaceDE/>
              <w:autoSpaceDN/>
              <w:adjustRightInd/>
              <w:spacing w:after="0" w:line="360" w:lineRule="auto"/>
              <w:ind w:firstLine="0"/>
              <w:jc w:val="left"/>
              <w:rPr>
                <w:color w:val="000000"/>
                <w:sz w:val="20"/>
                <w:szCs w:val="20"/>
              </w:rPr>
            </w:pPr>
            <w:r w:rsidRPr="00196265">
              <w:rPr>
                <w:color w:val="000000"/>
                <w:sz w:val="20"/>
                <w:szCs w:val="20"/>
              </w:rPr>
              <w:t xml:space="preserve"> 11,6a</w:t>
            </w:r>
          </w:p>
        </w:tc>
        <w:tc>
          <w:tcPr>
            <w:tcW w:w="1057" w:type="dxa"/>
            <w:tcBorders>
              <w:top w:val="single" w:sz="4" w:space="0" w:color="auto"/>
              <w:bottom w:val="single" w:sz="4" w:space="0" w:color="auto"/>
            </w:tcBorders>
            <w:shd w:val="clear" w:color="auto" w:fill="auto"/>
            <w:noWrap/>
            <w:vAlign w:val="center"/>
            <w:hideMark/>
          </w:tcPr>
          <w:p w14:paraId="3B6E041D" w14:textId="77777777" w:rsidR="00196265" w:rsidRPr="00196265" w:rsidRDefault="00196265" w:rsidP="00196265">
            <w:pPr>
              <w:autoSpaceDE/>
              <w:autoSpaceDN/>
              <w:adjustRightInd/>
              <w:spacing w:after="0" w:line="360" w:lineRule="auto"/>
              <w:ind w:firstLine="0"/>
              <w:jc w:val="left"/>
              <w:rPr>
                <w:color w:val="000000"/>
                <w:sz w:val="20"/>
                <w:szCs w:val="20"/>
              </w:rPr>
            </w:pPr>
            <w:r w:rsidRPr="00196265">
              <w:rPr>
                <w:color w:val="000000"/>
                <w:sz w:val="20"/>
                <w:szCs w:val="20"/>
              </w:rPr>
              <w:t xml:space="preserve">   12,7a</w:t>
            </w:r>
          </w:p>
        </w:tc>
        <w:tc>
          <w:tcPr>
            <w:tcW w:w="1057" w:type="dxa"/>
            <w:tcBorders>
              <w:top w:val="single" w:sz="4" w:space="0" w:color="auto"/>
              <w:bottom w:val="single" w:sz="4" w:space="0" w:color="auto"/>
            </w:tcBorders>
            <w:shd w:val="clear" w:color="auto" w:fill="auto"/>
            <w:noWrap/>
            <w:vAlign w:val="center"/>
            <w:hideMark/>
          </w:tcPr>
          <w:p w14:paraId="06A0A46E" w14:textId="77777777" w:rsidR="00196265" w:rsidRPr="00196265" w:rsidRDefault="00196265" w:rsidP="00196265">
            <w:pPr>
              <w:autoSpaceDE/>
              <w:autoSpaceDN/>
              <w:adjustRightInd/>
              <w:spacing w:after="0" w:line="360" w:lineRule="auto"/>
              <w:ind w:firstLine="0"/>
              <w:jc w:val="left"/>
              <w:rPr>
                <w:color w:val="000000"/>
                <w:sz w:val="20"/>
                <w:szCs w:val="20"/>
              </w:rPr>
            </w:pPr>
            <w:r w:rsidRPr="00196265">
              <w:rPr>
                <w:color w:val="000000"/>
                <w:sz w:val="20"/>
                <w:szCs w:val="20"/>
              </w:rPr>
              <w:t xml:space="preserve">     8,4</w:t>
            </w:r>
          </w:p>
        </w:tc>
      </w:tr>
      <w:tr w:rsidR="00196265" w:rsidRPr="00196265" w14:paraId="03ABACF9" w14:textId="77777777" w:rsidTr="00516785">
        <w:trPr>
          <w:trHeight w:val="313"/>
        </w:trPr>
        <w:tc>
          <w:tcPr>
            <w:tcW w:w="1808" w:type="dxa"/>
            <w:tcBorders>
              <w:top w:val="single" w:sz="4" w:space="0" w:color="auto"/>
              <w:bottom w:val="single" w:sz="4" w:space="0" w:color="auto"/>
            </w:tcBorders>
            <w:shd w:val="clear" w:color="auto" w:fill="auto"/>
            <w:noWrap/>
            <w:vAlign w:val="center"/>
          </w:tcPr>
          <w:p w14:paraId="73454D17" w14:textId="77777777" w:rsidR="00196265" w:rsidRPr="00196265" w:rsidRDefault="00196265" w:rsidP="00196265">
            <w:pPr>
              <w:autoSpaceDE/>
              <w:autoSpaceDN/>
              <w:adjustRightInd/>
              <w:spacing w:after="0" w:line="360" w:lineRule="auto"/>
              <w:ind w:firstLine="0"/>
              <w:jc w:val="center"/>
              <w:rPr>
                <w:b/>
                <w:bCs/>
                <w:color w:val="000000"/>
              </w:rPr>
            </w:pPr>
            <w:r w:rsidRPr="00196265">
              <w:rPr>
                <w:b/>
                <w:bCs/>
                <w:color w:val="000000"/>
              </w:rPr>
              <w:t>C.V. (%)</w:t>
            </w:r>
          </w:p>
        </w:tc>
        <w:tc>
          <w:tcPr>
            <w:tcW w:w="1058" w:type="dxa"/>
            <w:tcBorders>
              <w:top w:val="single" w:sz="4" w:space="0" w:color="auto"/>
              <w:bottom w:val="single" w:sz="4" w:space="0" w:color="auto"/>
            </w:tcBorders>
            <w:shd w:val="clear" w:color="auto" w:fill="auto"/>
            <w:noWrap/>
            <w:vAlign w:val="center"/>
          </w:tcPr>
          <w:p w14:paraId="44AB5634" w14:textId="77777777" w:rsidR="00196265" w:rsidRPr="00196265" w:rsidRDefault="00196265" w:rsidP="00196265">
            <w:pPr>
              <w:autoSpaceDE/>
              <w:autoSpaceDN/>
              <w:adjustRightInd/>
              <w:spacing w:after="0" w:line="360" w:lineRule="auto"/>
              <w:ind w:firstLine="0"/>
              <w:jc w:val="left"/>
              <w:rPr>
                <w:color w:val="000000"/>
                <w:sz w:val="20"/>
                <w:szCs w:val="22"/>
              </w:rPr>
            </w:pPr>
            <w:r w:rsidRPr="00196265">
              <w:rPr>
                <w:rFonts w:ascii="Arial" w:hAnsi="Arial" w:cs="Arial"/>
                <w:color w:val="000000"/>
                <w:sz w:val="20"/>
                <w:szCs w:val="22"/>
              </w:rPr>
              <w:t xml:space="preserve">  </w:t>
            </w:r>
            <w:r w:rsidRPr="00196265">
              <w:rPr>
                <w:color w:val="000000"/>
                <w:sz w:val="20"/>
                <w:szCs w:val="22"/>
              </w:rPr>
              <w:t>15,6</w:t>
            </w:r>
          </w:p>
        </w:tc>
        <w:tc>
          <w:tcPr>
            <w:tcW w:w="1057" w:type="dxa"/>
            <w:tcBorders>
              <w:top w:val="single" w:sz="4" w:space="0" w:color="auto"/>
              <w:bottom w:val="single" w:sz="4" w:space="0" w:color="auto"/>
            </w:tcBorders>
            <w:shd w:val="clear" w:color="auto" w:fill="auto"/>
            <w:noWrap/>
            <w:vAlign w:val="center"/>
          </w:tcPr>
          <w:p w14:paraId="7C16E3A0" w14:textId="77777777" w:rsidR="00196265" w:rsidRPr="00196265" w:rsidRDefault="00196265" w:rsidP="00196265">
            <w:pPr>
              <w:autoSpaceDE/>
              <w:autoSpaceDN/>
              <w:adjustRightInd/>
              <w:spacing w:after="0" w:line="360" w:lineRule="auto"/>
              <w:ind w:firstLine="0"/>
              <w:jc w:val="center"/>
              <w:rPr>
                <w:rFonts w:ascii="Arial" w:hAnsi="Arial" w:cs="Arial"/>
                <w:color w:val="000000"/>
                <w:sz w:val="20"/>
                <w:szCs w:val="22"/>
              </w:rPr>
            </w:pPr>
          </w:p>
        </w:tc>
        <w:tc>
          <w:tcPr>
            <w:tcW w:w="1057" w:type="dxa"/>
            <w:tcBorders>
              <w:top w:val="single" w:sz="4" w:space="0" w:color="auto"/>
              <w:bottom w:val="single" w:sz="4" w:space="0" w:color="auto"/>
            </w:tcBorders>
            <w:shd w:val="clear" w:color="auto" w:fill="auto"/>
            <w:noWrap/>
            <w:vAlign w:val="center"/>
          </w:tcPr>
          <w:p w14:paraId="1527700E" w14:textId="77777777" w:rsidR="00196265" w:rsidRPr="00196265" w:rsidRDefault="00196265" w:rsidP="00196265">
            <w:pPr>
              <w:autoSpaceDE/>
              <w:autoSpaceDN/>
              <w:adjustRightInd/>
              <w:spacing w:after="0" w:line="360" w:lineRule="auto"/>
              <w:ind w:firstLine="0"/>
              <w:jc w:val="center"/>
              <w:rPr>
                <w:rFonts w:ascii="Arial" w:hAnsi="Arial" w:cs="Arial"/>
                <w:color w:val="000000"/>
                <w:sz w:val="20"/>
                <w:szCs w:val="22"/>
              </w:rPr>
            </w:pPr>
          </w:p>
        </w:tc>
        <w:tc>
          <w:tcPr>
            <w:tcW w:w="1057" w:type="dxa"/>
            <w:tcBorders>
              <w:top w:val="single" w:sz="4" w:space="0" w:color="auto"/>
              <w:bottom w:val="single" w:sz="4" w:space="0" w:color="auto"/>
            </w:tcBorders>
            <w:shd w:val="clear" w:color="auto" w:fill="auto"/>
            <w:noWrap/>
            <w:vAlign w:val="center"/>
          </w:tcPr>
          <w:p w14:paraId="2502978A" w14:textId="77777777" w:rsidR="00196265" w:rsidRPr="00196265" w:rsidRDefault="00196265" w:rsidP="00196265">
            <w:pPr>
              <w:autoSpaceDE/>
              <w:autoSpaceDN/>
              <w:adjustRightInd/>
              <w:spacing w:after="0" w:line="360" w:lineRule="auto"/>
              <w:ind w:firstLine="0"/>
              <w:jc w:val="center"/>
              <w:rPr>
                <w:rFonts w:ascii="Arial" w:hAnsi="Arial" w:cs="Arial"/>
                <w:color w:val="000000"/>
                <w:sz w:val="20"/>
                <w:szCs w:val="22"/>
              </w:rPr>
            </w:pPr>
          </w:p>
        </w:tc>
        <w:tc>
          <w:tcPr>
            <w:tcW w:w="907" w:type="dxa"/>
            <w:tcBorders>
              <w:top w:val="single" w:sz="4" w:space="0" w:color="auto"/>
              <w:bottom w:val="single" w:sz="4" w:space="0" w:color="auto"/>
            </w:tcBorders>
            <w:shd w:val="clear" w:color="auto" w:fill="auto"/>
            <w:noWrap/>
            <w:vAlign w:val="center"/>
          </w:tcPr>
          <w:p w14:paraId="6F7C436D" w14:textId="77777777" w:rsidR="00196265" w:rsidRPr="00196265" w:rsidRDefault="00196265" w:rsidP="00196265">
            <w:pPr>
              <w:autoSpaceDE/>
              <w:autoSpaceDN/>
              <w:adjustRightInd/>
              <w:spacing w:after="0" w:line="360" w:lineRule="auto"/>
              <w:ind w:firstLine="0"/>
              <w:jc w:val="center"/>
              <w:rPr>
                <w:rFonts w:ascii="Arial" w:hAnsi="Arial" w:cs="Arial"/>
                <w:color w:val="000000"/>
                <w:sz w:val="20"/>
                <w:szCs w:val="22"/>
              </w:rPr>
            </w:pPr>
          </w:p>
        </w:tc>
        <w:tc>
          <w:tcPr>
            <w:tcW w:w="1057" w:type="dxa"/>
            <w:tcBorders>
              <w:top w:val="single" w:sz="4" w:space="0" w:color="auto"/>
              <w:bottom w:val="single" w:sz="4" w:space="0" w:color="auto"/>
            </w:tcBorders>
            <w:shd w:val="clear" w:color="auto" w:fill="auto"/>
            <w:noWrap/>
            <w:vAlign w:val="center"/>
          </w:tcPr>
          <w:p w14:paraId="0D339294" w14:textId="77777777" w:rsidR="00196265" w:rsidRPr="00196265" w:rsidRDefault="00196265" w:rsidP="00196265">
            <w:pPr>
              <w:autoSpaceDE/>
              <w:autoSpaceDN/>
              <w:adjustRightInd/>
              <w:spacing w:after="0" w:line="360" w:lineRule="auto"/>
              <w:ind w:firstLine="0"/>
              <w:jc w:val="center"/>
              <w:rPr>
                <w:rFonts w:ascii="Arial" w:hAnsi="Arial" w:cs="Arial"/>
                <w:color w:val="000000"/>
                <w:sz w:val="20"/>
                <w:szCs w:val="22"/>
              </w:rPr>
            </w:pPr>
          </w:p>
        </w:tc>
        <w:tc>
          <w:tcPr>
            <w:tcW w:w="1057" w:type="dxa"/>
            <w:tcBorders>
              <w:top w:val="single" w:sz="4" w:space="0" w:color="auto"/>
              <w:bottom w:val="single" w:sz="4" w:space="0" w:color="auto"/>
            </w:tcBorders>
            <w:shd w:val="clear" w:color="auto" w:fill="auto"/>
            <w:noWrap/>
            <w:vAlign w:val="center"/>
          </w:tcPr>
          <w:p w14:paraId="0E8AF37D" w14:textId="77777777" w:rsidR="00196265" w:rsidRPr="00196265" w:rsidRDefault="00196265" w:rsidP="00196265">
            <w:pPr>
              <w:autoSpaceDE/>
              <w:autoSpaceDN/>
              <w:adjustRightInd/>
              <w:spacing w:after="0" w:line="360" w:lineRule="auto"/>
              <w:ind w:firstLine="0"/>
              <w:jc w:val="center"/>
              <w:rPr>
                <w:rFonts w:ascii="Arial" w:hAnsi="Arial" w:cs="Arial"/>
                <w:color w:val="000000"/>
                <w:sz w:val="20"/>
                <w:szCs w:val="22"/>
              </w:rPr>
            </w:pPr>
          </w:p>
        </w:tc>
      </w:tr>
    </w:tbl>
    <w:p w14:paraId="6C178686" w14:textId="77777777" w:rsidR="00196265" w:rsidRPr="00196265" w:rsidRDefault="00196265" w:rsidP="00196265">
      <w:pPr>
        <w:autoSpaceDE/>
        <w:autoSpaceDN/>
        <w:adjustRightInd/>
        <w:spacing w:after="0" w:line="360" w:lineRule="auto"/>
        <w:ind w:firstLine="0"/>
        <w:rPr>
          <w:color w:val="231F20"/>
          <w:sz w:val="16"/>
          <w:szCs w:val="16"/>
        </w:rPr>
      </w:pPr>
      <w:r w:rsidRPr="00196265">
        <w:rPr>
          <w:color w:val="231F20"/>
          <w:sz w:val="16"/>
          <w:szCs w:val="16"/>
        </w:rPr>
        <w:t>M1) 48 h antes da inoculação; M2) 24 h após a inoculação; M3) 48 h após a inoculação; M4) 72 h após a inoculação; M5) 120 h após a inoculação; M6) 168 h após a inoculação;</w:t>
      </w:r>
    </w:p>
    <w:p w14:paraId="5D90BA1D" w14:textId="77777777" w:rsidR="00196265" w:rsidRPr="00196265" w:rsidRDefault="00196265" w:rsidP="00196265">
      <w:pPr>
        <w:autoSpaceDE/>
        <w:autoSpaceDN/>
        <w:adjustRightInd/>
        <w:spacing w:after="0" w:line="360" w:lineRule="auto"/>
        <w:ind w:firstLine="0"/>
        <w:rPr>
          <w:color w:val="231F20"/>
          <w:sz w:val="16"/>
          <w:szCs w:val="16"/>
        </w:rPr>
      </w:pPr>
      <w:r w:rsidRPr="00196265">
        <w:rPr>
          <w:color w:val="231F20"/>
          <w:sz w:val="16"/>
          <w:szCs w:val="16"/>
        </w:rPr>
        <w:t>*Médias seguidas de letras minúsculas igual na linha não diferem estatisticamente entre si, e média seguidas de letras e maiúsculas diferentes na coluna diferem estatisticamente entre si.</w:t>
      </w:r>
    </w:p>
    <w:p w14:paraId="473CEFFF" w14:textId="51EE09E1" w:rsidR="00397235" w:rsidRDefault="00397235" w:rsidP="00516785">
      <w:pPr>
        <w:autoSpaceDE/>
        <w:autoSpaceDN/>
        <w:adjustRightInd/>
        <w:spacing w:after="0" w:line="360" w:lineRule="auto"/>
        <w:ind w:firstLine="0"/>
      </w:pPr>
    </w:p>
    <w:p w14:paraId="33FDD3F5" w14:textId="77777777" w:rsidR="00516785" w:rsidRPr="00397235" w:rsidRDefault="00516785" w:rsidP="00516785">
      <w:pPr>
        <w:autoSpaceDE/>
        <w:autoSpaceDN/>
        <w:adjustRightInd/>
        <w:spacing w:after="0" w:line="360" w:lineRule="auto"/>
        <w:ind w:firstLine="0"/>
        <w:rPr>
          <w:sz w:val="20"/>
          <w:szCs w:val="22"/>
        </w:rPr>
      </w:pPr>
    </w:p>
    <w:p w14:paraId="38D6B27D" w14:textId="22BBDBAB" w:rsidR="00337B72" w:rsidRDefault="00337B72" w:rsidP="00337B72">
      <w:pPr>
        <w:pStyle w:val="Legenda"/>
        <w:keepNext/>
        <w:ind w:firstLine="0"/>
      </w:pPr>
      <w:bookmarkStart w:id="236" w:name="_Toc16173039"/>
      <w:r>
        <w:t xml:space="preserve">Tabela </w:t>
      </w:r>
      <w:r w:rsidR="00D00510">
        <w:fldChar w:fldCharType="begin"/>
      </w:r>
      <w:r w:rsidR="00D00510">
        <w:instrText xml:space="preserve"> SEQ Tabela \* ARABIC </w:instrText>
      </w:r>
      <w:r w:rsidR="00D00510">
        <w:fldChar w:fldCharType="separate"/>
      </w:r>
      <w:r w:rsidR="002D15F8">
        <w:rPr>
          <w:noProof/>
        </w:rPr>
        <w:t>3</w:t>
      </w:r>
      <w:r w:rsidR="00D00510">
        <w:rPr>
          <w:noProof/>
        </w:rPr>
        <w:fldChar w:fldCharType="end"/>
      </w:r>
      <w:r>
        <w:t xml:space="preserve">. </w:t>
      </w:r>
      <w:r w:rsidRPr="005D3E8B">
        <w:t>Eficiência de controle da ferrugem asiática da soja em folíolos trifoliolados com diferentes momentos de aplicação de carboxamidas isoladas. Lages, SC. 2017.</w:t>
      </w:r>
      <w:bookmarkEnd w:id="236"/>
    </w:p>
    <w:tbl>
      <w:tblPr>
        <w:tblW w:w="8926" w:type="dxa"/>
        <w:jc w:val="center"/>
        <w:tblCellMar>
          <w:left w:w="70" w:type="dxa"/>
          <w:right w:w="70" w:type="dxa"/>
        </w:tblCellMar>
        <w:tblLook w:val="04A0" w:firstRow="1" w:lastRow="0" w:firstColumn="1" w:lastColumn="0" w:noHBand="0" w:noVBand="1"/>
      </w:tblPr>
      <w:tblGrid>
        <w:gridCol w:w="2263"/>
        <w:gridCol w:w="993"/>
        <w:gridCol w:w="992"/>
        <w:gridCol w:w="992"/>
        <w:gridCol w:w="992"/>
        <w:gridCol w:w="993"/>
        <w:gridCol w:w="850"/>
        <w:gridCol w:w="851"/>
      </w:tblGrid>
      <w:tr w:rsidR="00397235" w:rsidRPr="00397235" w14:paraId="78C9DCE2" w14:textId="77777777" w:rsidTr="003873B0">
        <w:trPr>
          <w:trHeight w:val="300"/>
          <w:jc w:val="center"/>
        </w:trPr>
        <w:tc>
          <w:tcPr>
            <w:tcW w:w="2263" w:type="dxa"/>
            <w:vMerge w:val="restart"/>
            <w:tcBorders>
              <w:top w:val="single" w:sz="4" w:space="0" w:color="auto"/>
              <w:bottom w:val="single" w:sz="4" w:space="0" w:color="auto"/>
            </w:tcBorders>
            <w:shd w:val="clear" w:color="auto" w:fill="auto"/>
            <w:noWrap/>
            <w:vAlign w:val="center"/>
          </w:tcPr>
          <w:p w14:paraId="07CFF384"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Tratamento</w:t>
            </w:r>
          </w:p>
        </w:tc>
        <w:tc>
          <w:tcPr>
            <w:tcW w:w="993" w:type="dxa"/>
            <w:tcBorders>
              <w:top w:val="single" w:sz="4" w:space="0" w:color="auto"/>
              <w:bottom w:val="single" w:sz="4" w:space="0" w:color="auto"/>
            </w:tcBorders>
            <w:shd w:val="clear" w:color="auto" w:fill="auto"/>
            <w:noWrap/>
            <w:vAlign w:val="center"/>
            <w:hideMark/>
          </w:tcPr>
          <w:p w14:paraId="4FBDB551"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M1</w:t>
            </w:r>
          </w:p>
        </w:tc>
        <w:tc>
          <w:tcPr>
            <w:tcW w:w="992" w:type="dxa"/>
            <w:tcBorders>
              <w:top w:val="single" w:sz="4" w:space="0" w:color="auto"/>
              <w:bottom w:val="single" w:sz="4" w:space="0" w:color="auto"/>
            </w:tcBorders>
            <w:shd w:val="clear" w:color="auto" w:fill="auto"/>
            <w:noWrap/>
            <w:vAlign w:val="center"/>
            <w:hideMark/>
          </w:tcPr>
          <w:p w14:paraId="3BE1BE44"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M2</w:t>
            </w:r>
          </w:p>
        </w:tc>
        <w:tc>
          <w:tcPr>
            <w:tcW w:w="992" w:type="dxa"/>
            <w:tcBorders>
              <w:top w:val="single" w:sz="4" w:space="0" w:color="auto"/>
              <w:bottom w:val="single" w:sz="4" w:space="0" w:color="auto"/>
            </w:tcBorders>
            <w:shd w:val="clear" w:color="auto" w:fill="auto"/>
            <w:noWrap/>
            <w:vAlign w:val="center"/>
            <w:hideMark/>
          </w:tcPr>
          <w:p w14:paraId="5E4D0860"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M3</w:t>
            </w:r>
          </w:p>
        </w:tc>
        <w:tc>
          <w:tcPr>
            <w:tcW w:w="992" w:type="dxa"/>
            <w:tcBorders>
              <w:top w:val="single" w:sz="4" w:space="0" w:color="auto"/>
              <w:bottom w:val="single" w:sz="4" w:space="0" w:color="auto"/>
            </w:tcBorders>
            <w:shd w:val="clear" w:color="auto" w:fill="auto"/>
            <w:noWrap/>
            <w:vAlign w:val="center"/>
            <w:hideMark/>
          </w:tcPr>
          <w:p w14:paraId="4C472444"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M4</w:t>
            </w:r>
          </w:p>
        </w:tc>
        <w:tc>
          <w:tcPr>
            <w:tcW w:w="993" w:type="dxa"/>
            <w:tcBorders>
              <w:top w:val="single" w:sz="4" w:space="0" w:color="auto"/>
              <w:bottom w:val="single" w:sz="4" w:space="0" w:color="auto"/>
            </w:tcBorders>
            <w:shd w:val="clear" w:color="auto" w:fill="auto"/>
            <w:noWrap/>
            <w:vAlign w:val="center"/>
            <w:hideMark/>
          </w:tcPr>
          <w:p w14:paraId="604712ED"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M5</w:t>
            </w:r>
          </w:p>
        </w:tc>
        <w:tc>
          <w:tcPr>
            <w:tcW w:w="850" w:type="dxa"/>
            <w:tcBorders>
              <w:top w:val="single" w:sz="4" w:space="0" w:color="auto"/>
              <w:bottom w:val="single" w:sz="4" w:space="0" w:color="auto"/>
            </w:tcBorders>
            <w:shd w:val="clear" w:color="auto" w:fill="auto"/>
            <w:noWrap/>
            <w:vAlign w:val="center"/>
            <w:hideMark/>
          </w:tcPr>
          <w:p w14:paraId="21AE0037"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M6</w:t>
            </w:r>
          </w:p>
        </w:tc>
        <w:tc>
          <w:tcPr>
            <w:tcW w:w="851" w:type="dxa"/>
            <w:tcBorders>
              <w:top w:val="single" w:sz="4" w:space="0" w:color="auto"/>
              <w:bottom w:val="single" w:sz="4" w:space="0" w:color="auto"/>
            </w:tcBorders>
            <w:shd w:val="clear" w:color="auto" w:fill="auto"/>
            <w:noWrap/>
            <w:vAlign w:val="center"/>
            <w:hideMark/>
          </w:tcPr>
          <w:p w14:paraId="2B4B09F6" w14:textId="77777777" w:rsidR="00397235" w:rsidRPr="00397235" w:rsidRDefault="00397235" w:rsidP="00397235">
            <w:pPr>
              <w:autoSpaceDE/>
              <w:autoSpaceDN/>
              <w:adjustRightInd/>
              <w:spacing w:after="0" w:line="360" w:lineRule="auto"/>
              <w:ind w:firstLine="0"/>
              <w:jc w:val="center"/>
              <w:rPr>
                <w:b/>
                <w:bCs/>
                <w:color w:val="000000"/>
              </w:rPr>
            </w:pPr>
            <w:r w:rsidRPr="00397235">
              <w:rPr>
                <w:b/>
                <w:bCs/>
                <w:color w:val="000000"/>
              </w:rPr>
              <w:t>Média</w:t>
            </w:r>
          </w:p>
        </w:tc>
      </w:tr>
      <w:tr w:rsidR="00397235" w:rsidRPr="00397235" w14:paraId="783C9BF3" w14:textId="77777777" w:rsidTr="003873B0">
        <w:trPr>
          <w:trHeight w:val="345"/>
          <w:jc w:val="center"/>
        </w:trPr>
        <w:tc>
          <w:tcPr>
            <w:tcW w:w="2263" w:type="dxa"/>
            <w:vMerge/>
            <w:tcBorders>
              <w:top w:val="single" w:sz="4" w:space="0" w:color="auto"/>
              <w:bottom w:val="single" w:sz="4" w:space="0" w:color="auto"/>
            </w:tcBorders>
            <w:vAlign w:val="center"/>
          </w:tcPr>
          <w:p w14:paraId="732BC4FB" w14:textId="77777777" w:rsidR="00397235" w:rsidRPr="00397235" w:rsidRDefault="00397235" w:rsidP="00397235">
            <w:pPr>
              <w:autoSpaceDE/>
              <w:autoSpaceDN/>
              <w:adjustRightInd/>
              <w:spacing w:after="0" w:line="360" w:lineRule="auto"/>
              <w:ind w:firstLine="0"/>
              <w:jc w:val="center"/>
              <w:rPr>
                <w:b/>
                <w:bCs/>
                <w:color w:val="000000"/>
                <w:szCs w:val="22"/>
              </w:rPr>
            </w:pPr>
          </w:p>
        </w:tc>
        <w:tc>
          <w:tcPr>
            <w:tcW w:w="6663" w:type="dxa"/>
            <w:gridSpan w:val="7"/>
            <w:tcBorders>
              <w:top w:val="single" w:sz="4" w:space="0" w:color="auto"/>
              <w:bottom w:val="single" w:sz="4" w:space="0" w:color="auto"/>
            </w:tcBorders>
            <w:shd w:val="clear" w:color="auto" w:fill="auto"/>
            <w:noWrap/>
            <w:vAlign w:val="center"/>
            <w:hideMark/>
          </w:tcPr>
          <w:p w14:paraId="7130CD30" w14:textId="77777777" w:rsidR="00397235" w:rsidRPr="00397235" w:rsidRDefault="00397235" w:rsidP="00397235">
            <w:pPr>
              <w:autoSpaceDE/>
              <w:autoSpaceDN/>
              <w:adjustRightInd/>
              <w:spacing w:after="0" w:line="360" w:lineRule="auto"/>
              <w:ind w:firstLine="0"/>
              <w:jc w:val="center"/>
              <w:rPr>
                <w:b/>
                <w:bCs/>
                <w:color w:val="000000"/>
                <w:szCs w:val="22"/>
              </w:rPr>
            </w:pPr>
            <w:r w:rsidRPr="00397235">
              <w:rPr>
                <w:b/>
                <w:bCs/>
                <w:color w:val="000000"/>
                <w:szCs w:val="22"/>
              </w:rPr>
              <w:t>Controle (%)</w:t>
            </w:r>
          </w:p>
        </w:tc>
      </w:tr>
      <w:tr w:rsidR="00397235" w:rsidRPr="00397235" w14:paraId="1A857630" w14:textId="77777777" w:rsidTr="003873B0">
        <w:trPr>
          <w:trHeight w:val="300"/>
          <w:jc w:val="center"/>
        </w:trPr>
        <w:tc>
          <w:tcPr>
            <w:tcW w:w="2263" w:type="dxa"/>
            <w:tcBorders>
              <w:top w:val="single" w:sz="4" w:space="0" w:color="auto"/>
            </w:tcBorders>
            <w:shd w:val="clear" w:color="auto" w:fill="auto"/>
            <w:noWrap/>
            <w:vAlign w:val="center"/>
          </w:tcPr>
          <w:p w14:paraId="4837C0AC" w14:textId="77777777" w:rsidR="00397235" w:rsidRPr="00397235" w:rsidRDefault="00397235" w:rsidP="00397235">
            <w:pPr>
              <w:autoSpaceDE/>
              <w:autoSpaceDN/>
              <w:adjustRightInd/>
              <w:spacing w:after="0" w:line="360" w:lineRule="auto"/>
              <w:ind w:firstLine="0"/>
              <w:jc w:val="center"/>
              <w:rPr>
                <w:bCs/>
                <w:color w:val="000000"/>
                <w:sz w:val="20"/>
                <w:szCs w:val="20"/>
              </w:rPr>
            </w:pPr>
            <w:r w:rsidRPr="00397235">
              <w:rPr>
                <w:bCs/>
                <w:color w:val="000000"/>
                <w:sz w:val="20"/>
                <w:szCs w:val="20"/>
              </w:rPr>
              <w:t>Testemunha</w:t>
            </w:r>
          </w:p>
        </w:tc>
        <w:tc>
          <w:tcPr>
            <w:tcW w:w="993" w:type="dxa"/>
            <w:tcBorders>
              <w:top w:val="single" w:sz="4" w:space="0" w:color="auto"/>
            </w:tcBorders>
            <w:shd w:val="clear" w:color="auto" w:fill="auto"/>
            <w:noWrap/>
            <w:vAlign w:val="center"/>
            <w:hideMark/>
          </w:tcPr>
          <w:p w14:paraId="1DE76904"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 xml:space="preserve">  0,0</w:t>
            </w:r>
          </w:p>
        </w:tc>
        <w:tc>
          <w:tcPr>
            <w:tcW w:w="992" w:type="dxa"/>
            <w:tcBorders>
              <w:top w:val="single" w:sz="4" w:space="0" w:color="auto"/>
            </w:tcBorders>
            <w:shd w:val="clear" w:color="auto" w:fill="auto"/>
            <w:noWrap/>
            <w:vAlign w:val="center"/>
            <w:hideMark/>
          </w:tcPr>
          <w:p w14:paraId="51B492D2"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 xml:space="preserve">  0,0</w:t>
            </w:r>
          </w:p>
        </w:tc>
        <w:tc>
          <w:tcPr>
            <w:tcW w:w="992" w:type="dxa"/>
            <w:tcBorders>
              <w:top w:val="single" w:sz="4" w:space="0" w:color="auto"/>
            </w:tcBorders>
            <w:shd w:val="clear" w:color="auto" w:fill="auto"/>
            <w:noWrap/>
            <w:vAlign w:val="center"/>
            <w:hideMark/>
          </w:tcPr>
          <w:p w14:paraId="1771705D"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 xml:space="preserve">  0,0</w:t>
            </w:r>
          </w:p>
        </w:tc>
        <w:tc>
          <w:tcPr>
            <w:tcW w:w="992" w:type="dxa"/>
            <w:tcBorders>
              <w:top w:val="single" w:sz="4" w:space="0" w:color="auto"/>
            </w:tcBorders>
            <w:shd w:val="clear" w:color="auto" w:fill="auto"/>
            <w:noWrap/>
            <w:vAlign w:val="center"/>
            <w:hideMark/>
          </w:tcPr>
          <w:p w14:paraId="75F04CBD"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 xml:space="preserve">  0,0</w:t>
            </w:r>
          </w:p>
        </w:tc>
        <w:tc>
          <w:tcPr>
            <w:tcW w:w="993" w:type="dxa"/>
            <w:tcBorders>
              <w:top w:val="single" w:sz="4" w:space="0" w:color="auto"/>
            </w:tcBorders>
            <w:shd w:val="clear" w:color="auto" w:fill="auto"/>
            <w:noWrap/>
            <w:vAlign w:val="center"/>
            <w:hideMark/>
          </w:tcPr>
          <w:p w14:paraId="1EBCEE44"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 xml:space="preserve">  0,0</w:t>
            </w:r>
          </w:p>
        </w:tc>
        <w:tc>
          <w:tcPr>
            <w:tcW w:w="850" w:type="dxa"/>
            <w:tcBorders>
              <w:top w:val="single" w:sz="4" w:space="0" w:color="auto"/>
            </w:tcBorders>
            <w:shd w:val="clear" w:color="auto" w:fill="auto"/>
            <w:noWrap/>
            <w:vAlign w:val="center"/>
            <w:hideMark/>
          </w:tcPr>
          <w:p w14:paraId="510D6711"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0,0</w:t>
            </w:r>
          </w:p>
        </w:tc>
        <w:tc>
          <w:tcPr>
            <w:tcW w:w="851" w:type="dxa"/>
            <w:tcBorders>
              <w:top w:val="single" w:sz="4" w:space="0" w:color="auto"/>
            </w:tcBorders>
            <w:shd w:val="clear" w:color="auto" w:fill="auto"/>
            <w:noWrap/>
            <w:vAlign w:val="center"/>
            <w:hideMark/>
          </w:tcPr>
          <w:p w14:paraId="0A37D224"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0,0</w:t>
            </w:r>
          </w:p>
        </w:tc>
      </w:tr>
      <w:tr w:rsidR="00397235" w:rsidRPr="00397235" w14:paraId="4EC660BD" w14:textId="77777777" w:rsidTr="003873B0">
        <w:trPr>
          <w:trHeight w:val="300"/>
          <w:jc w:val="center"/>
        </w:trPr>
        <w:tc>
          <w:tcPr>
            <w:tcW w:w="2263" w:type="dxa"/>
            <w:tcBorders>
              <w:top w:val="nil"/>
            </w:tcBorders>
            <w:shd w:val="clear" w:color="auto" w:fill="auto"/>
            <w:noWrap/>
            <w:vAlign w:val="center"/>
          </w:tcPr>
          <w:p w14:paraId="0D13D161" w14:textId="77777777" w:rsidR="00397235" w:rsidRPr="00397235" w:rsidRDefault="00397235" w:rsidP="00397235">
            <w:pPr>
              <w:autoSpaceDE/>
              <w:autoSpaceDN/>
              <w:adjustRightInd/>
              <w:spacing w:after="0" w:line="360" w:lineRule="auto"/>
              <w:ind w:firstLine="0"/>
              <w:jc w:val="center"/>
              <w:rPr>
                <w:bCs/>
                <w:color w:val="000000"/>
                <w:sz w:val="20"/>
                <w:szCs w:val="20"/>
              </w:rPr>
            </w:pPr>
            <w:r w:rsidRPr="00397235">
              <w:rPr>
                <w:bCs/>
                <w:color w:val="000000"/>
                <w:sz w:val="20"/>
                <w:szCs w:val="20"/>
              </w:rPr>
              <w:t>Fluxapiroxada</w:t>
            </w:r>
          </w:p>
        </w:tc>
        <w:tc>
          <w:tcPr>
            <w:tcW w:w="993" w:type="dxa"/>
            <w:tcBorders>
              <w:top w:val="nil"/>
            </w:tcBorders>
            <w:shd w:val="clear" w:color="auto" w:fill="auto"/>
            <w:noWrap/>
            <w:vAlign w:val="center"/>
            <w:hideMark/>
          </w:tcPr>
          <w:p w14:paraId="4C5423B8"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99,1</w:t>
            </w:r>
          </w:p>
        </w:tc>
        <w:tc>
          <w:tcPr>
            <w:tcW w:w="992" w:type="dxa"/>
            <w:tcBorders>
              <w:top w:val="nil"/>
            </w:tcBorders>
            <w:shd w:val="clear" w:color="auto" w:fill="auto"/>
            <w:noWrap/>
            <w:vAlign w:val="center"/>
            <w:hideMark/>
          </w:tcPr>
          <w:p w14:paraId="52EB2D7F"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89,7</w:t>
            </w:r>
          </w:p>
        </w:tc>
        <w:tc>
          <w:tcPr>
            <w:tcW w:w="992" w:type="dxa"/>
            <w:tcBorders>
              <w:top w:val="nil"/>
            </w:tcBorders>
            <w:shd w:val="clear" w:color="auto" w:fill="auto"/>
            <w:noWrap/>
            <w:vAlign w:val="center"/>
            <w:hideMark/>
          </w:tcPr>
          <w:p w14:paraId="233D514E"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87,9</w:t>
            </w:r>
          </w:p>
        </w:tc>
        <w:tc>
          <w:tcPr>
            <w:tcW w:w="992" w:type="dxa"/>
            <w:tcBorders>
              <w:top w:val="nil"/>
            </w:tcBorders>
            <w:shd w:val="clear" w:color="auto" w:fill="auto"/>
            <w:noWrap/>
            <w:vAlign w:val="center"/>
            <w:hideMark/>
          </w:tcPr>
          <w:p w14:paraId="0264F3F5"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82,1</w:t>
            </w:r>
          </w:p>
        </w:tc>
        <w:tc>
          <w:tcPr>
            <w:tcW w:w="993" w:type="dxa"/>
            <w:tcBorders>
              <w:top w:val="nil"/>
            </w:tcBorders>
            <w:shd w:val="clear" w:color="auto" w:fill="auto"/>
            <w:noWrap/>
            <w:vAlign w:val="center"/>
            <w:hideMark/>
          </w:tcPr>
          <w:p w14:paraId="75EFB094"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35,4</w:t>
            </w:r>
          </w:p>
        </w:tc>
        <w:tc>
          <w:tcPr>
            <w:tcW w:w="850" w:type="dxa"/>
            <w:tcBorders>
              <w:top w:val="nil"/>
            </w:tcBorders>
            <w:shd w:val="clear" w:color="auto" w:fill="auto"/>
            <w:noWrap/>
            <w:vAlign w:val="center"/>
            <w:hideMark/>
          </w:tcPr>
          <w:p w14:paraId="07560EEA"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9,3</w:t>
            </w:r>
          </w:p>
        </w:tc>
        <w:tc>
          <w:tcPr>
            <w:tcW w:w="851" w:type="dxa"/>
            <w:tcBorders>
              <w:top w:val="nil"/>
            </w:tcBorders>
            <w:shd w:val="clear" w:color="auto" w:fill="auto"/>
            <w:noWrap/>
            <w:vAlign w:val="center"/>
            <w:hideMark/>
          </w:tcPr>
          <w:p w14:paraId="0B86D5D7"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67,3</w:t>
            </w:r>
          </w:p>
        </w:tc>
      </w:tr>
      <w:tr w:rsidR="00397235" w:rsidRPr="00397235" w14:paraId="6A695398" w14:textId="77777777" w:rsidTr="003873B0">
        <w:trPr>
          <w:trHeight w:val="300"/>
          <w:jc w:val="center"/>
        </w:trPr>
        <w:tc>
          <w:tcPr>
            <w:tcW w:w="2263" w:type="dxa"/>
            <w:tcBorders>
              <w:top w:val="nil"/>
              <w:bottom w:val="single" w:sz="4" w:space="0" w:color="auto"/>
            </w:tcBorders>
            <w:shd w:val="clear" w:color="auto" w:fill="auto"/>
            <w:noWrap/>
            <w:vAlign w:val="center"/>
          </w:tcPr>
          <w:p w14:paraId="2B79FF03" w14:textId="77777777" w:rsidR="00397235" w:rsidRPr="00397235" w:rsidRDefault="00397235" w:rsidP="00397235">
            <w:pPr>
              <w:autoSpaceDE/>
              <w:autoSpaceDN/>
              <w:adjustRightInd/>
              <w:spacing w:after="0" w:line="360" w:lineRule="auto"/>
              <w:ind w:firstLine="0"/>
              <w:jc w:val="center"/>
              <w:rPr>
                <w:bCs/>
                <w:color w:val="000000"/>
                <w:sz w:val="20"/>
                <w:szCs w:val="20"/>
              </w:rPr>
            </w:pPr>
            <w:r w:rsidRPr="00397235">
              <w:rPr>
                <w:bCs/>
                <w:color w:val="000000"/>
                <w:sz w:val="20"/>
                <w:szCs w:val="20"/>
              </w:rPr>
              <w:t>Bixafeno</w:t>
            </w:r>
          </w:p>
        </w:tc>
        <w:tc>
          <w:tcPr>
            <w:tcW w:w="993" w:type="dxa"/>
            <w:tcBorders>
              <w:top w:val="nil"/>
              <w:bottom w:val="single" w:sz="4" w:space="0" w:color="auto"/>
            </w:tcBorders>
            <w:shd w:val="clear" w:color="auto" w:fill="auto"/>
            <w:noWrap/>
            <w:vAlign w:val="center"/>
            <w:hideMark/>
          </w:tcPr>
          <w:p w14:paraId="0238F374"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78,2</w:t>
            </w:r>
          </w:p>
        </w:tc>
        <w:tc>
          <w:tcPr>
            <w:tcW w:w="992" w:type="dxa"/>
            <w:tcBorders>
              <w:top w:val="nil"/>
              <w:bottom w:val="single" w:sz="4" w:space="0" w:color="auto"/>
            </w:tcBorders>
            <w:shd w:val="clear" w:color="auto" w:fill="auto"/>
            <w:noWrap/>
            <w:vAlign w:val="center"/>
            <w:hideMark/>
          </w:tcPr>
          <w:p w14:paraId="5DE0690E"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37,2</w:t>
            </w:r>
          </w:p>
        </w:tc>
        <w:tc>
          <w:tcPr>
            <w:tcW w:w="992" w:type="dxa"/>
            <w:tcBorders>
              <w:top w:val="nil"/>
              <w:bottom w:val="single" w:sz="4" w:space="0" w:color="auto"/>
            </w:tcBorders>
            <w:shd w:val="clear" w:color="auto" w:fill="auto"/>
            <w:noWrap/>
            <w:vAlign w:val="center"/>
            <w:hideMark/>
          </w:tcPr>
          <w:p w14:paraId="052B159C"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25,8</w:t>
            </w:r>
          </w:p>
        </w:tc>
        <w:tc>
          <w:tcPr>
            <w:tcW w:w="992" w:type="dxa"/>
            <w:tcBorders>
              <w:top w:val="nil"/>
              <w:bottom w:val="single" w:sz="4" w:space="0" w:color="auto"/>
            </w:tcBorders>
            <w:shd w:val="clear" w:color="auto" w:fill="auto"/>
            <w:noWrap/>
            <w:vAlign w:val="center"/>
            <w:hideMark/>
          </w:tcPr>
          <w:p w14:paraId="60E8ABC8"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14,9</w:t>
            </w:r>
          </w:p>
        </w:tc>
        <w:tc>
          <w:tcPr>
            <w:tcW w:w="993" w:type="dxa"/>
            <w:tcBorders>
              <w:top w:val="nil"/>
              <w:bottom w:val="single" w:sz="4" w:space="0" w:color="auto"/>
            </w:tcBorders>
            <w:shd w:val="clear" w:color="auto" w:fill="auto"/>
            <w:noWrap/>
            <w:vAlign w:val="center"/>
            <w:hideMark/>
          </w:tcPr>
          <w:p w14:paraId="5912F4A4"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0,0</w:t>
            </w:r>
          </w:p>
        </w:tc>
        <w:tc>
          <w:tcPr>
            <w:tcW w:w="850" w:type="dxa"/>
            <w:tcBorders>
              <w:top w:val="nil"/>
              <w:bottom w:val="single" w:sz="4" w:space="0" w:color="auto"/>
            </w:tcBorders>
            <w:shd w:val="clear" w:color="auto" w:fill="auto"/>
            <w:noWrap/>
            <w:vAlign w:val="center"/>
            <w:hideMark/>
          </w:tcPr>
          <w:p w14:paraId="47402160"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0,0</w:t>
            </w:r>
          </w:p>
        </w:tc>
        <w:tc>
          <w:tcPr>
            <w:tcW w:w="851" w:type="dxa"/>
            <w:tcBorders>
              <w:top w:val="nil"/>
              <w:bottom w:val="single" w:sz="4" w:space="0" w:color="auto"/>
            </w:tcBorders>
            <w:shd w:val="clear" w:color="auto" w:fill="auto"/>
            <w:noWrap/>
            <w:vAlign w:val="center"/>
            <w:hideMark/>
          </w:tcPr>
          <w:p w14:paraId="024D4C00"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26,1</w:t>
            </w:r>
          </w:p>
        </w:tc>
      </w:tr>
      <w:tr w:rsidR="00397235" w:rsidRPr="00397235" w14:paraId="431238F3" w14:textId="77777777" w:rsidTr="003873B0">
        <w:trPr>
          <w:trHeight w:val="300"/>
          <w:jc w:val="center"/>
        </w:trPr>
        <w:tc>
          <w:tcPr>
            <w:tcW w:w="2263" w:type="dxa"/>
            <w:tcBorders>
              <w:top w:val="nil"/>
              <w:bottom w:val="single" w:sz="4" w:space="0" w:color="auto"/>
            </w:tcBorders>
            <w:shd w:val="clear" w:color="auto" w:fill="auto"/>
            <w:noWrap/>
            <w:vAlign w:val="center"/>
          </w:tcPr>
          <w:p w14:paraId="65B8E5E1" w14:textId="77777777" w:rsidR="00397235" w:rsidRPr="00397235" w:rsidRDefault="00397235" w:rsidP="00397235">
            <w:pPr>
              <w:autoSpaceDE/>
              <w:autoSpaceDN/>
              <w:adjustRightInd/>
              <w:spacing w:after="0" w:line="360" w:lineRule="auto"/>
              <w:ind w:firstLine="0"/>
              <w:jc w:val="center"/>
              <w:rPr>
                <w:b/>
                <w:bCs/>
                <w:color w:val="000000"/>
                <w:sz w:val="20"/>
                <w:szCs w:val="20"/>
              </w:rPr>
            </w:pPr>
            <w:r w:rsidRPr="00397235">
              <w:rPr>
                <w:b/>
                <w:bCs/>
                <w:color w:val="000000"/>
                <w:sz w:val="20"/>
                <w:szCs w:val="20"/>
              </w:rPr>
              <w:t>Média</w:t>
            </w:r>
          </w:p>
        </w:tc>
        <w:tc>
          <w:tcPr>
            <w:tcW w:w="993" w:type="dxa"/>
            <w:tcBorders>
              <w:top w:val="nil"/>
              <w:bottom w:val="single" w:sz="4" w:space="0" w:color="auto"/>
            </w:tcBorders>
            <w:shd w:val="clear" w:color="auto" w:fill="auto"/>
            <w:noWrap/>
            <w:vAlign w:val="center"/>
            <w:hideMark/>
          </w:tcPr>
          <w:p w14:paraId="0157DCA8"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88,7</w:t>
            </w:r>
          </w:p>
        </w:tc>
        <w:tc>
          <w:tcPr>
            <w:tcW w:w="992" w:type="dxa"/>
            <w:tcBorders>
              <w:top w:val="nil"/>
              <w:bottom w:val="single" w:sz="4" w:space="0" w:color="auto"/>
            </w:tcBorders>
            <w:shd w:val="clear" w:color="auto" w:fill="auto"/>
            <w:noWrap/>
            <w:vAlign w:val="center"/>
            <w:hideMark/>
          </w:tcPr>
          <w:p w14:paraId="22B8CC6F"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63,5</w:t>
            </w:r>
          </w:p>
        </w:tc>
        <w:tc>
          <w:tcPr>
            <w:tcW w:w="992" w:type="dxa"/>
            <w:tcBorders>
              <w:top w:val="nil"/>
              <w:bottom w:val="single" w:sz="4" w:space="0" w:color="auto"/>
            </w:tcBorders>
            <w:shd w:val="clear" w:color="auto" w:fill="auto"/>
            <w:noWrap/>
            <w:vAlign w:val="center"/>
            <w:hideMark/>
          </w:tcPr>
          <w:p w14:paraId="26878908"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56,9</w:t>
            </w:r>
          </w:p>
        </w:tc>
        <w:tc>
          <w:tcPr>
            <w:tcW w:w="992" w:type="dxa"/>
            <w:tcBorders>
              <w:top w:val="nil"/>
              <w:bottom w:val="single" w:sz="4" w:space="0" w:color="auto"/>
            </w:tcBorders>
            <w:shd w:val="clear" w:color="auto" w:fill="auto"/>
            <w:noWrap/>
            <w:vAlign w:val="center"/>
            <w:hideMark/>
          </w:tcPr>
          <w:p w14:paraId="38A0BA8E"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48,5</w:t>
            </w:r>
          </w:p>
        </w:tc>
        <w:tc>
          <w:tcPr>
            <w:tcW w:w="993" w:type="dxa"/>
            <w:tcBorders>
              <w:top w:val="nil"/>
              <w:bottom w:val="single" w:sz="4" w:space="0" w:color="auto"/>
            </w:tcBorders>
            <w:shd w:val="clear" w:color="auto" w:fill="auto"/>
            <w:noWrap/>
            <w:vAlign w:val="center"/>
            <w:hideMark/>
          </w:tcPr>
          <w:p w14:paraId="0921B617"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17,7</w:t>
            </w:r>
          </w:p>
        </w:tc>
        <w:tc>
          <w:tcPr>
            <w:tcW w:w="850" w:type="dxa"/>
            <w:tcBorders>
              <w:top w:val="nil"/>
              <w:bottom w:val="single" w:sz="4" w:space="0" w:color="auto"/>
            </w:tcBorders>
            <w:shd w:val="clear" w:color="auto" w:fill="auto"/>
            <w:noWrap/>
            <w:vAlign w:val="center"/>
            <w:hideMark/>
          </w:tcPr>
          <w:p w14:paraId="6D5339B7"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4,7</w:t>
            </w:r>
          </w:p>
        </w:tc>
        <w:tc>
          <w:tcPr>
            <w:tcW w:w="851" w:type="dxa"/>
            <w:tcBorders>
              <w:top w:val="nil"/>
              <w:bottom w:val="single" w:sz="4" w:space="0" w:color="auto"/>
            </w:tcBorders>
            <w:shd w:val="clear" w:color="auto" w:fill="auto"/>
            <w:noWrap/>
            <w:vAlign w:val="center"/>
            <w:hideMark/>
          </w:tcPr>
          <w:p w14:paraId="2CDA0583" w14:textId="77777777" w:rsidR="00397235" w:rsidRPr="00397235" w:rsidRDefault="00397235" w:rsidP="00397235">
            <w:pPr>
              <w:autoSpaceDE/>
              <w:autoSpaceDN/>
              <w:adjustRightInd/>
              <w:spacing w:after="0" w:line="360" w:lineRule="auto"/>
              <w:ind w:firstLine="0"/>
              <w:jc w:val="center"/>
              <w:rPr>
                <w:color w:val="000000"/>
                <w:sz w:val="20"/>
                <w:szCs w:val="20"/>
              </w:rPr>
            </w:pPr>
            <w:r w:rsidRPr="00397235">
              <w:rPr>
                <w:color w:val="000000"/>
                <w:sz w:val="20"/>
                <w:szCs w:val="20"/>
              </w:rPr>
              <w:t>46,7</w:t>
            </w:r>
          </w:p>
        </w:tc>
      </w:tr>
    </w:tbl>
    <w:p w14:paraId="2D1F8B42" w14:textId="77777777" w:rsidR="00397235" w:rsidRPr="00397235" w:rsidRDefault="00397235" w:rsidP="003873B0">
      <w:pPr>
        <w:autoSpaceDE/>
        <w:autoSpaceDN/>
        <w:adjustRightInd/>
        <w:spacing w:after="0" w:line="360" w:lineRule="auto"/>
        <w:ind w:left="142" w:right="140" w:firstLine="0"/>
        <w:jc w:val="left"/>
        <w:rPr>
          <w:color w:val="231F20"/>
          <w:sz w:val="16"/>
          <w:szCs w:val="16"/>
        </w:rPr>
      </w:pPr>
      <w:r w:rsidRPr="00397235">
        <w:rPr>
          <w:color w:val="231F20"/>
          <w:sz w:val="16"/>
          <w:szCs w:val="16"/>
        </w:rPr>
        <w:t>M1) 48 h antes da inoculação; M2) 24 h após a inoculação; M3) 48 h após a inoculação; M4) 72 h após a inoculação; M5) 120 h após a inoculação; M6) 168 h após a inoculação;</w:t>
      </w:r>
    </w:p>
    <w:p w14:paraId="70B5BDE6" w14:textId="77777777" w:rsidR="00397235" w:rsidRPr="00B7238F" w:rsidRDefault="00397235" w:rsidP="00516785">
      <w:pPr>
        <w:spacing w:after="0" w:line="360" w:lineRule="auto"/>
      </w:pPr>
    </w:p>
    <w:p w14:paraId="54DB979B" w14:textId="77777777" w:rsidR="003F4F08" w:rsidRDefault="004100ED" w:rsidP="00516785">
      <w:pPr>
        <w:spacing w:after="0" w:line="360" w:lineRule="auto"/>
      </w:pPr>
      <w:r w:rsidRPr="00B7238F">
        <w:t>Em média as carboxamidas isoladas apresentaram aumento do número de lesões de 4,8 lesões.cm</w:t>
      </w:r>
      <w:r w:rsidRPr="00B7238F">
        <w:rPr>
          <w:vertAlign w:val="superscript"/>
        </w:rPr>
        <w:t>-2</w:t>
      </w:r>
      <w:r w:rsidRPr="00B7238F">
        <w:t xml:space="preserve"> (Tabela 2) quando aplicadas 48 horas antes da inoculação, para 11,6 lesões.cm</w:t>
      </w:r>
      <w:r w:rsidRPr="00B7238F">
        <w:rPr>
          <w:vertAlign w:val="superscript"/>
        </w:rPr>
        <w:t>-2</w:t>
      </w:r>
      <w:r w:rsidRPr="00B7238F">
        <w:t xml:space="preserve"> (Tabela 2) quando aplicadas 120 horas após a inoculação. Aplicações de fungicidas do grupo das carboxamidas quando realizadas até 72 horas após a inoculação reduziram o número de lesões em relação a testemunha (Tabela 2) e apresentaram controle superior a 46,8 % (Tabela 3). </w:t>
      </w:r>
    </w:p>
    <w:p w14:paraId="60C65534" w14:textId="77A37565" w:rsidR="004100ED" w:rsidRPr="00B7238F" w:rsidRDefault="004100ED" w:rsidP="00516785">
      <w:pPr>
        <w:spacing w:line="360" w:lineRule="auto"/>
      </w:pPr>
      <w:r w:rsidRPr="00B7238F">
        <w:t>Porém quando as aplicações foram realizadas entre 120 e 168 hs após a inoculação a média de controle e número de lesões não diferiu da testemunha (Tabela 2), além disto não houve diferença na eficiência e número de lesões médio dos fungicidas aplicados nestes dois momentos (Tabela 2).</w:t>
      </w:r>
    </w:p>
    <w:p w14:paraId="33BF8E46" w14:textId="71FC8A5F" w:rsidR="004100ED" w:rsidRPr="00B7238F" w:rsidRDefault="004100ED" w:rsidP="00516785">
      <w:pPr>
        <w:spacing w:after="0" w:line="360" w:lineRule="auto"/>
      </w:pPr>
      <w:r w:rsidRPr="00B7238F">
        <w:t xml:space="preserve">O fungicida Fluxapyroxada (Flux) apresentou menor número de lesões e maior eficiência de controle de </w:t>
      </w:r>
      <w:r w:rsidRPr="00B7238F">
        <w:rPr>
          <w:i/>
        </w:rPr>
        <w:t>P. pachyrhizi</w:t>
      </w:r>
      <w:r w:rsidRPr="00B7238F">
        <w:t xml:space="preserve"> que bixafeno (Bix), independente do momento em que foram aplicados. </w:t>
      </w:r>
    </w:p>
    <w:p w14:paraId="7B844342" w14:textId="77777777" w:rsidR="003F4F08" w:rsidRDefault="004100ED" w:rsidP="00516785">
      <w:pPr>
        <w:spacing w:after="0" w:line="360" w:lineRule="auto"/>
      </w:pPr>
      <w:r w:rsidRPr="00B7238F">
        <w:t xml:space="preserve">O fungicida Flux apresentou eficiência de 82,1 % quando aplicado 72 hs após a inoculação (Tabela 3), enquanto Bix obteve controle próximo a 80 % (78,2 %) somente quando aplicado 48 hs antes da inoculação (Tabela 3). </w:t>
      </w:r>
    </w:p>
    <w:p w14:paraId="5BB91884" w14:textId="77777777" w:rsidR="003F4F08" w:rsidRDefault="004100ED" w:rsidP="00516785">
      <w:pPr>
        <w:spacing w:after="0" w:line="360" w:lineRule="auto"/>
      </w:pPr>
      <w:r w:rsidRPr="00B7238F">
        <w:t>A aplicação de Bix obteve redução de 78,2 para 37,2 % quando aplicado 48 hs antes e 24 hs após a inoculação (Tabela 3), respectivamente. O fungicida Flux apresentou maior estabilidade de controle do patógeno quando aplicado em diferentes fases do processo de infecção do fungo, sendo o controle de 99,1 %, 82,1 % e 35,4 %, respectivamente para aplicações 48 horas antes, 72 e 120 horas após a inoculação (Tabela 3).</w:t>
      </w:r>
    </w:p>
    <w:p w14:paraId="4D2F2308" w14:textId="1E1E628F" w:rsidR="003F4F08" w:rsidRDefault="004100ED" w:rsidP="00516785">
      <w:pPr>
        <w:spacing w:after="0" w:line="360" w:lineRule="auto"/>
      </w:pPr>
      <w:r w:rsidRPr="00B7238F">
        <w:t>Com base na análise das equações de regressão linear para as aplicações de fungicidas realizadas em diferentes fases do processo de infecção houve redução média de controle por dia de atraso da aplicação após a inoculação de 10,6 e 8,9 % (Tabela 4)</w:t>
      </w:r>
      <w:r w:rsidRPr="00B7238F">
        <w:rPr>
          <w:color w:val="FF0000"/>
        </w:rPr>
        <w:t>,</w:t>
      </w:r>
      <w:r w:rsidRPr="00B7238F">
        <w:t xml:space="preserve"> respectivamente para Flux e Bix. Porém, Flux apresenta eficiência de 50% quando aplicado 103,3 horas após a inoculação e Bix obtem a mesma eficiência em aplicação 0,7 horas antes da inoculação (Tabela 4).</w:t>
      </w:r>
    </w:p>
    <w:p w14:paraId="352D6DC9" w14:textId="77777777" w:rsidR="00CC7F99" w:rsidRPr="00CC7F99" w:rsidRDefault="00CC7F99" w:rsidP="00CC7F99">
      <w:pPr>
        <w:autoSpaceDE/>
        <w:autoSpaceDN/>
        <w:adjustRightInd/>
        <w:spacing w:after="0" w:line="360" w:lineRule="auto"/>
        <w:ind w:right="-1" w:firstLine="0"/>
        <w:rPr>
          <w:highlight w:val="yellow"/>
        </w:rPr>
      </w:pPr>
    </w:p>
    <w:p w14:paraId="52F67FE6" w14:textId="5A7BFB73" w:rsidR="004855FC" w:rsidRDefault="004855FC" w:rsidP="00BB432C">
      <w:pPr>
        <w:pStyle w:val="Legenda"/>
        <w:keepNext/>
        <w:ind w:firstLine="0"/>
      </w:pPr>
      <w:bookmarkStart w:id="237" w:name="_Toc16173040"/>
      <w:r>
        <w:t xml:space="preserve">Tabela </w:t>
      </w:r>
      <w:r w:rsidR="00D00510">
        <w:fldChar w:fldCharType="begin"/>
      </w:r>
      <w:r w:rsidR="00D00510">
        <w:instrText xml:space="preserve"> SEQ Tabela \* ARABIC </w:instrText>
      </w:r>
      <w:r w:rsidR="00D00510">
        <w:fldChar w:fldCharType="separate"/>
      </w:r>
      <w:r w:rsidR="002D15F8">
        <w:rPr>
          <w:noProof/>
        </w:rPr>
        <w:t>4</w:t>
      </w:r>
      <w:r w:rsidR="00D00510">
        <w:rPr>
          <w:noProof/>
        </w:rPr>
        <w:fldChar w:fldCharType="end"/>
      </w:r>
      <w:r>
        <w:t xml:space="preserve">. </w:t>
      </w:r>
      <w:r w:rsidRPr="003160A0">
        <w:t>Redução de eficiência de controle da ferrugem asiática da soja por hora e dia de atraso da aplicação após a inoculação do patógeno, e número de horas após a inoculação que a aplicação de carboxamidas isoladas proporciona controle de 50 e 80 %. Lages, S</w:t>
      </w:r>
      <w:r w:rsidR="00C847A2">
        <w:t>C</w:t>
      </w:r>
      <w:r w:rsidR="00BB432C">
        <w:t>. 2017.</w:t>
      </w:r>
      <w:bookmarkEnd w:id="237"/>
    </w:p>
    <w:tbl>
      <w:tblPr>
        <w:tblW w:w="9071" w:type="dxa"/>
        <w:jc w:val="center"/>
        <w:tblCellMar>
          <w:left w:w="70" w:type="dxa"/>
          <w:right w:w="70" w:type="dxa"/>
        </w:tblCellMar>
        <w:tblLook w:val="04A0" w:firstRow="1" w:lastRow="0" w:firstColumn="1" w:lastColumn="0" w:noHBand="0" w:noVBand="1"/>
      </w:tblPr>
      <w:tblGrid>
        <w:gridCol w:w="2122"/>
        <w:gridCol w:w="752"/>
        <w:gridCol w:w="737"/>
        <w:gridCol w:w="1046"/>
        <w:gridCol w:w="854"/>
        <w:gridCol w:w="932"/>
        <w:gridCol w:w="737"/>
        <w:gridCol w:w="1891"/>
      </w:tblGrid>
      <w:tr w:rsidR="00CC7F99" w:rsidRPr="00CC7F99" w14:paraId="52FC6720" w14:textId="77777777" w:rsidTr="00D74DA1">
        <w:trPr>
          <w:trHeight w:val="300"/>
          <w:jc w:val="center"/>
        </w:trPr>
        <w:tc>
          <w:tcPr>
            <w:tcW w:w="2122" w:type="dxa"/>
            <w:tcBorders>
              <w:top w:val="single" w:sz="4" w:space="0" w:color="auto"/>
            </w:tcBorders>
            <w:shd w:val="clear" w:color="auto" w:fill="auto"/>
            <w:noWrap/>
            <w:vAlign w:val="center"/>
            <w:hideMark/>
          </w:tcPr>
          <w:p w14:paraId="2AD992AF" w14:textId="77777777" w:rsidR="00CC7F99" w:rsidRPr="00CC7F99" w:rsidRDefault="00CC7F99" w:rsidP="00CC7F99">
            <w:pPr>
              <w:autoSpaceDE/>
              <w:autoSpaceDN/>
              <w:adjustRightInd/>
              <w:spacing w:after="0" w:line="360" w:lineRule="auto"/>
              <w:ind w:firstLine="0"/>
              <w:jc w:val="center"/>
              <w:rPr>
                <w:color w:val="000000"/>
              </w:rPr>
            </w:pPr>
          </w:p>
        </w:tc>
        <w:tc>
          <w:tcPr>
            <w:tcW w:w="5058" w:type="dxa"/>
            <w:gridSpan w:val="6"/>
            <w:tcBorders>
              <w:top w:val="single" w:sz="4" w:space="0" w:color="auto"/>
              <w:bottom w:val="single" w:sz="4" w:space="0" w:color="auto"/>
            </w:tcBorders>
            <w:shd w:val="clear" w:color="auto" w:fill="auto"/>
            <w:noWrap/>
            <w:vAlign w:val="center"/>
            <w:hideMark/>
          </w:tcPr>
          <w:p w14:paraId="77DD152B"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 Controle</w:t>
            </w:r>
          </w:p>
        </w:tc>
        <w:tc>
          <w:tcPr>
            <w:tcW w:w="1891" w:type="dxa"/>
            <w:tcBorders>
              <w:top w:val="single" w:sz="4" w:space="0" w:color="auto"/>
              <w:bottom w:val="single" w:sz="4" w:space="0" w:color="auto"/>
            </w:tcBorders>
          </w:tcPr>
          <w:p w14:paraId="77820B67" w14:textId="77777777" w:rsidR="00CC7F99" w:rsidRPr="00CC7F99" w:rsidRDefault="00CC7F99" w:rsidP="00CC7F99">
            <w:pPr>
              <w:autoSpaceDE/>
              <w:autoSpaceDN/>
              <w:adjustRightInd/>
              <w:spacing w:after="0" w:line="360" w:lineRule="auto"/>
              <w:ind w:firstLine="0"/>
              <w:jc w:val="center"/>
              <w:rPr>
                <w:b/>
                <w:bCs/>
                <w:color w:val="000000"/>
              </w:rPr>
            </w:pPr>
          </w:p>
        </w:tc>
      </w:tr>
      <w:tr w:rsidR="00CC7F99" w:rsidRPr="00CC7F99" w14:paraId="19ABE0FF" w14:textId="77777777" w:rsidTr="00D74DA1">
        <w:trPr>
          <w:trHeight w:val="345"/>
          <w:jc w:val="center"/>
        </w:trPr>
        <w:tc>
          <w:tcPr>
            <w:tcW w:w="2122" w:type="dxa"/>
            <w:tcBorders>
              <w:bottom w:val="single" w:sz="4" w:space="0" w:color="auto"/>
            </w:tcBorders>
            <w:shd w:val="clear" w:color="auto" w:fill="auto"/>
            <w:noWrap/>
            <w:vAlign w:val="center"/>
            <w:hideMark/>
          </w:tcPr>
          <w:p w14:paraId="380D2871"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Trat</w:t>
            </w:r>
          </w:p>
        </w:tc>
        <w:tc>
          <w:tcPr>
            <w:tcW w:w="752" w:type="dxa"/>
            <w:tcBorders>
              <w:top w:val="single" w:sz="4" w:space="0" w:color="auto"/>
              <w:bottom w:val="single" w:sz="4" w:space="0" w:color="auto"/>
            </w:tcBorders>
            <w:shd w:val="clear" w:color="auto" w:fill="auto"/>
            <w:noWrap/>
            <w:vAlign w:val="center"/>
            <w:hideMark/>
          </w:tcPr>
          <w:p w14:paraId="6BD54D84"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A</w:t>
            </w:r>
          </w:p>
        </w:tc>
        <w:tc>
          <w:tcPr>
            <w:tcW w:w="737" w:type="dxa"/>
            <w:tcBorders>
              <w:top w:val="single" w:sz="4" w:space="0" w:color="auto"/>
              <w:bottom w:val="single" w:sz="4" w:space="0" w:color="auto"/>
            </w:tcBorders>
            <w:shd w:val="clear" w:color="auto" w:fill="auto"/>
            <w:noWrap/>
            <w:vAlign w:val="center"/>
            <w:hideMark/>
          </w:tcPr>
          <w:p w14:paraId="710BB251"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B</w:t>
            </w:r>
          </w:p>
        </w:tc>
        <w:tc>
          <w:tcPr>
            <w:tcW w:w="1046" w:type="dxa"/>
            <w:tcBorders>
              <w:top w:val="single" w:sz="4" w:space="0" w:color="auto"/>
              <w:bottom w:val="single" w:sz="4" w:space="0" w:color="auto"/>
            </w:tcBorders>
            <w:shd w:val="clear" w:color="auto" w:fill="auto"/>
            <w:noWrap/>
            <w:vAlign w:val="center"/>
            <w:hideMark/>
          </w:tcPr>
          <w:p w14:paraId="68C4C6E2"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C</w:t>
            </w:r>
          </w:p>
        </w:tc>
        <w:tc>
          <w:tcPr>
            <w:tcW w:w="854" w:type="dxa"/>
            <w:tcBorders>
              <w:top w:val="single" w:sz="4" w:space="0" w:color="auto"/>
              <w:bottom w:val="single" w:sz="4" w:space="0" w:color="auto"/>
            </w:tcBorders>
            <w:shd w:val="clear" w:color="auto" w:fill="auto"/>
            <w:noWrap/>
            <w:vAlign w:val="center"/>
            <w:hideMark/>
          </w:tcPr>
          <w:p w14:paraId="600EB6DF"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80%</w:t>
            </w:r>
          </w:p>
        </w:tc>
        <w:tc>
          <w:tcPr>
            <w:tcW w:w="932" w:type="dxa"/>
            <w:tcBorders>
              <w:top w:val="single" w:sz="4" w:space="0" w:color="auto"/>
              <w:bottom w:val="single" w:sz="4" w:space="0" w:color="auto"/>
            </w:tcBorders>
            <w:shd w:val="clear" w:color="auto" w:fill="auto"/>
            <w:noWrap/>
            <w:vAlign w:val="center"/>
            <w:hideMark/>
          </w:tcPr>
          <w:p w14:paraId="2F8A82FF"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50%</w:t>
            </w:r>
          </w:p>
        </w:tc>
        <w:tc>
          <w:tcPr>
            <w:tcW w:w="737" w:type="dxa"/>
            <w:tcBorders>
              <w:top w:val="single" w:sz="4" w:space="0" w:color="auto"/>
              <w:bottom w:val="single" w:sz="4" w:space="0" w:color="auto"/>
            </w:tcBorders>
            <w:shd w:val="clear" w:color="auto" w:fill="auto"/>
            <w:noWrap/>
            <w:vAlign w:val="center"/>
            <w:hideMark/>
          </w:tcPr>
          <w:p w14:paraId="6FD03F62"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R</w:t>
            </w:r>
            <w:r w:rsidRPr="00CC7F99">
              <w:rPr>
                <w:b/>
                <w:bCs/>
                <w:color w:val="000000"/>
                <w:vertAlign w:val="superscript"/>
              </w:rPr>
              <w:t>2</w:t>
            </w:r>
          </w:p>
        </w:tc>
        <w:tc>
          <w:tcPr>
            <w:tcW w:w="1891" w:type="dxa"/>
            <w:tcBorders>
              <w:top w:val="single" w:sz="4" w:space="0" w:color="auto"/>
              <w:bottom w:val="single" w:sz="4" w:space="0" w:color="auto"/>
            </w:tcBorders>
          </w:tcPr>
          <w:p w14:paraId="231C8F22" w14:textId="77777777" w:rsidR="00CC7F99" w:rsidRPr="00CC7F99" w:rsidRDefault="00CC7F99" w:rsidP="00CC7F99">
            <w:pPr>
              <w:autoSpaceDE/>
              <w:autoSpaceDN/>
              <w:adjustRightInd/>
              <w:spacing w:after="0" w:line="360" w:lineRule="auto"/>
              <w:ind w:firstLine="0"/>
              <w:jc w:val="center"/>
              <w:rPr>
                <w:b/>
                <w:bCs/>
                <w:color w:val="000000"/>
              </w:rPr>
            </w:pPr>
            <w:r w:rsidRPr="00CC7F99">
              <w:rPr>
                <w:b/>
                <w:bCs/>
                <w:color w:val="000000"/>
              </w:rPr>
              <w:t xml:space="preserve">Equação </w:t>
            </w:r>
          </w:p>
        </w:tc>
      </w:tr>
      <w:tr w:rsidR="00CC7F99" w:rsidRPr="00CC7F99" w14:paraId="10FD5B23" w14:textId="77777777" w:rsidTr="00D74DA1">
        <w:trPr>
          <w:trHeight w:val="300"/>
          <w:jc w:val="center"/>
        </w:trPr>
        <w:tc>
          <w:tcPr>
            <w:tcW w:w="2122" w:type="dxa"/>
            <w:tcBorders>
              <w:top w:val="single" w:sz="4" w:space="0" w:color="auto"/>
            </w:tcBorders>
            <w:shd w:val="clear" w:color="auto" w:fill="auto"/>
            <w:noWrap/>
            <w:vAlign w:val="center"/>
            <w:hideMark/>
          </w:tcPr>
          <w:p w14:paraId="71E361B6" w14:textId="77777777" w:rsidR="00CC7F99" w:rsidRPr="00CC7F99" w:rsidRDefault="00CC7F99" w:rsidP="00CC7F99">
            <w:pPr>
              <w:autoSpaceDE/>
              <w:autoSpaceDN/>
              <w:adjustRightInd/>
              <w:spacing w:after="0" w:line="360" w:lineRule="auto"/>
              <w:ind w:firstLine="0"/>
              <w:jc w:val="center"/>
              <w:rPr>
                <w:bCs/>
                <w:color w:val="000000"/>
                <w:sz w:val="20"/>
                <w:szCs w:val="20"/>
              </w:rPr>
            </w:pPr>
            <w:r w:rsidRPr="00CC7F99">
              <w:rPr>
                <w:bCs/>
                <w:color w:val="000000"/>
                <w:sz w:val="20"/>
                <w:szCs w:val="20"/>
              </w:rPr>
              <w:t>Flu</w:t>
            </w:r>
          </w:p>
        </w:tc>
        <w:tc>
          <w:tcPr>
            <w:tcW w:w="752" w:type="dxa"/>
            <w:tcBorders>
              <w:top w:val="single" w:sz="4" w:space="0" w:color="auto"/>
            </w:tcBorders>
            <w:shd w:val="clear" w:color="auto" w:fill="auto"/>
            <w:noWrap/>
            <w:vAlign w:val="center"/>
            <w:hideMark/>
          </w:tcPr>
          <w:p w14:paraId="3B288378"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-0,44</w:t>
            </w:r>
          </w:p>
        </w:tc>
        <w:tc>
          <w:tcPr>
            <w:tcW w:w="737" w:type="dxa"/>
            <w:tcBorders>
              <w:top w:val="single" w:sz="4" w:space="0" w:color="auto"/>
            </w:tcBorders>
            <w:shd w:val="clear" w:color="auto" w:fill="auto"/>
            <w:noWrap/>
            <w:vAlign w:val="center"/>
            <w:hideMark/>
          </w:tcPr>
          <w:p w14:paraId="1C487248"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95,4</w:t>
            </w:r>
          </w:p>
        </w:tc>
        <w:tc>
          <w:tcPr>
            <w:tcW w:w="1046" w:type="dxa"/>
            <w:tcBorders>
              <w:top w:val="single" w:sz="4" w:space="0" w:color="auto"/>
            </w:tcBorders>
            <w:shd w:val="clear" w:color="auto" w:fill="auto"/>
            <w:noWrap/>
            <w:vAlign w:val="center"/>
            <w:hideMark/>
          </w:tcPr>
          <w:p w14:paraId="2254E5E9"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-10,6</w:t>
            </w:r>
          </w:p>
        </w:tc>
        <w:tc>
          <w:tcPr>
            <w:tcW w:w="854" w:type="dxa"/>
            <w:tcBorders>
              <w:top w:val="single" w:sz="4" w:space="0" w:color="auto"/>
            </w:tcBorders>
            <w:shd w:val="clear" w:color="auto" w:fill="auto"/>
            <w:noWrap/>
            <w:vAlign w:val="center"/>
            <w:hideMark/>
          </w:tcPr>
          <w:p w14:paraId="2E04E680"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35,0</w:t>
            </w:r>
          </w:p>
        </w:tc>
        <w:tc>
          <w:tcPr>
            <w:tcW w:w="932" w:type="dxa"/>
            <w:tcBorders>
              <w:top w:val="single" w:sz="4" w:space="0" w:color="auto"/>
            </w:tcBorders>
            <w:shd w:val="clear" w:color="auto" w:fill="auto"/>
            <w:noWrap/>
            <w:vAlign w:val="center"/>
            <w:hideMark/>
          </w:tcPr>
          <w:p w14:paraId="0D0B8196"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103,3</w:t>
            </w:r>
          </w:p>
        </w:tc>
        <w:tc>
          <w:tcPr>
            <w:tcW w:w="737" w:type="dxa"/>
            <w:tcBorders>
              <w:top w:val="single" w:sz="4" w:space="0" w:color="auto"/>
            </w:tcBorders>
            <w:shd w:val="clear" w:color="auto" w:fill="auto"/>
            <w:noWrap/>
            <w:vAlign w:val="center"/>
            <w:hideMark/>
          </w:tcPr>
          <w:p w14:paraId="0D771D1B"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0,84</w:t>
            </w:r>
          </w:p>
        </w:tc>
        <w:tc>
          <w:tcPr>
            <w:tcW w:w="1891" w:type="dxa"/>
            <w:tcBorders>
              <w:top w:val="single" w:sz="4" w:space="0" w:color="auto"/>
            </w:tcBorders>
          </w:tcPr>
          <w:p w14:paraId="2DA43E78"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Y= 0,44x +95,4</w:t>
            </w:r>
          </w:p>
        </w:tc>
      </w:tr>
      <w:tr w:rsidR="00CC7F99" w:rsidRPr="00CC7F99" w14:paraId="10B3AFFA" w14:textId="77777777" w:rsidTr="00D74DA1">
        <w:trPr>
          <w:trHeight w:val="300"/>
          <w:jc w:val="center"/>
        </w:trPr>
        <w:tc>
          <w:tcPr>
            <w:tcW w:w="2122" w:type="dxa"/>
            <w:tcBorders>
              <w:bottom w:val="single" w:sz="4" w:space="0" w:color="auto"/>
            </w:tcBorders>
            <w:shd w:val="clear" w:color="auto" w:fill="auto"/>
            <w:noWrap/>
            <w:vAlign w:val="center"/>
            <w:hideMark/>
          </w:tcPr>
          <w:p w14:paraId="629E0383" w14:textId="77777777" w:rsidR="00CC7F99" w:rsidRPr="00CC7F99" w:rsidRDefault="00CC7F99" w:rsidP="00CC7F99">
            <w:pPr>
              <w:autoSpaceDE/>
              <w:autoSpaceDN/>
              <w:adjustRightInd/>
              <w:spacing w:after="0" w:line="360" w:lineRule="auto"/>
              <w:ind w:firstLine="0"/>
              <w:jc w:val="center"/>
              <w:rPr>
                <w:bCs/>
                <w:color w:val="000000"/>
                <w:sz w:val="20"/>
                <w:szCs w:val="20"/>
              </w:rPr>
            </w:pPr>
            <w:r w:rsidRPr="00CC7F99">
              <w:rPr>
                <w:bCs/>
                <w:color w:val="000000"/>
                <w:sz w:val="20"/>
                <w:szCs w:val="20"/>
              </w:rPr>
              <w:t>Bix</w:t>
            </w:r>
          </w:p>
        </w:tc>
        <w:tc>
          <w:tcPr>
            <w:tcW w:w="752" w:type="dxa"/>
            <w:tcBorders>
              <w:bottom w:val="single" w:sz="4" w:space="0" w:color="auto"/>
            </w:tcBorders>
            <w:shd w:val="clear" w:color="auto" w:fill="auto"/>
            <w:noWrap/>
            <w:vAlign w:val="center"/>
            <w:hideMark/>
          </w:tcPr>
          <w:p w14:paraId="62F9A276"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-0,37</w:t>
            </w:r>
          </w:p>
        </w:tc>
        <w:tc>
          <w:tcPr>
            <w:tcW w:w="737" w:type="dxa"/>
            <w:tcBorders>
              <w:bottom w:val="single" w:sz="4" w:space="0" w:color="auto"/>
            </w:tcBorders>
            <w:shd w:val="clear" w:color="auto" w:fill="auto"/>
            <w:noWrap/>
            <w:vAlign w:val="center"/>
            <w:hideMark/>
          </w:tcPr>
          <w:p w14:paraId="1DDA7BF6"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49,7</w:t>
            </w:r>
          </w:p>
        </w:tc>
        <w:tc>
          <w:tcPr>
            <w:tcW w:w="1046" w:type="dxa"/>
            <w:tcBorders>
              <w:bottom w:val="single" w:sz="4" w:space="0" w:color="auto"/>
            </w:tcBorders>
            <w:shd w:val="clear" w:color="auto" w:fill="auto"/>
            <w:noWrap/>
            <w:vAlign w:val="center"/>
            <w:hideMark/>
          </w:tcPr>
          <w:p w14:paraId="61D23FD7"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 xml:space="preserve">  -8,9</w:t>
            </w:r>
          </w:p>
        </w:tc>
        <w:tc>
          <w:tcPr>
            <w:tcW w:w="854" w:type="dxa"/>
            <w:tcBorders>
              <w:bottom w:val="single" w:sz="4" w:space="0" w:color="auto"/>
            </w:tcBorders>
            <w:shd w:val="clear" w:color="auto" w:fill="auto"/>
            <w:noWrap/>
            <w:vAlign w:val="center"/>
            <w:hideMark/>
          </w:tcPr>
          <w:p w14:paraId="59E81324" w14:textId="77777777" w:rsidR="00CC7F99" w:rsidRPr="00CC7F99" w:rsidRDefault="00CC7F99" w:rsidP="00CC7F99">
            <w:pPr>
              <w:autoSpaceDE/>
              <w:autoSpaceDN/>
              <w:adjustRightInd/>
              <w:spacing w:after="0" w:line="360" w:lineRule="auto"/>
              <w:ind w:firstLine="0"/>
              <w:jc w:val="left"/>
              <w:rPr>
                <w:color w:val="000000"/>
                <w:sz w:val="20"/>
                <w:szCs w:val="20"/>
              </w:rPr>
            </w:pPr>
            <w:r w:rsidRPr="00CC7F99">
              <w:rPr>
                <w:sz w:val="20"/>
                <w:szCs w:val="20"/>
              </w:rPr>
              <w:t>&lt;-48,0</w:t>
            </w:r>
          </w:p>
        </w:tc>
        <w:tc>
          <w:tcPr>
            <w:tcW w:w="932" w:type="dxa"/>
            <w:tcBorders>
              <w:bottom w:val="single" w:sz="4" w:space="0" w:color="auto"/>
            </w:tcBorders>
            <w:shd w:val="clear" w:color="auto" w:fill="auto"/>
            <w:noWrap/>
            <w:vAlign w:val="center"/>
            <w:hideMark/>
          </w:tcPr>
          <w:p w14:paraId="37332578"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 xml:space="preserve">   -0,7</w:t>
            </w:r>
          </w:p>
        </w:tc>
        <w:tc>
          <w:tcPr>
            <w:tcW w:w="737" w:type="dxa"/>
            <w:tcBorders>
              <w:bottom w:val="single" w:sz="4" w:space="0" w:color="auto"/>
            </w:tcBorders>
            <w:shd w:val="clear" w:color="auto" w:fill="auto"/>
            <w:noWrap/>
            <w:vAlign w:val="center"/>
            <w:hideMark/>
          </w:tcPr>
          <w:p w14:paraId="40313AD2"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0,90</w:t>
            </w:r>
          </w:p>
        </w:tc>
        <w:tc>
          <w:tcPr>
            <w:tcW w:w="1891" w:type="dxa"/>
            <w:tcBorders>
              <w:bottom w:val="single" w:sz="4" w:space="0" w:color="auto"/>
            </w:tcBorders>
          </w:tcPr>
          <w:p w14:paraId="3BAA560B"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Y= 0,37x +49,7</w:t>
            </w:r>
          </w:p>
        </w:tc>
      </w:tr>
      <w:tr w:rsidR="00CC7F99" w:rsidRPr="00CC7F99" w14:paraId="56C0A26B" w14:textId="77777777" w:rsidTr="00D74DA1">
        <w:trPr>
          <w:trHeight w:val="300"/>
          <w:jc w:val="center"/>
        </w:trPr>
        <w:tc>
          <w:tcPr>
            <w:tcW w:w="2122" w:type="dxa"/>
            <w:tcBorders>
              <w:top w:val="single" w:sz="4" w:space="0" w:color="auto"/>
              <w:bottom w:val="single" w:sz="4" w:space="0" w:color="auto"/>
            </w:tcBorders>
            <w:shd w:val="clear" w:color="auto" w:fill="auto"/>
            <w:noWrap/>
            <w:vAlign w:val="center"/>
            <w:hideMark/>
          </w:tcPr>
          <w:p w14:paraId="5872C457" w14:textId="77777777" w:rsidR="00CC7F99" w:rsidRPr="00CC7F99" w:rsidRDefault="00CC7F99" w:rsidP="00CC7F99">
            <w:pPr>
              <w:autoSpaceDE/>
              <w:autoSpaceDN/>
              <w:adjustRightInd/>
              <w:spacing w:after="0" w:line="360" w:lineRule="auto"/>
              <w:ind w:firstLine="0"/>
              <w:jc w:val="center"/>
              <w:rPr>
                <w:b/>
                <w:bCs/>
                <w:color w:val="000000"/>
                <w:sz w:val="20"/>
                <w:szCs w:val="20"/>
              </w:rPr>
            </w:pPr>
            <w:r w:rsidRPr="00CC7F99">
              <w:rPr>
                <w:b/>
                <w:bCs/>
                <w:color w:val="000000"/>
                <w:sz w:val="20"/>
                <w:szCs w:val="20"/>
              </w:rPr>
              <w:t>Média</w:t>
            </w:r>
          </w:p>
        </w:tc>
        <w:tc>
          <w:tcPr>
            <w:tcW w:w="752" w:type="dxa"/>
            <w:tcBorders>
              <w:top w:val="single" w:sz="4" w:space="0" w:color="auto"/>
              <w:bottom w:val="single" w:sz="4" w:space="0" w:color="auto"/>
            </w:tcBorders>
            <w:shd w:val="clear" w:color="auto" w:fill="auto"/>
            <w:noWrap/>
            <w:vAlign w:val="center"/>
            <w:hideMark/>
          </w:tcPr>
          <w:p w14:paraId="45E31220"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-0,40</w:t>
            </w:r>
          </w:p>
        </w:tc>
        <w:tc>
          <w:tcPr>
            <w:tcW w:w="737" w:type="dxa"/>
            <w:tcBorders>
              <w:top w:val="single" w:sz="4" w:space="0" w:color="auto"/>
              <w:bottom w:val="single" w:sz="4" w:space="0" w:color="auto"/>
            </w:tcBorders>
            <w:shd w:val="clear" w:color="auto" w:fill="auto"/>
            <w:noWrap/>
            <w:vAlign w:val="center"/>
            <w:hideMark/>
          </w:tcPr>
          <w:p w14:paraId="333B2B45"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72,6</w:t>
            </w:r>
          </w:p>
        </w:tc>
        <w:tc>
          <w:tcPr>
            <w:tcW w:w="1046" w:type="dxa"/>
            <w:tcBorders>
              <w:top w:val="single" w:sz="4" w:space="0" w:color="auto"/>
              <w:bottom w:val="single" w:sz="4" w:space="0" w:color="auto"/>
            </w:tcBorders>
            <w:shd w:val="clear" w:color="auto" w:fill="auto"/>
            <w:noWrap/>
            <w:vAlign w:val="center"/>
            <w:hideMark/>
          </w:tcPr>
          <w:p w14:paraId="7FF7C124"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 xml:space="preserve">  -9,7</w:t>
            </w:r>
          </w:p>
        </w:tc>
        <w:tc>
          <w:tcPr>
            <w:tcW w:w="854" w:type="dxa"/>
            <w:tcBorders>
              <w:top w:val="single" w:sz="4" w:space="0" w:color="auto"/>
              <w:bottom w:val="single" w:sz="4" w:space="0" w:color="auto"/>
            </w:tcBorders>
            <w:shd w:val="clear" w:color="auto" w:fill="auto"/>
            <w:noWrap/>
            <w:vAlign w:val="center"/>
            <w:hideMark/>
          </w:tcPr>
          <w:p w14:paraId="5EB9826E"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-18,4</w:t>
            </w:r>
          </w:p>
        </w:tc>
        <w:tc>
          <w:tcPr>
            <w:tcW w:w="932" w:type="dxa"/>
            <w:tcBorders>
              <w:top w:val="single" w:sz="4" w:space="0" w:color="auto"/>
              <w:bottom w:val="single" w:sz="4" w:space="0" w:color="auto"/>
            </w:tcBorders>
            <w:shd w:val="clear" w:color="auto" w:fill="auto"/>
            <w:noWrap/>
            <w:vAlign w:val="center"/>
            <w:hideMark/>
          </w:tcPr>
          <w:p w14:paraId="0DCD95A6"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 xml:space="preserve">  55,8</w:t>
            </w:r>
          </w:p>
        </w:tc>
        <w:tc>
          <w:tcPr>
            <w:tcW w:w="737" w:type="dxa"/>
            <w:tcBorders>
              <w:top w:val="single" w:sz="4" w:space="0" w:color="auto"/>
              <w:bottom w:val="single" w:sz="4" w:space="0" w:color="auto"/>
            </w:tcBorders>
            <w:shd w:val="clear" w:color="auto" w:fill="auto"/>
            <w:noWrap/>
            <w:vAlign w:val="center"/>
            <w:hideMark/>
          </w:tcPr>
          <w:p w14:paraId="22F2B30F" w14:textId="77777777" w:rsidR="00CC7F99" w:rsidRPr="00CC7F99" w:rsidRDefault="00CC7F99" w:rsidP="00CC7F99">
            <w:pPr>
              <w:autoSpaceDE/>
              <w:autoSpaceDN/>
              <w:adjustRightInd/>
              <w:spacing w:after="0" w:line="360" w:lineRule="auto"/>
              <w:ind w:firstLine="0"/>
              <w:jc w:val="center"/>
              <w:rPr>
                <w:color w:val="000000"/>
                <w:sz w:val="20"/>
                <w:szCs w:val="20"/>
              </w:rPr>
            </w:pPr>
            <w:r w:rsidRPr="00CC7F99">
              <w:rPr>
                <w:color w:val="000000"/>
                <w:sz w:val="20"/>
                <w:szCs w:val="20"/>
              </w:rPr>
              <w:t>0,98</w:t>
            </w:r>
          </w:p>
        </w:tc>
        <w:tc>
          <w:tcPr>
            <w:tcW w:w="1891" w:type="dxa"/>
            <w:tcBorders>
              <w:top w:val="single" w:sz="4" w:space="0" w:color="auto"/>
              <w:bottom w:val="single" w:sz="4" w:space="0" w:color="auto"/>
            </w:tcBorders>
          </w:tcPr>
          <w:p w14:paraId="53CC114D" w14:textId="77777777" w:rsidR="00CC7F99" w:rsidRPr="00CC7F99" w:rsidRDefault="00CC7F99" w:rsidP="00CC7F99">
            <w:pPr>
              <w:autoSpaceDE/>
              <w:autoSpaceDN/>
              <w:adjustRightInd/>
              <w:spacing w:after="0" w:line="360" w:lineRule="auto"/>
              <w:ind w:firstLine="0"/>
              <w:jc w:val="center"/>
              <w:rPr>
                <w:color w:val="000000"/>
                <w:sz w:val="20"/>
                <w:szCs w:val="20"/>
              </w:rPr>
            </w:pPr>
          </w:p>
        </w:tc>
      </w:tr>
    </w:tbl>
    <w:p w14:paraId="3723CED8" w14:textId="77777777" w:rsidR="00CC7F99" w:rsidRPr="00CC7F99" w:rsidRDefault="00CC7F99" w:rsidP="00516785">
      <w:pPr>
        <w:autoSpaceDE/>
        <w:autoSpaceDN/>
        <w:adjustRightInd/>
        <w:spacing w:after="0" w:line="360" w:lineRule="auto"/>
        <w:ind w:right="-1" w:firstLine="0"/>
        <w:rPr>
          <w:color w:val="231F20"/>
          <w:sz w:val="16"/>
          <w:szCs w:val="16"/>
        </w:rPr>
      </w:pPr>
      <w:r w:rsidRPr="00CC7F99">
        <w:rPr>
          <w:color w:val="231F20"/>
          <w:sz w:val="16"/>
          <w:szCs w:val="16"/>
        </w:rPr>
        <w:t xml:space="preserve">A) </w:t>
      </w:r>
      <w:r w:rsidRPr="00CC7F99">
        <w:rPr>
          <w:sz w:val="16"/>
          <w:szCs w:val="16"/>
        </w:rPr>
        <w:t>Redução de % de controle da FAS por hora de atraso da aplicação após a inoculação do fungo</w:t>
      </w:r>
      <w:r w:rsidRPr="00CC7F99">
        <w:rPr>
          <w:color w:val="231F20"/>
          <w:sz w:val="16"/>
          <w:szCs w:val="16"/>
        </w:rPr>
        <w:t xml:space="preserve">; B) </w:t>
      </w:r>
      <w:r w:rsidRPr="00CC7F99">
        <w:rPr>
          <w:sz w:val="16"/>
          <w:szCs w:val="16"/>
        </w:rPr>
        <w:t>% de controle da FAS quando os fungicidas são aplicados no momento da inoculação</w:t>
      </w:r>
      <w:r w:rsidRPr="00CC7F99">
        <w:rPr>
          <w:color w:val="231F20"/>
          <w:sz w:val="16"/>
          <w:szCs w:val="16"/>
        </w:rPr>
        <w:t xml:space="preserve">; C) </w:t>
      </w:r>
      <w:r w:rsidRPr="00CC7F99">
        <w:rPr>
          <w:sz w:val="16"/>
          <w:szCs w:val="16"/>
        </w:rPr>
        <w:t>Redução de % de controle da FAS por dia de atraso da aplicação após a inoculação do fungo</w:t>
      </w:r>
      <w:r w:rsidRPr="00CC7F99">
        <w:rPr>
          <w:color w:val="231F20"/>
          <w:sz w:val="16"/>
          <w:szCs w:val="16"/>
        </w:rPr>
        <w:t xml:space="preserve">; 80%) </w:t>
      </w:r>
      <w:r w:rsidRPr="00CC7F99">
        <w:rPr>
          <w:sz w:val="16"/>
          <w:szCs w:val="16"/>
        </w:rPr>
        <w:t>Número de horas após a inoculação do fungo em que o fungicida obtem 80 % de controle</w:t>
      </w:r>
      <w:r w:rsidRPr="00CC7F99">
        <w:rPr>
          <w:color w:val="231F20"/>
          <w:sz w:val="16"/>
          <w:szCs w:val="16"/>
        </w:rPr>
        <w:t xml:space="preserve">; 50%) </w:t>
      </w:r>
      <w:r w:rsidRPr="00CC7F99">
        <w:rPr>
          <w:sz w:val="16"/>
          <w:szCs w:val="16"/>
        </w:rPr>
        <w:t>Número de horas após a inoculação do fungo em que o fungicida obtem 80 % de controle</w:t>
      </w:r>
      <w:r w:rsidRPr="00CC7F99">
        <w:rPr>
          <w:color w:val="231F20"/>
          <w:sz w:val="16"/>
          <w:szCs w:val="16"/>
        </w:rPr>
        <w:t>; R</w:t>
      </w:r>
      <w:r w:rsidRPr="00CC7F99">
        <w:rPr>
          <w:color w:val="231F20"/>
          <w:sz w:val="16"/>
          <w:szCs w:val="16"/>
          <w:vertAlign w:val="superscript"/>
        </w:rPr>
        <w:t>2</w:t>
      </w:r>
      <w:r w:rsidRPr="00CC7F99">
        <w:rPr>
          <w:color w:val="231F20"/>
          <w:sz w:val="16"/>
          <w:szCs w:val="16"/>
        </w:rPr>
        <w:t>) Coeficiente de determinação; Equação) Equação obtida através da análise de regressão linear.</w:t>
      </w:r>
    </w:p>
    <w:p w14:paraId="0EB7BAD4" w14:textId="77777777" w:rsidR="00605D51" w:rsidRDefault="00605D51" w:rsidP="00516785">
      <w:pPr>
        <w:ind w:right="-1" w:firstLine="0"/>
      </w:pPr>
    </w:p>
    <w:p w14:paraId="54823324" w14:textId="2B304298" w:rsidR="00CA356F" w:rsidRDefault="00CA356F" w:rsidP="0005468C"/>
    <w:p w14:paraId="75778DB8" w14:textId="77777777" w:rsidR="00BB432C" w:rsidRPr="00B7238F" w:rsidRDefault="00BB432C" w:rsidP="0005468C"/>
    <w:p w14:paraId="3D52DCCC" w14:textId="23334A53" w:rsidR="00FC0AE5" w:rsidRPr="00B7238F" w:rsidRDefault="00AB5BDD" w:rsidP="00516785">
      <w:pPr>
        <w:pStyle w:val="Ttulo3"/>
        <w:spacing w:before="0" w:after="0" w:line="360" w:lineRule="auto"/>
      </w:pPr>
      <w:bookmarkStart w:id="238" w:name="_Toc516580502"/>
      <w:bookmarkStart w:id="239" w:name="_Toc517105677"/>
      <w:bookmarkStart w:id="240" w:name="_Toc22568266"/>
      <w:r w:rsidRPr="00B7238F">
        <w:t xml:space="preserve">5.4.2 </w:t>
      </w:r>
      <w:bookmarkEnd w:id="238"/>
      <w:bookmarkEnd w:id="239"/>
      <w:r w:rsidR="00BB432C">
        <w:t>M</w:t>
      </w:r>
      <w:r w:rsidR="00BB432C" w:rsidRPr="00B7238F">
        <w:t>isturas de carboxamidas</w:t>
      </w:r>
      <w:bookmarkEnd w:id="240"/>
    </w:p>
    <w:p w14:paraId="75618DDC" w14:textId="77777777" w:rsidR="00BB432C" w:rsidRDefault="00BB432C" w:rsidP="00516785">
      <w:pPr>
        <w:spacing w:after="0" w:line="360" w:lineRule="auto"/>
      </w:pPr>
    </w:p>
    <w:p w14:paraId="7236D35A" w14:textId="77777777" w:rsidR="00BB432C" w:rsidRDefault="00C003E4" w:rsidP="00516785">
      <w:pPr>
        <w:spacing w:after="0" w:line="360" w:lineRule="auto"/>
      </w:pPr>
      <w:r w:rsidRPr="00B7238F">
        <w:t>Os dados apresentados e discutidos abaixo são formados pela média dos dois experimentos, em virtude de não ter ocorrido interação estatística entre experimentos.</w:t>
      </w:r>
    </w:p>
    <w:p w14:paraId="33BCD1AE" w14:textId="22AF174C" w:rsidR="00C003E4" w:rsidRDefault="00C003E4" w:rsidP="00516785">
      <w:pPr>
        <w:spacing w:after="0" w:line="360" w:lineRule="auto"/>
        <w:rPr>
          <w:color w:val="000000" w:themeColor="text1"/>
        </w:rPr>
      </w:pPr>
      <w:r w:rsidRPr="00B7238F">
        <w:t xml:space="preserve">O comportamento de mistura de ingredientes ativos de fungicidas mostrou interação estatística com os momentos de aplicação, indicando que o aumento do número de horas após a inoculação do fungo proporcionou incremento significativo da severidade de FAS </w:t>
      </w:r>
      <w:r w:rsidRPr="00B7238F">
        <w:rPr>
          <w:color w:val="000000" w:themeColor="text1"/>
        </w:rPr>
        <w:t xml:space="preserve">(Tabela 5). </w:t>
      </w:r>
    </w:p>
    <w:p w14:paraId="321D95E7" w14:textId="77777777" w:rsidR="00516785" w:rsidRDefault="00516785" w:rsidP="00516785">
      <w:pPr>
        <w:spacing w:after="0" w:line="360" w:lineRule="auto"/>
        <w:rPr>
          <w:color w:val="000000" w:themeColor="text1"/>
        </w:rPr>
      </w:pPr>
    </w:p>
    <w:p w14:paraId="45266E81" w14:textId="04AA84C0" w:rsidR="00ED0A8E" w:rsidRDefault="00ED0A8E" w:rsidP="00ED0A8E">
      <w:pPr>
        <w:pStyle w:val="Legenda"/>
        <w:keepNext/>
        <w:ind w:firstLine="0"/>
      </w:pPr>
      <w:bookmarkStart w:id="241" w:name="_Toc16173041"/>
      <w:r>
        <w:t xml:space="preserve">Tabela </w:t>
      </w:r>
      <w:r w:rsidR="00D00510">
        <w:fldChar w:fldCharType="begin"/>
      </w:r>
      <w:r w:rsidR="00D00510">
        <w:instrText xml:space="preserve"> SEQ Tabela \* ARABIC </w:instrText>
      </w:r>
      <w:r w:rsidR="00D00510">
        <w:fldChar w:fldCharType="separate"/>
      </w:r>
      <w:r w:rsidR="002D15F8">
        <w:rPr>
          <w:noProof/>
        </w:rPr>
        <w:t>5</w:t>
      </w:r>
      <w:r w:rsidR="00D00510">
        <w:rPr>
          <w:noProof/>
        </w:rPr>
        <w:fldChar w:fldCharType="end"/>
      </w:r>
      <w:r>
        <w:t xml:space="preserve">. </w:t>
      </w:r>
      <w:r w:rsidRPr="00867F14">
        <w:t>Número de lesões.cm-2 de ferrugem asiática da soja em folíolos trifoliolados com diferentes momentos de aplicação de carboxamidas em mistura com estrobilurinas, triazóis, triazolinthione e ditiocarbamato. Lages, SC. 2017.</w:t>
      </w:r>
      <w:bookmarkEnd w:id="241"/>
    </w:p>
    <w:tbl>
      <w:tblPr>
        <w:tblW w:w="9037" w:type="dxa"/>
        <w:jc w:val="center"/>
        <w:tblCellMar>
          <w:left w:w="70" w:type="dxa"/>
          <w:right w:w="70" w:type="dxa"/>
        </w:tblCellMar>
        <w:tblLook w:val="04A0" w:firstRow="1" w:lastRow="0" w:firstColumn="1" w:lastColumn="0" w:noHBand="0" w:noVBand="1"/>
      </w:tblPr>
      <w:tblGrid>
        <w:gridCol w:w="1899"/>
        <w:gridCol w:w="1019"/>
        <w:gridCol w:w="1165"/>
        <w:gridCol w:w="1020"/>
        <w:gridCol w:w="873"/>
        <w:gridCol w:w="1019"/>
        <w:gridCol w:w="1020"/>
        <w:gridCol w:w="1022"/>
      </w:tblGrid>
      <w:tr w:rsidR="00340380" w:rsidRPr="00340380" w14:paraId="56A2E949" w14:textId="77777777" w:rsidTr="00516785">
        <w:trPr>
          <w:trHeight w:val="336"/>
          <w:jc w:val="center"/>
        </w:trPr>
        <w:tc>
          <w:tcPr>
            <w:tcW w:w="1899" w:type="dxa"/>
            <w:vMerge w:val="restart"/>
            <w:tcBorders>
              <w:top w:val="single" w:sz="4" w:space="0" w:color="auto"/>
              <w:bottom w:val="single" w:sz="4" w:space="0" w:color="auto"/>
            </w:tcBorders>
            <w:shd w:val="clear" w:color="auto" w:fill="auto"/>
            <w:noWrap/>
            <w:vAlign w:val="center"/>
            <w:hideMark/>
          </w:tcPr>
          <w:p w14:paraId="4186027B"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Tratamentos</w:t>
            </w:r>
          </w:p>
        </w:tc>
        <w:tc>
          <w:tcPr>
            <w:tcW w:w="1019" w:type="dxa"/>
            <w:tcBorders>
              <w:top w:val="single" w:sz="4" w:space="0" w:color="auto"/>
              <w:bottom w:val="single" w:sz="4" w:space="0" w:color="auto"/>
            </w:tcBorders>
            <w:shd w:val="clear" w:color="auto" w:fill="auto"/>
            <w:noWrap/>
            <w:vAlign w:val="center"/>
            <w:hideMark/>
          </w:tcPr>
          <w:p w14:paraId="4D19F5B6"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M1</w:t>
            </w:r>
          </w:p>
        </w:tc>
        <w:tc>
          <w:tcPr>
            <w:tcW w:w="1165" w:type="dxa"/>
            <w:tcBorders>
              <w:top w:val="single" w:sz="4" w:space="0" w:color="auto"/>
              <w:bottom w:val="single" w:sz="4" w:space="0" w:color="auto"/>
            </w:tcBorders>
            <w:shd w:val="clear" w:color="auto" w:fill="auto"/>
            <w:noWrap/>
            <w:vAlign w:val="center"/>
            <w:hideMark/>
          </w:tcPr>
          <w:p w14:paraId="77F41677"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M2</w:t>
            </w:r>
          </w:p>
        </w:tc>
        <w:tc>
          <w:tcPr>
            <w:tcW w:w="1020" w:type="dxa"/>
            <w:tcBorders>
              <w:top w:val="single" w:sz="4" w:space="0" w:color="auto"/>
              <w:bottom w:val="single" w:sz="4" w:space="0" w:color="auto"/>
            </w:tcBorders>
            <w:shd w:val="clear" w:color="auto" w:fill="auto"/>
            <w:noWrap/>
            <w:vAlign w:val="center"/>
            <w:hideMark/>
          </w:tcPr>
          <w:p w14:paraId="6A0EBAC7"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M3</w:t>
            </w:r>
          </w:p>
        </w:tc>
        <w:tc>
          <w:tcPr>
            <w:tcW w:w="873" w:type="dxa"/>
            <w:tcBorders>
              <w:top w:val="single" w:sz="4" w:space="0" w:color="auto"/>
              <w:bottom w:val="single" w:sz="4" w:space="0" w:color="auto"/>
            </w:tcBorders>
            <w:shd w:val="clear" w:color="auto" w:fill="auto"/>
            <w:noWrap/>
            <w:vAlign w:val="center"/>
            <w:hideMark/>
          </w:tcPr>
          <w:p w14:paraId="522065B1"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M4</w:t>
            </w:r>
          </w:p>
        </w:tc>
        <w:tc>
          <w:tcPr>
            <w:tcW w:w="1019" w:type="dxa"/>
            <w:tcBorders>
              <w:top w:val="single" w:sz="4" w:space="0" w:color="auto"/>
              <w:bottom w:val="single" w:sz="4" w:space="0" w:color="auto"/>
            </w:tcBorders>
            <w:shd w:val="clear" w:color="auto" w:fill="auto"/>
            <w:noWrap/>
            <w:vAlign w:val="center"/>
            <w:hideMark/>
          </w:tcPr>
          <w:p w14:paraId="3FEA2BBD"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M5</w:t>
            </w:r>
          </w:p>
        </w:tc>
        <w:tc>
          <w:tcPr>
            <w:tcW w:w="1020" w:type="dxa"/>
            <w:tcBorders>
              <w:top w:val="single" w:sz="4" w:space="0" w:color="auto"/>
              <w:bottom w:val="single" w:sz="4" w:space="0" w:color="auto"/>
            </w:tcBorders>
            <w:shd w:val="clear" w:color="auto" w:fill="auto"/>
            <w:noWrap/>
            <w:vAlign w:val="center"/>
            <w:hideMark/>
          </w:tcPr>
          <w:p w14:paraId="159CD5D8"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M6</w:t>
            </w:r>
          </w:p>
        </w:tc>
        <w:tc>
          <w:tcPr>
            <w:tcW w:w="1019" w:type="dxa"/>
            <w:tcBorders>
              <w:top w:val="single" w:sz="4" w:space="0" w:color="auto"/>
              <w:bottom w:val="single" w:sz="4" w:space="0" w:color="auto"/>
            </w:tcBorders>
            <w:shd w:val="clear" w:color="auto" w:fill="auto"/>
            <w:noWrap/>
            <w:vAlign w:val="center"/>
            <w:hideMark/>
          </w:tcPr>
          <w:p w14:paraId="3CC46D53" w14:textId="77777777" w:rsidR="00340380" w:rsidRPr="00340380" w:rsidRDefault="00340380" w:rsidP="00340380">
            <w:pPr>
              <w:autoSpaceDE/>
              <w:autoSpaceDN/>
              <w:adjustRightInd/>
              <w:spacing w:after="0" w:line="360" w:lineRule="auto"/>
              <w:ind w:firstLine="0"/>
              <w:jc w:val="center"/>
              <w:rPr>
                <w:b/>
                <w:bCs/>
                <w:color w:val="000000"/>
              </w:rPr>
            </w:pPr>
            <w:r w:rsidRPr="00340380">
              <w:rPr>
                <w:b/>
                <w:bCs/>
                <w:color w:val="000000"/>
              </w:rPr>
              <w:t>Média</w:t>
            </w:r>
          </w:p>
        </w:tc>
      </w:tr>
      <w:tr w:rsidR="00340380" w:rsidRPr="00340380" w14:paraId="5D166B98" w14:textId="77777777" w:rsidTr="00516785">
        <w:trPr>
          <w:trHeight w:val="387"/>
          <w:jc w:val="center"/>
        </w:trPr>
        <w:tc>
          <w:tcPr>
            <w:tcW w:w="1899" w:type="dxa"/>
            <w:vMerge/>
            <w:tcBorders>
              <w:top w:val="single" w:sz="4" w:space="0" w:color="auto"/>
              <w:bottom w:val="single" w:sz="4" w:space="0" w:color="auto"/>
            </w:tcBorders>
            <w:vAlign w:val="center"/>
            <w:hideMark/>
          </w:tcPr>
          <w:p w14:paraId="42DC7115" w14:textId="77777777" w:rsidR="00340380" w:rsidRPr="00340380" w:rsidRDefault="00340380" w:rsidP="00340380">
            <w:pPr>
              <w:autoSpaceDE/>
              <w:autoSpaceDN/>
              <w:adjustRightInd/>
              <w:spacing w:after="0" w:line="360" w:lineRule="auto"/>
              <w:ind w:firstLine="0"/>
              <w:jc w:val="center"/>
              <w:rPr>
                <w:b/>
                <w:bCs/>
                <w:color w:val="000000"/>
              </w:rPr>
            </w:pPr>
          </w:p>
        </w:tc>
        <w:tc>
          <w:tcPr>
            <w:tcW w:w="7138" w:type="dxa"/>
            <w:gridSpan w:val="7"/>
            <w:tcBorders>
              <w:top w:val="single" w:sz="4" w:space="0" w:color="auto"/>
              <w:bottom w:val="single" w:sz="4" w:space="0" w:color="auto"/>
            </w:tcBorders>
            <w:shd w:val="clear" w:color="auto" w:fill="auto"/>
            <w:noWrap/>
            <w:vAlign w:val="center"/>
            <w:hideMark/>
          </w:tcPr>
          <w:p w14:paraId="1DEB0B1F" w14:textId="77777777" w:rsidR="00340380" w:rsidRPr="00340380" w:rsidRDefault="00340380" w:rsidP="00340380">
            <w:pPr>
              <w:autoSpaceDE/>
              <w:autoSpaceDN/>
              <w:adjustRightInd/>
              <w:spacing w:after="0" w:line="276" w:lineRule="auto"/>
              <w:ind w:firstLine="0"/>
              <w:jc w:val="center"/>
              <w:rPr>
                <w:b/>
                <w:bCs/>
                <w:color w:val="000000"/>
              </w:rPr>
            </w:pPr>
            <w:r w:rsidRPr="00340380">
              <w:t>Lesões.cm</w:t>
            </w:r>
            <w:r w:rsidRPr="00340380">
              <w:rPr>
                <w:vertAlign w:val="superscript"/>
              </w:rPr>
              <w:t>-2</w:t>
            </w:r>
          </w:p>
        </w:tc>
      </w:tr>
      <w:tr w:rsidR="00340380" w:rsidRPr="00340380" w14:paraId="2C850DF2" w14:textId="77777777" w:rsidTr="00516785">
        <w:trPr>
          <w:trHeight w:val="336"/>
          <w:jc w:val="center"/>
        </w:trPr>
        <w:tc>
          <w:tcPr>
            <w:tcW w:w="1899" w:type="dxa"/>
            <w:tcBorders>
              <w:top w:val="single" w:sz="4" w:space="0" w:color="auto"/>
            </w:tcBorders>
            <w:shd w:val="clear" w:color="auto" w:fill="auto"/>
            <w:noWrap/>
            <w:vAlign w:val="center"/>
            <w:hideMark/>
          </w:tcPr>
          <w:p w14:paraId="402A7D10"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1.Testemunha</w:t>
            </w:r>
          </w:p>
        </w:tc>
        <w:tc>
          <w:tcPr>
            <w:tcW w:w="1019" w:type="dxa"/>
            <w:tcBorders>
              <w:top w:val="single" w:sz="4" w:space="0" w:color="auto"/>
            </w:tcBorders>
            <w:shd w:val="clear" w:color="auto" w:fill="auto"/>
            <w:noWrap/>
            <w:vAlign w:val="center"/>
            <w:hideMark/>
          </w:tcPr>
          <w:p w14:paraId="390C964B"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11,6 Aa</w:t>
            </w:r>
          </w:p>
        </w:tc>
        <w:tc>
          <w:tcPr>
            <w:tcW w:w="1165" w:type="dxa"/>
            <w:tcBorders>
              <w:top w:val="single" w:sz="4" w:space="0" w:color="auto"/>
            </w:tcBorders>
            <w:shd w:val="clear" w:color="auto" w:fill="auto"/>
            <w:noWrap/>
            <w:vAlign w:val="center"/>
            <w:hideMark/>
          </w:tcPr>
          <w:p w14:paraId="32EEA007"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11,4 Aa</w:t>
            </w:r>
          </w:p>
        </w:tc>
        <w:tc>
          <w:tcPr>
            <w:tcW w:w="1020" w:type="dxa"/>
            <w:tcBorders>
              <w:top w:val="single" w:sz="4" w:space="0" w:color="auto"/>
            </w:tcBorders>
            <w:shd w:val="clear" w:color="auto" w:fill="auto"/>
            <w:noWrap/>
            <w:vAlign w:val="center"/>
            <w:hideMark/>
          </w:tcPr>
          <w:p w14:paraId="077DEBC9"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11,8 Aa</w:t>
            </w:r>
          </w:p>
        </w:tc>
        <w:tc>
          <w:tcPr>
            <w:tcW w:w="873" w:type="dxa"/>
            <w:tcBorders>
              <w:top w:val="single" w:sz="4" w:space="0" w:color="auto"/>
            </w:tcBorders>
            <w:shd w:val="clear" w:color="auto" w:fill="auto"/>
            <w:noWrap/>
            <w:vAlign w:val="center"/>
            <w:hideMark/>
          </w:tcPr>
          <w:p w14:paraId="04CB3D30"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11,6 Aa</w:t>
            </w:r>
          </w:p>
        </w:tc>
        <w:tc>
          <w:tcPr>
            <w:tcW w:w="1019" w:type="dxa"/>
            <w:tcBorders>
              <w:top w:val="single" w:sz="4" w:space="0" w:color="auto"/>
            </w:tcBorders>
            <w:shd w:val="clear" w:color="auto" w:fill="auto"/>
            <w:noWrap/>
            <w:vAlign w:val="center"/>
            <w:hideMark/>
          </w:tcPr>
          <w:p w14:paraId="03F712A3"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11,8 Ba</w:t>
            </w:r>
          </w:p>
        </w:tc>
        <w:tc>
          <w:tcPr>
            <w:tcW w:w="1020" w:type="dxa"/>
            <w:tcBorders>
              <w:top w:val="single" w:sz="4" w:space="0" w:color="auto"/>
            </w:tcBorders>
            <w:shd w:val="clear" w:color="auto" w:fill="auto"/>
            <w:noWrap/>
            <w:vAlign w:val="center"/>
            <w:hideMark/>
          </w:tcPr>
          <w:p w14:paraId="3892B388"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11,6 Ca</w:t>
            </w:r>
          </w:p>
        </w:tc>
        <w:tc>
          <w:tcPr>
            <w:tcW w:w="1019" w:type="dxa"/>
            <w:tcBorders>
              <w:top w:val="single" w:sz="4" w:space="0" w:color="auto"/>
            </w:tcBorders>
            <w:shd w:val="clear" w:color="auto" w:fill="auto"/>
            <w:noWrap/>
            <w:vAlign w:val="center"/>
            <w:hideMark/>
          </w:tcPr>
          <w:p w14:paraId="6EFE4AB6"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11,6 A</w:t>
            </w:r>
          </w:p>
        </w:tc>
      </w:tr>
      <w:tr w:rsidR="00340380" w:rsidRPr="00340380" w14:paraId="003D732C" w14:textId="77777777" w:rsidTr="00516785">
        <w:trPr>
          <w:trHeight w:val="336"/>
          <w:jc w:val="center"/>
        </w:trPr>
        <w:tc>
          <w:tcPr>
            <w:tcW w:w="1899" w:type="dxa"/>
            <w:tcBorders>
              <w:top w:val="nil"/>
            </w:tcBorders>
            <w:shd w:val="clear" w:color="auto" w:fill="auto"/>
            <w:noWrap/>
            <w:vAlign w:val="center"/>
            <w:hideMark/>
          </w:tcPr>
          <w:p w14:paraId="0774D110"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2.Tr + Pz</w:t>
            </w:r>
          </w:p>
        </w:tc>
        <w:tc>
          <w:tcPr>
            <w:tcW w:w="1019" w:type="dxa"/>
            <w:tcBorders>
              <w:top w:val="nil"/>
            </w:tcBorders>
            <w:shd w:val="clear" w:color="auto" w:fill="auto"/>
            <w:noWrap/>
            <w:vAlign w:val="center"/>
            <w:hideMark/>
          </w:tcPr>
          <w:p w14:paraId="2785059E"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0,3 CDc</w:t>
            </w:r>
          </w:p>
        </w:tc>
        <w:tc>
          <w:tcPr>
            <w:tcW w:w="1165" w:type="dxa"/>
            <w:tcBorders>
              <w:top w:val="nil"/>
            </w:tcBorders>
            <w:shd w:val="clear" w:color="auto" w:fill="auto"/>
            <w:noWrap/>
            <w:vAlign w:val="center"/>
            <w:hideMark/>
          </w:tcPr>
          <w:p w14:paraId="353537B8"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0,1 Ec</w:t>
            </w:r>
          </w:p>
        </w:tc>
        <w:tc>
          <w:tcPr>
            <w:tcW w:w="1020" w:type="dxa"/>
            <w:tcBorders>
              <w:top w:val="nil"/>
            </w:tcBorders>
            <w:shd w:val="clear" w:color="auto" w:fill="auto"/>
            <w:noWrap/>
            <w:vAlign w:val="center"/>
            <w:hideMark/>
          </w:tcPr>
          <w:p w14:paraId="55A765F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0,2 Ec</w:t>
            </w:r>
          </w:p>
        </w:tc>
        <w:tc>
          <w:tcPr>
            <w:tcW w:w="873" w:type="dxa"/>
            <w:tcBorders>
              <w:top w:val="nil"/>
            </w:tcBorders>
            <w:shd w:val="clear" w:color="auto" w:fill="auto"/>
            <w:noWrap/>
            <w:vAlign w:val="center"/>
            <w:hideMark/>
          </w:tcPr>
          <w:p w14:paraId="11FF5939"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0,7 Fc</w:t>
            </w:r>
          </w:p>
        </w:tc>
        <w:tc>
          <w:tcPr>
            <w:tcW w:w="1019" w:type="dxa"/>
            <w:tcBorders>
              <w:top w:val="nil"/>
            </w:tcBorders>
            <w:shd w:val="clear" w:color="auto" w:fill="auto"/>
            <w:noWrap/>
            <w:vAlign w:val="center"/>
            <w:hideMark/>
          </w:tcPr>
          <w:p w14:paraId="0C0EA4CB"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2,4 FGb</w:t>
            </w:r>
          </w:p>
        </w:tc>
        <w:tc>
          <w:tcPr>
            <w:tcW w:w="1020" w:type="dxa"/>
            <w:tcBorders>
              <w:top w:val="nil"/>
            </w:tcBorders>
            <w:shd w:val="clear" w:color="auto" w:fill="auto"/>
            <w:noWrap/>
            <w:vAlign w:val="center"/>
            <w:hideMark/>
          </w:tcPr>
          <w:p w14:paraId="28D4C55B"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4,0 Fa</w:t>
            </w:r>
          </w:p>
        </w:tc>
        <w:tc>
          <w:tcPr>
            <w:tcW w:w="1019" w:type="dxa"/>
            <w:tcBorders>
              <w:top w:val="nil"/>
            </w:tcBorders>
            <w:shd w:val="clear" w:color="auto" w:fill="auto"/>
            <w:noWrap/>
            <w:vAlign w:val="center"/>
            <w:hideMark/>
          </w:tcPr>
          <w:p w14:paraId="05A40416"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1,3 EF</w:t>
            </w:r>
          </w:p>
        </w:tc>
      </w:tr>
      <w:tr w:rsidR="00340380" w:rsidRPr="00340380" w14:paraId="50F7E206" w14:textId="77777777" w:rsidTr="00516785">
        <w:trPr>
          <w:trHeight w:val="336"/>
          <w:jc w:val="center"/>
        </w:trPr>
        <w:tc>
          <w:tcPr>
            <w:tcW w:w="1899" w:type="dxa"/>
            <w:tcBorders>
              <w:top w:val="nil"/>
            </w:tcBorders>
            <w:shd w:val="clear" w:color="auto" w:fill="auto"/>
            <w:noWrap/>
            <w:vAlign w:val="center"/>
            <w:hideMark/>
          </w:tcPr>
          <w:p w14:paraId="507814C8"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3.Az + Bz</w:t>
            </w:r>
          </w:p>
        </w:tc>
        <w:tc>
          <w:tcPr>
            <w:tcW w:w="1019" w:type="dxa"/>
            <w:tcBorders>
              <w:top w:val="nil"/>
            </w:tcBorders>
            <w:shd w:val="clear" w:color="auto" w:fill="auto"/>
            <w:noWrap/>
            <w:vAlign w:val="center"/>
            <w:hideMark/>
          </w:tcPr>
          <w:p w14:paraId="29C22688"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6,8 Be</w:t>
            </w:r>
          </w:p>
        </w:tc>
        <w:tc>
          <w:tcPr>
            <w:tcW w:w="1165" w:type="dxa"/>
            <w:tcBorders>
              <w:top w:val="nil"/>
            </w:tcBorders>
            <w:shd w:val="clear" w:color="auto" w:fill="auto"/>
            <w:noWrap/>
            <w:vAlign w:val="center"/>
            <w:hideMark/>
          </w:tcPr>
          <w:p w14:paraId="184D0A86"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6,8 Be</w:t>
            </w:r>
          </w:p>
        </w:tc>
        <w:tc>
          <w:tcPr>
            <w:tcW w:w="1020" w:type="dxa"/>
            <w:tcBorders>
              <w:top w:val="nil"/>
            </w:tcBorders>
            <w:shd w:val="clear" w:color="auto" w:fill="auto"/>
            <w:noWrap/>
            <w:vAlign w:val="center"/>
            <w:hideMark/>
          </w:tcPr>
          <w:p w14:paraId="5E99655C"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7,8 Bd</w:t>
            </w:r>
          </w:p>
        </w:tc>
        <w:tc>
          <w:tcPr>
            <w:tcW w:w="873" w:type="dxa"/>
            <w:tcBorders>
              <w:top w:val="nil"/>
            </w:tcBorders>
            <w:shd w:val="clear" w:color="auto" w:fill="auto"/>
            <w:noWrap/>
            <w:vAlign w:val="center"/>
            <w:hideMark/>
          </w:tcPr>
          <w:p w14:paraId="3DD25A7B"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8,5 Bc</w:t>
            </w:r>
          </w:p>
        </w:tc>
        <w:tc>
          <w:tcPr>
            <w:tcW w:w="1019" w:type="dxa"/>
            <w:tcBorders>
              <w:top w:val="nil"/>
            </w:tcBorders>
            <w:shd w:val="clear" w:color="auto" w:fill="auto"/>
            <w:noWrap/>
            <w:vAlign w:val="center"/>
            <w:hideMark/>
          </w:tcPr>
          <w:p w14:paraId="49E5F547"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17,2 Aa</w:t>
            </w:r>
          </w:p>
        </w:tc>
        <w:tc>
          <w:tcPr>
            <w:tcW w:w="1020" w:type="dxa"/>
            <w:tcBorders>
              <w:top w:val="nil"/>
            </w:tcBorders>
            <w:shd w:val="clear" w:color="auto" w:fill="auto"/>
            <w:noWrap/>
            <w:vAlign w:val="center"/>
            <w:hideMark/>
          </w:tcPr>
          <w:p w14:paraId="15FF8168"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15,6 Ab</w:t>
            </w:r>
          </w:p>
        </w:tc>
        <w:tc>
          <w:tcPr>
            <w:tcW w:w="1019" w:type="dxa"/>
            <w:tcBorders>
              <w:top w:val="nil"/>
            </w:tcBorders>
            <w:shd w:val="clear" w:color="auto" w:fill="auto"/>
            <w:noWrap/>
            <w:vAlign w:val="center"/>
            <w:hideMark/>
          </w:tcPr>
          <w:p w14:paraId="061439BE"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10,4 B</w:t>
            </w:r>
          </w:p>
        </w:tc>
      </w:tr>
      <w:tr w:rsidR="00340380" w:rsidRPr="00340380" w14:paraId="308E15E4" w14:textId="77777777" w:rsidTr="00516785">
        <w:trPr>
          <w:trHeight w:val="336"/>
          <w:jc w:val="center"/>
        </w:trPr>
        <w:tc>
          <w:tcPr>
            <w:tcW w:w="1899" w:type="dxa"/>
            <w:tcBorders>
              <w:top w:val="nil"/>
            </w:tcBorders>
            <w:shd w:val="clear" w:color="auto" w:fill="auto"/>
            <w:noWrap/>
            <w:vAlign w:val="center"/>
            <w:hideMark/>
          </w:tcPr>
          <w:p w14:paraId="50A6DC44"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4.Pr + Fl</w:t>
            </w:r>
          </w:p>
        </w:tc>
        <w:tc>
          <w:tcPr>
            <w:tcW w:w="1019" w:type="dxa"/>
            <w:tcBorders>
              <w:top w:val="nil"/>
            </w:tcBorders>
            <w:shd w:val="clear" w:color="auto" w:fill="auto"/>
            <w:noWrap/>
            <w:vAlign w:val="center"/>
            <w:hideMark/>
          </w:tcPr>
          <w:p w14:paraId="2C5CFF9C"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0,2 CDd</w:t>
            </w:r>
          </w:p>
        </w:tc>
        <w:tc>
          <w:tcPr>
            <w:tcW w:w="1165" w:type="dxa"/>
            <w:tcBorders>
              <w:top w:val="nil"/>
            </w:tcBorders>
            <w:shd w:val="clear" w:color="auto" w:fill="auto"/>
            <w:noWrap/>
            <w:vAlign w:val="center"/>
            <w:hideMark/>
          </w:tcPr>
          <w:p w14:paraId="06C6D486"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1,0 CDc</w:t>
            </w:r>
          </w:p>
        </w:tc>
        <w:tc>
          <w:tcPr>
            <w:tcW w:w="1020" w:type="dxa"/>
            <w:tcBorders>
              <w:top w:val="nil"/>
            </w:tcBorders>
            <w:shd w:val="clear" w:color="auto" w:fill="auto"/>
            <w:noWrap/>
            <w:vAlign w:val="center"/>
            <w:hideMark/>
          </w:tcPr>
          <w:p w14:paraId="14D3CBC9"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3,6 Cb</w:t>
            </w:r>
          </w:p>
        </w:tc>
        <w:tc>
          <w:tcPr>
            <w:tcW w:w="873" w:type="dxa"/>
            <w:tcBorders>
              <w:top w:val="nil"/>
            </w:tcBorders>
            <w:shd w:val="clear" w:color="auto" w:fill="auto"/>
            <w:noWrap/>
            <w:vAlign w:val="center"/>
            <w:hideMark/>
          </w:tcPr>
          <w:p w14:paraId="1C3D8CDA"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3,2 Db</w:t>
            </w:r>
          </w:p>
        </w:tc>
        <w:tc>
          <w:tcPr>
            <w:tcW w:w="1019" w:type="dxa"/>
            <w:tcBorders>
              <w:top w:val="nil"/>
            </w:tcBorders>
            <w:shd w:val="clear" w:color="auto" w:fill="auto"/>
            <w:noWrap/>
            <w:vAlign w:val="center"/>
            <w:hideMark/>
          </w:tcPr>
          <w:p w14:paraId="00514ED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7,5 Da</w:t>
            </w:r>
          </w:p>
        </w:tc>
        <w:tc>
          <w:tcPr>
            <w:tcW w:w="1020" w:type="dxa"/>
            <w:tcBorders>
              <w:top w:val="nil"/>
            </w:tcBorders>
            <w:shd w:val="clear" w:color="auto" w:fill="auto"/>
            <w:noWrap/>
            <w:vAlign w:val="center"/>
            <w:hideMark/>
          </w:tcPr>
          <w:p w14:paraId="4A49E75E"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7,7 Ea</w:t>
            </w:r>
          </w:p>
        </w:tc>
        <w:tc>
          <w:tcPr>
            <w:tcW w:w="1019" w:type="dxa"/>
            <w:tcBorders>
              <w:top w:val="nil"/>
            </w:tcBorders>
            <w:shd w:val="clear" w:color="auto" w:fill="auto"/>
            <w:noWrap/>
            <w:vAlign w:val="center"/>
            <w:hideMark/>
          </w:tcPr>
          <w:p w14:paraId="103DDE84"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3,9 D</w:t>
            </w:r>
          </w:p>
        </w:tc>
      </w:tr>
      <w:tr w:rsidR="00340380" w:rsidRPr="00340380" w14:paraId="355EF62D" w14:textId="77777777" w:rsidTr="00516785">
        <w:trPr>
          <w:trHeight w:val="336"/>
          <w:jc w:val="center"/>
        </w:trPr>
        <w:tc>
          <w:tcPr>
            <w:tcW w:w="1899" w:type="dxa"/>
            <w:tcBorders>
              <w:top w:val="nil"/>
            </w:tcBorders>
            <w:shd w:val="clear" w:color="auto" w:fill="auto"/>
            <w:noWrap/>
            <w:vAlign w:val="center"/>
            <w:hideMark/>
          </w:tcPr>
          <w:p w14:paraId="55EA9E8C"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5.Pc + Bz</w:t>
            </w:r>
          </w:p>
        </w:tc>
        <w:tc>
          <w:tcPr>
            <w:tcW w:w="1019" w:type="dxa"/>
            <w:tcBorders>
              <w:top w:val="nil"/>
            </w:tcBorders>
            <w:shd w:val="clear" w:color="auto" w:fill="auto"/>
            <w:noWrap/>
            <w:vAlign w:val="center"/>
            <w:hideMark/>
          </w:tcPr>
          <w:p w14:paraId="24D14F1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0,1 Dc</w:t>
            </w:r>
          </w:p>
        </w:tc>
        <w:tc>
          <w:tcPr>
            <w:tcW w:w="1165" w:type="dxa"/>
            <w:tcBorders>
              <w:top w:val="nil"/>
            </w:tcBorders>
            <w:shd w:val="clear" w:color="auto" w:fill="auto"/>
            <w:noWrap/>
            <w:vAlign w:val="center"/>
            <w:hideMark/>
          </w:tcPr>
          <w:p w14:paraId="0CD39387"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0,5 DEbc</w:t>
            </w:r>
          </w:p>
        </w:tc>
        <w:tc>
          <w:tcPr>
            <w:tcW w:w="1020" w:type="dxa"/>
            <w:tcBorders>
              <w:top w:val="nil"/>
            </w:tcBorders>
            <w:shd w:val="clear" w:color="auto" w:fill="auto"/>
            <w:noWrap/>
            <w:vAlign w:val="center"/>
            <w:hideMark/>
          </w:tcPr>
          <w:p w14:paraId="2BCF4CAE"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0,4 Ebc</w:t>
            </w:r>
          </w:p>
        </w:tc>
        <w:tc>
          <w:tcPr>
            <w:tcW w:w="873" w:type="dxa"/>
            <w:tcBorders>
              <w:top w:val="nil"/>
            </w:tcBorders>
            <w:shd w:val="clear" w:color="auto" w:fill="auto"/>
            <w:noWrap/>
            <w:vAlign w:val="center"/>
            <w:hideMark/>
          </w:tcPr>
          <w:p w14:paraId="4ABD7040"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0,9 Fb</w:t>
            </w:r>
          </w:p>
        </w:tc>
        <w:tc>
          <w:tcPr>
            <w:tcW w:w="1019" w:type="dxa"/>
            <w:tcBorders>
              <w:top w:val="nil"/>
            </w:tcBorders>
            <w:shd w:val="clear" w:color="auto" w:fill="auto"/>
            <w:noWrap/>
            <w:vAlign w:val="center"/>
            <w:hideMark/>
          </w:tcPr>
          <w:p w14:paraId="60881433"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2,8 Fa</w:t>
            </w:r>
          </w:p>
        </w:tc>
        <w:tc>
          <w:tcPr>
            <w:tcW w:w="1020" w:type="dxa"/>
            <w:tcBorders>
              <w:top w:val="nil"/>
            </w:tcBorders>
            <w:shd w:val="clear" w:color="auto" w:fill="auto"/>
            <w:noWrap/>
            <w:vAlign w:val="center"/>
            <w:hideMark/>
          </w:tcPr>
          <w:p w14:paraId="5F7BD74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2,8 Ga</w:t>
            </w:r>
          </w:p>
        </w:tc>
        <w:tc>
          <w:tcPr>
            <w:tcW w:w="1019" w:type="dxa"/>
            <w:tcBorders>
              <w:top w:val="nil"/>
            </w:tcBorders>
            <w:shd w:val="clear" w:color="auto" w:fill="auto"/>
            <w:noWrap/>
            <w:vAlign w:val="center"/>
            <w:hideMark/>
          </w:tcPr>
          <w:p w14:paraId="2CFE5DBD"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1,2 EF</w:t>
            </w:r>
          </w:p>
        </w:tc>
      </w:tr>
      <w:tr w:rsidR="00340380" w:rsidRPr="00340380" w14:paraId="6B073862" w14:textId="77777777" w:rsidTr="00516785">
        <w:trPr>
          <w:trHeight w:val="336"/>
          <w:jc w:val="center"/>
        </w:trPr>
        <w:tc>
          <w:tcPr>
            <w:tcW w:w="1899" w:type="dxa"/>
            <w:tcBorders>
              <w:top w:val="nil"/>
            </w:tcBorders>
            <w:shd w:val="clear" w:color="auto" w:fill="auto"/>
            <w:noWrap/>
            <w:vAlign w:val="center"/>
            <w:hideMark/>
          </w:tcPr>
          <w:p w14:paraId="1716E003"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6.Pr + Fl + Ep</w:t>
            </w:r>
          </w:p>
        </w:tc>
        <w:tc>
          <w:tcPr>
            <w:tcW w:w="1019" w:type="dxa"/>
            <w:tcBorders>
              <w:top w:val="nil"/>
            </w:tcBorders>
            <w:shd w:val="clear" w:color="auto" w:fill="auto"/>
            <w:noWrap/>
            <w:vAlign w:val="center"/>
            <w:hideMark/>
          </w:tcPr>
          <w:p w14:paraId="639C8763"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0,8 Cd</w:t>
            </w:r>
          </w:p>
        </w:tc>
        <w:tc>
          <w:tcPr>
            <w:tcW w:w="1165" w:type="dxa"/>
            <w:tcBorders>
              <w:top w:val="nil"/>
            </w:tcBorders>
            <w:shd w:val="clear" w:color="auto" w:fill="auto"/>
            <w:noWrap/>
            <w:vAlign w:val="center"/>
            <w:hideMark/>
          </w:tcPr>
          <w:p w14:paraId="0702D8EE"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1,1 CDd</w:t>
            </w:r>
          </w:p>
        </w:tc>
        <w:tc>
          <w:tcPr>
            <w:tcW w:w="1020" w:type="dxa"/>
            <w:tcBorders>
              <w:top w:val="nil"/>
            </w:tcBorders>
            <w:shd w:val="clear" w:color="auto" w:fill="auto"/>
            <w:noWrap/>
            <w:vAlign w:val="center"/>
            <w:hideMark/>
          </w:tcPr>
          <w:p w14:paraId="1348CE86"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1,4 Dd</w:t>
            </w:r>
          </w:p>
        </w:tc>
        <w:tc>
          <w:tcPr>
            <w:tcW w:w="873" w:type="dxa"/>
            <w:tcBorders>
              <w:top w:val="nil"/>
            </w:tcBorders>
            <w:shd w:val="clear" w:color="auto" w:fill="auto"/>
            <w:noWrap/>
            <w:vAlign w:val="center"/>
            <w:hideMark/>
          </w:tcPr>
          <w:p w14:paraId="6B2796A9"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2,3 Ec</w:t>
            </w:r>
          </w:p>
        </w:tc>
        <w:tc>
          <w:tcPr>
            <w:tcW w:w="1019" w:type="dxa"/>
            <w:tcBorders>
              <w:top w:val="nil"/>
            </w:tcBorders>
            <w:shd w:val="clear" w:color="auto" w:fill="auto"/>
            <w:noWrap/>
            <w:vAlign w:val="center"/>
            <w:hideMark/>
          </w:tcPr>
          <w:p w14:paraId="68CBC322"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4,9 Eb</w:t>
            </w:r>
          </w:p>
        </w:tc>
        <w:tc>
          <w:tcPr>
            <w:tcW w:w="1020" w:type="dxa"/>
            <w:tcBorders>
              <w:top w:val="nil"/>
            </w:tcBorders>
            <w:shd w:val="clear" w:color="auto" w:fill="auto"/>
            <w:noWrap/>
            <w:vAlign w:val="center"/>
            <w:hideMark/>
          </w:tcPr>
          <w:p w14:paraId="6C09E55C"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14,0 Ba</w:t>
            </w:r>
          </w:p>
        </w:tc>
        <w:tc>
          <w:tcPr>
            <w:tcW w:w="1019" w:type="dxa"/>
            <w:tcBorders>
              <w:top w:val="nil"/>
            </w:tcBorders>
            <w:shd w:val="clear" w:color="auto" w:fill="auto"/>
            <w:noWrap/>
            <w:vAlign w:val="center"/>
            <w:hideMark/>
          </w:tcPr>
          <w:p w14:paraId="52B0FDD8"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4,1 D</w:t>
            </w:r>
          </w:p>
        </w:tc>
      </w:tr>
      <w:tr w:rsidR="00340380" w:rsidRPr="00340380" w14:paraId="6796DC86" w14:textId="77777777" w:rsidTr="00516785">
        <w:trPr>
          <w:trHeight w:val="336"/>
          <w:jc w:val="center"/>
        </w:trPr>
        <w:tc>
          <w:tcPr>
            <w:tcW w:w="1899" w:type="dxa"/>
            <w:tcBorders>
              <w:top w:val="nil"/>
            </w:tcBorders>
            <w:shd w:val="clear" w:color="auto" w:fill="auto"/>
            <w:noWrap/>
            <w:vAlign w:val="center"/>
            <w:hideMark/>
          </w:tcPr>
          <w:p w14:paraId="0F0AFD8B"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7.Tr + Bx + Pr</w:t>
            </w:r>
          </w:p>
        </w:tc>
        <w:tc>
          <w:tcPr>
            <w:tcW w:w="1019" w:type="dxa"/>
            <w:tcBorders>
              <w:top w:val="nil"/>
            </w:tcBorders>
            <w:shd w:val="clear" w:color="auto" w:fill="auto"/>
            <w:noWrap/>
            <w:vAlign w:val="center"/>
            <w:hideMark/>
          </w:tcPr>
          <w:p w14:paraId="33AD6D60"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0,1 Dc</w:t>
            </w:r>
          </w:p>
        </w:tc>
        <w:tc>
          <w:tcPr>
            <w:tcW w:w="1165" w:type="dxa"/>
            <w:tcBorders>
              <w:top w:val="nil"/>
            </w:tcBorders>
            <w:shd w:val="clear" w:color="auto" w:fill="auto"/>
            <w:noWrap/>
            <w:vAlign w:val="center"/>
            <w:hideMark/>
          </w:tcPr>
          <w:p w14:paraId="1F49D857"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1,0 Ec</w:t>
            </w:r>
          </w:p>
        </w:tc>
        <w:tc>
          <w:tcPr>
            <w:tcW w:w="1020" w:type="dxa"/>
            <w:tcBorders>
              <w:top w:val="nil"/>
            </w:tcBorders>
            <w:shd w:val="clear" w:color="auto" w:fill="auto"/>
            <w:noWrap/>
            <w:vAlign w:val="center"/>
            <w:hideMark/>
          </w:tcPr>
          <w:p w14:paraId="6EFD3AA0"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0,4 Ec</w:t>
            </w:r>
          </w:p>
        </w:tc>
        <w:tc>
          <w:tcPr>
            <w:tcW w:w="873" w:type="dxa"/>
            <w:tcBorders>
              <w:top w:val="nil"/>
            </w:tcBorders>
            <w:shd w:val="clear" w:color="auto" w:fill="auto"/>
            <w:noWrap/>
            <w:vAlign w:val="center"/>
            <w:hideMark/>
          </w:tcPr>
          <w:p w14:paraId="03BEEEBC"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0,4 Fc</w:t>
            </w:r>
          </w:p>
        </w:tc>
        <w:tc>
          <w:tcPr>
            <w:tcW w:w="1019" w:type="dxa"/>
            <w:tcBorders>
              <w:top w:val="nil"/>
            </w:tcBorders>
            <w:shd w:val="clear" w:color="auto" w:fill="auto"/>
            <w:noWrap/>
            <w:vAlign w:val="center"/>
            <w:hideMark/>
          </w:tcPr>
          <w:p w14:paraId="4ED9574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2,0 Gb</w:t>
            </w:r>
          </w:p>
        </w:tc>
        <w:tc>
          <w:tcPr>
            <w:tcW w:w="1020" w:type="dxa"/>
            <w:tcBorders>
              <w:top w:val="nil"/>
            </w:tcBorders>
            <w:shd w:val="clear" w:color="auto" w:fill="auto"/>
            <w:noWrap/>
            <w:vAlign w:val="center"/>
            <w:hideMark/>
          </w:tcPr>
          <w:p w14:paraId="02F5DC05"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3,4 FGa</w:t>
            </w:r>
          </w:p>
        </w:tc>
        <w:tc>
          <w:tcPr>
            <w:tcW w:w="1019" w:type="dxa"/>
            <w:tcBorders>
              <w:top w:val="nil"/>
            </w:tcBorders>
            <w:shd w:val="clear" w:color="auto" w:fill="auto"/>
            <w:noWrap/>
            <w:vAlign w:val="center"/>
            <w:hideMark/>
          </w:tcPr>
          <w:p w14:paraId="2D065926"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1,1 F</w:t>
            </w:r>
          </w:p>
        </w:tc>
      </w:tr>
      <w:tr w:rsidR="00340380" w:rsidRPr="00340380" w14:paraId="3B31A307" w14:textId="77777777" w:rsidTr="00516785">
        <w:trPr>
          <w:trHeight w:val="336"/>
          <w:jc w:val="center"/>
        </w:trPr>
        <w:tc>
          <w:tcPr>
            <w:tcW w:w="1899" w:type="dxa"/>
            <w:tcBorders>
              <w:top w:val="nil"/>
            </w:tcBorders>
            <w:shd w:val="clear" w:color="auto" w:fill="auto"/>
            <w:noWrap/>
            <w:vAlign w:val="center"/>
            <w:hideMark/>
          </w:tcPr>
          <w:p w14:paraId="2196E9BB"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8.Az + Bz + Ci + Di</w:t>
            </w:r>
          </w:p>
        </w:tc>
        <w:tc>
          <w:tcPr>
            <w:tcW w:w="1019" w:type="dxa"/>
            <w:tcBorders>
              <w:top w:val="nil"/>
            </w:tcBorders>
            <w:shd w:val="clear" w:color="auto" w:fill="auto"/>
            <w:noWrap/>
            <w:vAlign w:val="center"/>
            <w:hideMark/>
          </w:tcPr>
          <w:p w14:paraId="359177BC"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0,4 CDb</w:t>
            </w:r>
          </w:p>
        </w:tc>
        <w:tc>
          <w:tcPr>
            <w:tcW w:w="1165" w:type="dxa"/>
            <w:tcBorders>
              <w:top w:val="nil"/>
            </w:tcBorders>
            <w:shd w:val="clear" w:color="auto" w:fill="auto"/>
            <w:noWrap/>
            <w:vAlign w:val="center"/>
            <w:hideMark/>
          </w:tcPr>
          <w:p w14:paraId="28AB481B"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0,6 DEb</w:t>
            </w:r>
          </w:p>
        </w:tc>
        <w:tc>
          <w:tcPr>
            <w:tcW w:w="1020" w:type="dxa"/>
            <w:tcBorders>
              <w:top w:val="nil"/>
            </w:tcBorders>
            <w:shd w:val="clear" w:color="auto" w:fill="auto"/>
            <w:noWrap/>
            <w:vAlign w:val="center"/>
            <w:hideMark/>
          </w:tcPr>
          <w:p w14:paraId="4DFA015C"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0,6 Eb</w:t>
            </w:r>
          </w:p>
        </w:tc>
        <w:tc>
          <w:tcPr>
            <w:tcW w:w="873" w:type="dxa"/>
            <w:tcBorders>
              <w:top w:val="nil"/>
            </w:tcBorders>
            <w:shd w:val="clear" w:color="auto" w:fill="auto"/>
            <w:noWrap/>
            <w:vAlign w:val="center"/>
            <w:hideMark/>
          </w:tcPr>
          <w:p w14:paraId="0B130031"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0,6 Fb</w:t>
            </w:r>
          </w:p>
        </w:tc>
        <w:tc>
          <w:tcPr>
            <w:tcW w:w="1019" w:type="dxa"/>
            <w:tcBorders>
              <w:top w:val="nil"/>
            </w:tcBorders>
            <w:shd w:val="clear" w:color="auto" w:fill="auto"/>
            <w:noWrap/>
            <w:vAlign w:val="center"/>
            <w:hideMark/>
          </w:tcPr>
          <w:p w14:paraId="72FAFC23"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3,0 Fa</w:t>
            </w:r>
          </w:p>
        </w:tc>
        <w:tc>
          <w:tcPr>
            <w:tcW w:w="1020" w:type="dxa"/>
            <w:tcBorders>
              <w:top w:val="nil"/>
            </w:tcBorders>
            <w:shd w:val="clear" w:color="auto" w:fill="auto"/>
            <w:noWrap/>
            <w:vAlign w:val="center"/>
            <w:hideMark/>
          </w:tcPr>
          <w:p w14:paraId="21A7CE97"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3,6 Fa</w:t>
            </w:r>
          </w:p>
        </w:tc>
        <w:tc>
          <w:tcPr>
            <w:tcW w:w="1019" w:type="dxa"/>
            <w:tcBorders>
              <w:top w:val="nil"/>
            </w:tcBorders>
            <w:shd w:val="clear" w:color="auto" w:fill="auto"/>
            <w:noWrap/>
            <w:vAlign w:val="center"/>
            <w:hideMark/>
          </w:tcPr>
          <w:p w14:paraId="3DAD44B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1,5 E</w:t>
            </w:r>
          </w:p>
        </w:tc>
      </w:tr>
      <w:tr w:rsidR="00340380" w:rsidRPr="00340380" w14:paraId="53EAB8DC" w14:textId="77777777" w:rsidTr="00516785">
        <w:trPr>
          <w:trHeight w:val="336"/>
          <w:jc w:val="center"/>
        </w:trPr>
        <w:tc>
          <w:tcPr>
            <w:tcW w:w="1899" w:type="dxa"/>
            <w:tcBorders>
              <w:top w:val="nil"/>
              <w:bottom w:val="single" w:sz="4" w:space="0" w:color="auto"/>
            </w:tcBorders>
            <w:shd w:val="clear" w:color="auto" w:fill="auto"/>
            <w:noWrap/>
            <w:vAlign w:val="center"/>
            <w:hideMark/>
          </w:tcPr>
          <w:p w14:paraId="7A48241F"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9.Az + Bz + Mz</w:t>
            </w:r>
          </w:p>
        </w:tc>
        <w:tc>
          <w:tcPr>
            <w:tcW w:w="1019" w:type="dxa"/>
            <w:tcBorders>
              <w:top w:val="nil"/>
              <w:bottom w:val="single" w:sz="4" w:space="0" w:color="auto"/>
            </w:tcBorders>
            <w:shd w:val="clear" w:color="auto" w:fill="auto"/>
            <w:noWrap/>
            <w:vAlign w:val="center"/>
            <w:hideMark/>
          </w:tcPr>
          <w:p w14:paraId="3C9EBEA2"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 xml:space="preserve">  0,3 CDe</w:t>
            </w:r>
          </w:p>
        </w:tc>
        <w:tc>
          <w:tcPr>
            <w:tcW w:w="1165" w:type="dxa"/>
            <w:tcBorders>
              <w:top w:val="nil"/>
              <w:bottom w:val="single" w:sz="4" w:space="0" w:color="auto"/>
            </w:tcBorders>
            <w:shd w:val="clear" w:color="auto" w:fill="auto"/>
            <w:noWrap/>
            <w:vAlign w:val="center"/>
            <w:hideMark/>
          </w:tcPr>
          <w:p w14:paraId="310432FB"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1,6 Cd</w:t>
            </w:r>
          </w:p>
        </w:tc>
        <w:tc>
          <w:tcPr>
            <w:tcW w:w="1020" w:type="dxa"/>
            <w:tcBorders>
              <w:top w:val="nil"/>
              <w:bottom w:val="single" w:sz="4" w:space="0" w:color="auto"/>
            </w:tcBorders>
            <w:shd w:val="clear" w:color="auto" w:fill="auto"/>
            <w:noWrap/>
            <w:vAlign w:val="center"/>
            <w:hideMark/>
          </w:tcPr>
          <w:p w14:paraId="092490C4"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4,1 Cc</w:t>
            </w:r>
          </w:p>
        </w:tc>
        <w:tc>
          <w:tcPr>
            <w:tcW w:w="873" w:type="dxa"/>
            <w:tcBorders>
              <w:top w:val="nil"/>
              <w:bottom w:val="single" w:sz="4" w:space="0" w:color="auto"/>
            </w:tcBorders>
            <w:shd w:val="clear" w:color="auto" w:fill="auto"/>
            <w:noWrap/>
            <w:vAlign w:val="center"/>
            <w:hideMark/>
          </w:tcPr>
          <w:p w14:paraId="5AD270EA"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7,8 Cb</w:t>
            </w:r>
          </w:p>
        </w:tc>
        <w:tc>
          <w:tcPr>
            <w:tcW w:w="1019" w:type="dxa"/>
            <w:tcBorders>
              <w:top w:val="nil"/>
              <w:bottom w:val="single" w:sz="4" w:space="0" w:color="auto"/>
            </w:tcBorders>
            <w:shd w:val="clear" w:color="auto" w:fill="auto"/>
            <w:noWrap/>
            <w:vAlign w:val="center"/>
            <w:hideMark/>
          </w:tcPr>
          <w:p w14:paraId="5642A64F" w14:textId="77777777" w:rsidR="00340380" w:rsidRPr="00340380" w:rsidRDefault="00340380" w:rsidP="00340380">
            <w:pPr>
              <w:autoSpaceDE/>
              <w:autoSpaceDN/>
              <w:adjustRightInd/>
              <w:spacing w:after="0" w:line="360" w:lineRule="auto"/>
              <w:ind w:firstLine="0"/>
              <w:jc w:val="center"/>
              <w:rPr>
                <w:color w:val="000000"/>
                <w:sz w:val="20"/>
                <w:szCs w:val="20"/>
              </w:rPr>
            </w:pPr>
            <w:r w:rsidRPr="00340380">
              <w:rPr>
                <w:color w:val="000000"/>
                <w:sz w:val="20"/>
                <w:szCs w:val="20"/>
              </w:rPr>
              <w:t>9,7 Ca</w:t>
            </w:r>
          </w:p>
        </w:tc>
        <w:tc>
          <w:tcPr>
            <w:tcW w:w="1020" w:type="dxa"/>
            <w:tcBorders>
              <w:top w:val="nil"/>
              <w:bottom w:val="single" w:sz="4" w:space="0" w:color="auto"/>
            </w:tcBorders>
            <w:shd w:val="clear" w:color="auto" w:fill="auto"/>
            <w:noWrap/>
            <w:vAlign w:val="center"/>
            <w:hideMark/>
          </w:tcPr>
          <w:p w14:paraId="55F314B7"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9,8 Da</w:t>
            </w:r>
          </w:p>
        </w:tc>
        <w:tc>
          <w:tcPr>
            <w:tcW w:w="1019" w:type="dxa"/>
            <w:tcBorders>
              <w:top w:val="nil"/>
              <w:bottom w:val="single" w:sz="4" w:space="0" w:color="auto"/>
            </w:tcBorders>
            <w:shd w:val="clear" w:color="auto" w:fill="auto"/>
            <w:noWrap/>
            <w:vAlign w:val="center"/>
            <w:hideMark/>
          </w:tcPr>
          <w:p w14:paraId="696E9F86"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5,6 C</w:t>
            </w:r>
          </w:p>
        </w:tc>
      </w:tr>
      <w:tr w:rsidR="00340380" w:rsidRPr="00340380" w14:paraId="17CE0184" w14:textId="77777777" w:rsidTr="00516785">
        <w:trPr>
          <w:trHeight w:val="336"/>
          <w:jc w:val="center"/>
        </w:trPr>
        <w:tc>
          <w:tcPr>
            <w:tcW w:w="1899" w:type="dxa"/>
            <w:tcBorders>
              <w:top w:val="single" w:sz="4" w:space="0" w:color="auto"/>
              <w:bottom w:val="single" w:sz="4" w:space="0" w:color="auto"/>
            </w:tcBorders>
            <w:shd w:val="clear" w:color="auto" w:fill="auto"/>
            <w:noWrap/>
            <w:vAlign w:val="center"/>
            <w:hideMark/>
          </w:tcPr>
          <w:p w14:paraId="6EC2C050" w14:textId="77777777" w:rsidR="00340380" w:rsidRPr="00340380" w:rsidRDefault="00340380" w:rsidP="00340380">
            <w:pPr>
              <w:autoSpaceDE/>
              <w:autoSpaceDN/>
              <w:adjustRightInd/>
              <w:spacing w:after="0" w:line="360" w:lineRule="auto"/>
              <w:ind w:firstLine="0"/>
              <w:jc w:val="center"/>
              <w:rPr>
                <w:b/>
                <w:color w:val="000000"/>
                <w:sz w:val="20"/>
                <w:szCs w:val="20"/>
              </w:rPr>
            </w:pPr>
            <w:r w:rsidRPr="00340380">
              <w:rPr>
                <w:b/>
                <w:color w:val="000000"/>
                <w:sz w:val="20"/>
                <w:szCs w:val="20"/>
              </w:rPr>
              <w:t>Média</w:t>
            </w:r>
          </w:p>
        </w:tc>
        <w:tc>
          <w:tcPr>
            <w:tcW w:w="1019" w:type="dxa"/>
            <w:tcBorders>
              <w:top w:val="single" w:sz="4" w:space="0" w:color="auto"/>
              <w:bottom w:val="single" w:sz="4" w:space="0" w:color="auto"/>
            </w:tcBorders>
            <w:shd w:val="clear" w:color="auto" w:fill="auto"/>
            <w:noWrap/>
            <w:vAlign w:val="center"/>
            <w:hideMark/>
          </w:tcPr>
          <w:p w14:paraId="4058A896"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2,3 f</w:t>
            </w:r>
          </w:p>
        </w:tc>
        <w:tc>
          <w:tcPr>
            <w:tcW w:w="1165" w:type="dxa"/>
            <w:tcBorders>
              <w:top w:val="single" w:sz="4" w:space="0" w:color="auto"/>
              <w:bottom w:val="single" w:sz="4" w:space="0" w:color="auto"/>
            </w:tcBorders>
            <w:shd w:val="clear" w:color="auto" w:fill="auto"/>
            <w:noWrap/>
            <w:vAlign w:val="center"/>
            <w:hideMark/>
          </w:tcPr>
          <w:p w14:paraId="24484F2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2,6 e</w:t>
            </w:r>
          </w:p>
        </w:tc>
        <w:tc>
          <w:tcPr>
            <w:tcW w:w="1020" w:type="dxa"/>
            <w:tcBorders>
              <w:top w:val="single" w:sz="4" w:space="0" w:color="auto"/>
              <w:bottom w:val="single" w:sz="4" w:space="0" w:color="auto"/>
            </w:tcBorders>
            <w:shd w:val="clear" w:color="auto" w:fill="auto"/>
            <w:noWrap/>
            <w:vAlign w:val="center"/>
            <w:hideMark/>
          </w:tcPr>
          <w:p w14:paraId="05111151"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3,4 d</w:t>
            </w:r>
          </w:p>
        </w:tc>
        <w:tc>
          <w:tcPr>
            <w:tcW w:w="873" w:type="dxa"/>
            <w:tcBorders>
              <w:top w:val="single" w:sz="4" w:space="0" w:color="auto"/>
              <w:bottom w:val="single" w:sz="4" w:space="0" w:color="auto"/>
            </w:tcBorders>
            <w:shd w:val="clear" w:color="auto" w:fill="auto"/>
            <w:noWrap/>
            <w:vAlign w:val="center"/>
            <w:hideMark/>
          </w:tcPr>
          <w:p w14:paraId="7AD1FFDA"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4,0 c</w:t>
            </w:r>
          </w:p>
        </w:tc>
        <w:tc>
          <w:tcPr>
            <w:tcW w:w="1019" w:type="dxa"/>
            <w:tcBorders>
              <w:top w:val="single" w:sz="4" w:space="0" w:color="auto"/>
              <w:bottom w:val="single" w:sz="4" w:space="0" w:color="auto"/>
            </w:tcBorders>
            <w:shd w:val="clear" w:color="auto" w:fill="auto"/>
            <w:noWrap/>
            <w:vAlign w:val="center"/>
            <w:hideMark/>
          </w:tcPr>
          <w:p w14:paraId="65514D92"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6,8 b</w:t>
            </w:r>
          </w:p>
        </w:tc>
        <w:tc>
          <w:tcPr>
            <w:tcW w:w="1020" w:type="dxa"/>
            <w:tcBorders>
              <w:top w:val="single" w:sz="4" w:space="0" w:color="auto"/>
              <w:bottom w:val="single" w:sz="4" w:space="0" w:color="auto"/>
            </w:tcBorders>
            <w:shd w:val="clear" w:color="auto" w:fill="auto"/>
            <w:noWrap/>
            <w:vAlign w:val="center"/>
            <w:hideMark/>
          </w:tcPr>
          <w:p w14:paraId="7B19D225"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8,0 a</w:t>
            </w:r>
          </w:p>
        </w:tc>
        <w:tc>
          <w:tcPr>
            <w:tcW w:w="1019" w:type="dxa"/>
            <w:tcBorders>
              <w:top w:val="single" w:sz="4" w:space="0" w:color="auto"/>
              <w:bottom w:val="single" w:sz="4" w:space="0" w:color="auto"/>
            </w:tcBorders>
            <w:shd w:val="clear" w:color="auto" w:fill="auto"/>
            <w:noWrap/>
            <w:vAlign w:val="center"/>
            <w:hideMark/>
          </w:tcPr>
          <w:p w14:paraId="289FDC2A" w14:textId="77777777" w:rsidR="00340380" w:rsidRPr="00340380" w:rsidRDefault="00340380" w:rsidP="00340380">
            <w:pPr>
              <w:autoSpaceDE/>
              <w:autoSpaceDN/>
              <w:adjustRightInd/>
              <w:spacing w:after="0" w:line="360" w:lineRule="auto"/>
              <w:ind w:firstLine="0"/>
              <w:jc w:val="left"/>
              <w:rPr>
                <w:color w:val="000000"/>
                <w:sz w:val="20"/>
                <w:szCs w:val="20"/>
              </w:rPr>
            </w:pPr>
            <w:r w:rsidRPr="00340380">
              <w:rPr>
                <w:color w:val="000000"/>
                <w:sz w:val="20"/>
                <w:szCs w:val="20"/>
              </w:rPr>
              <w:t xml:space="preserve">   4,5</w:t>
            </w:r>
          </w:p>
        </w:tc>
      </w:tr>
    </w:tbl>
    <w:p w14:paraId="551CD8A7" w14:textId="77777777" w:rsidR="00340380" w:rsidRPr="00340380" w:rsidRDefault="00340380" w:rsidP="003873B0">
      <w:pPr>
        <w:autoSpaceDE/>
        <w:autoSpaceDN/>
        <w:adjustRightInd/>
        <w:spacing w:after="0" w:line="360" w:lineRule="auto"/>
        <w:ind w:right="-1" w:firstLine="0"/>
        <w:rPr>
          <w:color w:val="000000" w:themeColor="text1"/>
          <w:sz w:val="16"/>
          <w:szCs w:val="16"/>
        </w:rPr>
      </w:pPr>
      <w:bookmarkStart w:id="242" w:name="_Hlk11660631"/>
      <w:r w:rsidRPr="00340380">
        <w:rPr>
          <w:color w:val="000000" w:themeColor="text1"/>
          <w:sz w:val="16"/>
          <w:szCs w:val="16"/>
        </w:rPr>
        <w:t>Momentos: M1) 48 h antes da inoculação; M2) 24 h após a inoculação; M3) 48 h após a inoculação; M4) 72 h após a inoculação; M5) 120 h após a inoculação; M6) 168 h após a inoculação; Tratamentos: 1. Testemunha, 2. Trifloxistrobina +Protioconazole, 3. Azoxistrobina + Benzovindiflupyr, 4. Piraclostrobina + Fluxapyroxada, 5. Picoxistrobina + Benzovindiflupyr, 6. Piraclostrobina + Fluxapyroxada + Epoxiconazole, 7. Trifloxistrobina + Bixafeno + Protioconazole, 8. Azoxistrobina + Benzovindiflupyr + Ciproconazole + Difenoconazole, 9. Azoxistrobina + Benzovindiflupyr + Mancozebe.</w:t>
      </w:r>
    </w:p>
    <w:p w14:paraId="4EB0653F" w14:textId="77777777" w:rsidR="00340380" w:rsidRPr="00340380" w:rsidRDefault="00340380" w:rsidP="00516785">
      <w:pPr>
        <w:autoSpaceDE/>
        <w:autoSpaceDN/>
        <w:adjustRightInd/>
        <w:spacing w:after="0" w:line="360" w:lineRule="auto"/>
        <w:ind w:left="142" w:right="-1" w:firstLine="0"/>
        <w:rPr>
          <w:color w:val="000000" w:themeColor="text1"/>
          <w:sz w:val="16"/>
          <w:szCs w:val="16"/>
        </w:rPr>
      </w:pPr>
      <w:r w:rsidRPr="00340380">
        <w:rPr>
          <w:color w:val="000000" w:themeColor="text1"/>
          <w:sz w:val="16"/>
          <w:szCs w:val="16"/>
        </w:rPr>
        <w:t>*Médias seguidas de letras minúsculas igual na linha não diferem estatisticamente entre si, e média seguidas de letras e maiúsculas diferentes na coluna diferem estatisticamente entre si.</w:t>
      </w:r>
      <w:bookmarkEnd w:id="242"/>
    </w:p>
    <w:p w14:paraId="1570195E" w14:textId="77777777" w:rsidR="00BB432C" w:rsidRPr="00B7238F" w:rsidRDefault="00BB432C" w:rsidP="00516785">
      <w:pPr>
        <w:spacing w:after="0" w:line="360" w:lineRule="auto"/>
        <w:rPr>
          <w:color w:val="000000" w:themeColor="text1"/>
        </w:rPr>
      </w:pPr>
    </w:p>
    <w:p w14:paraId="3670E430" w14:textId="77777777" w:rsidR="00ED0A8E" w:rsidRDefault="00C003E4" w:rsidP="00516785">
      <w:pPr>
        <w:spacing w:after="0" w:line="360" w:lineRule="auto"/>
      </w:pPr>
      <w:r w:rsidRPr="00B7238F">
        <w:t>Quando os fungicidas foram aplicados 48 h antes e 48 horas depois da inoculação o número médio de lesões.cm</w:t>
      </w:r>
      <w:r w:rsidRPr="00B7238F">
        <w:rPr>
          <w:vertAlign w:val="superscript"/>
        </w:rPr>
        <w:t>-2</w:t>
      </w:r>
      <w:r w:rsidRPr="00B7238F">
        <w:t xml:space="preserve"> foi de 2,3 e 2,6</w:t>
      </w:r>
      <w:r w:rsidRPr="00B7238F">
        <w:rPr>
          <w:color w:val="00B0F0"/>
        </w:rPr>
        <w:t xml:space="preserve">. </w:t>
      </w:r>
      <w:r w:rsidRPr="00B7238F">
        <w:t>Em valores porcentuais a aplicação preventiva (M1) reduziu em 47,8% o número de lesões.cm</w:t>
      </w:r>
      <w:r w:rsidRPr="00B7238F">
        <w:rPr>
          <w:vertAlign w:val="superscript"/>
        </w:rPr>
        <w:t>-2</w:t>
      </w:r>
      <w:r w:rsidRPr="00B7238F">
        <w:t xml:space="preserve"> quando comparada com aplicação </w:t>
      </w:r>
      <w:r w:rsidR="008B605A" w:rsidRPr="00B7238F">
        <w:t xml:space="preserve">48 horas após a inoculação (M3). </w:t>
      </w:r>
      <w:r w:rsidRPr="00B7238F">
        <w:t>Com o aumento do tempo das aplicações a partir de 48 h nota-se crescente incremento do número de lesões.cm</w:t>
      </w:r>
      <w:r w:rsidRPr="00B7238F">
        <w:rPr>
          <w:vertAlign w:val="superscript"/>
        </w:rPr>
        <w:t>-2</w:t>
      </w:r>
      <w:r w:rsidRPr="00B7238F">
        <w:t>, com valores de 4,0, 6,8 e 8,0, respectivamente para 72, 120, 168 h após inoculação (Tabela 5).</w:t>
      </w:r>
    </w:p>
    <w:p w14:paraId="6F10D6A8" w14:textId="599B9C88" w:rsidR="00ED0A8E" w:rsidRDefault="00C003E4" w:rsidP="00516785">
      <w:pPr>
        <w:spacing w:after="0" w:line="360" w:lineRule="auto"/>
      </w:pPr>
      <w:r w:rsidRPr="00B7238F">
        <w:t>Transformando os dados do número de lesões para porcent</w:t>
      </w:r>
      <w:r w:rsidR="00D74DA1">
        <w:t xml:space="preserve">agem de controle, constatou-se </w:t>
      </w:r>
      <w:r w:rsidRPr="00B7238F">
        <w:t>que quando os fungicidas foram aplicados 48 h antes da inoculação o número médio de lesões foi de 2,3 lesões.cm</w:t>
      </w:r>
      <w:r w:rsidRPr="00B7238F">
        <w:rPr>
          <w:vertAlign w:val="superscript"/>
        </w:rPr>
        <w:t>-2</w:t>
      </w:r>
      <w:r w:rsidRPr="00B7238F">
        <w:t xml:space="preserve"> (Tabela 5) e o controle médio da doença foi 89,2% (Tabela 6), porém quando as aplicações foram realizadas 168 horas após a inoculação foi quantificado 8,0 lesões.cm</w:t>
      </w:r>
      <w:r w:rsidRPr="00B7238F">
        <w:rPr>
          <w:vertAlign w:val="superscript"/>
        </w:rPr>
        <w:t>-2</w:t>
      </w:r>
      <w:r w:rsidRPr="00B7238F">
        <w:t xml:space="preserve"> (Tabela 5) e 41,2 % de eficiência de controle </w:t>
      </w:r>
      <w:r w:rsidRPr="00D74DA1">
        <w:t>(Tabela 6).</w:t>
      </w:r>
    </w:p>
    <w:p w14:paraId="41D102AB" w14:textId="77777777" w:rsidR="00516785" w:rsidRDefault="00516785" w:rsidP="00516785">
      <w:pPr>
        <w:spacing w:after="0" w:line="360" w:lineRule="auto"/>
      </w:pPr>
    </w:p>
    <w:p w14:paraId="2B13A419" w14:textId="77777777" w:rsidR="00D74DA1" w:rsidRDefault="00D74DA1" w:rsidP="00D74DA1">
      <w:pPr>
        <w:pStyle w:val="Legenda"/>
        <w:keepNext/>
        <w:ind w:firstLine="0"/>
      </w:pPr>
      <w:bookmarkStart w:id="243" w:name="_Toc16173042"/>
      <w:r>
        <w:t xml:space="preserve">Tabela </w:t>
      </w:r>
      <w:r w:rsidR="00D00510">
        <w:fldChar w:fldCharType="begin"/>
      </w:r>
      <w:r w:rsidR="00D00510">
        <w:instrText xml:space="preserve"> SEQ Tabela \* ARABIC </w:instrText>
      </w:r>
      <w:r w:rsidR="00D00510">
        <w:fldChar w:fldCharType="separate"/>
      </w:r>
      <w:r>
        <w:rPr>
          <w:noProof/>
        </w:rPr>
        <w:t>6</w:t>
      </w:r>
      <w:r w:rsidR="00D00510">
        <w:rPr>
          <w:noProof/>
        </w:rPr>
        <w:fldChar w:fldCharType="end"/>
      </w:r>
      <w:r>
        <w:t xml:space="preserve">. </w:t>
      </w:r>
      <w:r w:rsidRPr="00C211D0">
        <w:t>Controle de ferrugem asiática da soja em folíolos trifoliolados com diferentes     momentos de aplicação de carboxamidas em mistura com estrobilurinas, triazóis, triazolinthione e ditiocarbamato. Lages, SC. 2017.</w:t>
      </w:r>
      <w:bookmarkEnd w:id="243"/>
    </w:p>
    <w:tbl>
      <w:tblPr>
        <w:tblW w:w="8931" w:type="dxa"/>
        <w:jc w:val="center"/>
        <w:tblCellMar>
          <w:left w:w="70" w:type="dxa"/>
          <w:right w:w="70" w:type="dxa"/>
        </w:tblCellMar>
        <w:tblLook w:val="06A0" w:firstRow="1" w:lastRow="0" w:firstColumn="1" w:lastColumn="0" w:noHBand="1" w:noVBand="1"/>
      </w:tblPr>
      <w:tblGrid>
        <w:gridCol w:w="1902"/>
        <w:gridCol w:w="1021"/>
        <w:gridCol w:w="876"/>
        <w:gridCol w:w="875"/>
        <w:gridCol w:w="876"/>
        <w:gridCol w:w="875"/>
        <w:gridCol w:w="876"/>
        <w:gridCol w:w="1630"/>
      </w:tblGrid>
      <w:tr w:rsidR="00D74DA1" w:rsidRPr="0082231E" w14:paraId="0987380F" w14:textId="77777777" w:rsidTr="003873B0">
        <w:trPr>
          <w:trHeight w:val="332"/>
          <w:jc w:val="center"/>
        </w:trPr>
        <w:tc>
          <w:tcPr>
            <w:tcW w:w="1902" w:type="dxa"/>
            <w:vMerge w:val="restart"/>
            <w:tcBorders>
              <w:top w:val="single" w:sz="4" w:space="0" w:color="auto"/>
            </w:tcBorders>
            <w:shd w:val="clear" w:color="auto" w:fill="auto"/>
            <w:noWrap/>
            <w:vAlign w:val="center"/>
            <w:hideMark/>
          </w:tcPr>
          <w:p w14:paraId="2B8B110D"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Trat</w:t>
            </w:r>
          </w:p>
        </w:tc>
        <w:tc>
          <w:tcPr>
            <w:tcW w:w="1021" w:type="dxa"/>
            <w:tcBorders>
              <w:top w:val="single" w:sz="4" w:space="0" w:color="auto"/>
              <w:bottom w:val="single" w:sz="4" w:space="0" w:color="auto"/>
            </w:tcBorders>
            <w:shd w:val="clear" w:color="auto" w:fill="auto"/>
            <w:noWrap/>
            <w:vAlign w:val="center"/>
            <w:hideMark/>
          </w:tcPr>
          <w:p w14:paraId="1119DB85"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M1</w:t>
            </w:r>
          </w:p>
        </w:tc>
        <w:tc>
          <w:tcPr>
            <w:tcW w:w="876" w:type="dxa"/>
            <w:tcBorders>
              <w:top w:val="single" w:sz="4" w:space="0" w:color="auto"/>
              <w:bottom w:val="single" w:sz="4" w:space="0" w:color="auto"/>
            </w:tcBorders>
            <w:shd w:val="clear" w:color="auto" w:fill="auto"/>
            <w:noWrap/>
            <w:vAlign w:val="center"/>
            <w:hideMark/>
          </w:tcPr>
          <w:p w14:paraId="28072ED9"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M2</w:t>
            </w:r>
          </w:p>
        </w:tc>
        <w:tc>
          <w:tcPr>
            <w:tcW w:w="875" w:type="dxa"/>
            <w:tcBorders>
              <w:top w:val="single" w:sz="4" w:space="0" w:color="auto"/>
              <w:bottom w:val="single" w:sz="4" w:space="0" w:color="auto"/>
            </w:tcBorders>
            <w:shd w:val="clear" w:color="auto" w:fill="auto"/>
            <w:noWrap/>
            <w:vAlign w:val="center"/>
            <w:hideMark/>
          </w:tcPr>
          <w:p w14:paraId="369CF0C8"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M3</w:t>
            </w:r>
          </w:p>
        </w:tc>
        <w:tc>
          <w:tcPr>
            <w:tcW w:w="876" w:type="dxa"/>
            <w:tcBorders>
              <w:top w:val="single" w:sz="4" w:space="0" w:color="auto"/>
              <w:bottom w:val="single" w:sz="4" w:space="0" w:color="auto"/>
            </w:tcBorders>
            <w:shd w:val="clear" w:color="auto" w:fill="auto"/>
            <w:noWrap/>
            <w:vAlign w:val="center"/>
            <w:hideMark/>
          </w:tcPr>
          <w:p w14:paraId="3DCDFA1B"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M4</w:t>
            </w:r>
          </w:p>
        </w:tc>
        <w:tc>
          <w:tcPr>
            <w:tcW w:w="875" w:type="dxa"/>
            <w:tcBorders>
              <w:top w:val="single" w:sz="4" w:space="0" w:color="auto"/>
              <w:bottom w:val="single" w:sz="4" w:space="0" w:color="auto"/>
            </w:tcBorders>
            <w:shd w:val="clear" w:color="auto" w:fill="auto"/>
            <w:noWrap/>
            <w:vAlign w:val="center"/>
            <w:hideMark/>
          </w:tcPr>
          <w:p w14:paraId="2200A24C"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M5</w:t>
            </w:r>
          </w:p>
        </w:tc>
        <w:tc>
          <w:tcPr>
            <w:tcW w:w="876" w:type="dxa"/>
            <w:tcBorders>
              <w:top w:val="single" w:sz="4" w:space="0" w:color="auto"/>
              <w:bottom w:val="single" w:sz="4" w:space="0" w:color="auto"/>
            </w:tcBorders>
            <w:shd w:val="clear" w:color="auto" w:fill="auto"/>
            <w:noWrap/>
            <w:vAlign w:val="center"/>
            <w:hideMark/>
          </w:tcPr>
          <w:p w14:paraId="0D5EF1D6"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M6</w:t>
            </w:r>
          </w:p>
        </w:tc>
        <w:tc>
          <w:tcPr>
            <w:tcW w:w="1630" w:type="dxa"/>
            <w:tcBorders>
              <w:top w:val="single" w:sz="4" w:space="0" w:color="auto"/>
              <w:bottom w:val="single" w:sz="4" w:space="0" w:color="auto"/>
            </w:tcBorders>
            <w:shd w:val="clear" w:color="auto" w:fill="auto"/>
            <w:noWrap/>
            <w:vAlign w:val="center"/>
            <w:hideMark/>
          </w:tcPr>
          <w:p w14:paraId="0E706960"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Média</w:t>
            </w:r>
          </w:p>
        </w:tc>
      </w:tr>
      <w:tr w:rsidR="00D74DA1" w:rsidRPr="0082231E" w14:paraId="3E3FEB70" w14:textId="77777777" w:rsidTr="003873B0">
        <w:trPr>
          <w:trHeight w:val="382"/>
          <w:jc w:val="center"/>
        </w:trPr>
        <w:tc>
          <w:tcPr>
            <w:tcW w:w="1902" w:type="dxa"/>
            <w:vMerge/>
            <w:tcBorders>
              <w:bottom w:val="single" w:sz="4" w:space="0" w:color="auto"/>
            </w:tcBorders>
            <w:vAlign w:val="center"/>
            <w:hideMark/>
          </w:tcPr>
          <w:p w14:paraId="237E430F" w14:textId="77777777" w:rsidR="00D74DA1" w:rsidRPr="0082231E" w:rsidRDefault="00D74DA1" w:rsidP="00D74DA1">
            <w:pPr>
              <w:autoSpaceDE/>
              <w:autoSpaceDN/>
              <w:adjustRightInd/>
              <w:spacing w:after="0" w:line="360" w:lineRule="auto"/>
              <w:ind w:firstLine="0"/>
              <w:jc w:val="center"/>
              <w:rPr>
                <w:b/>
                <w:bCs/>
                <w:color w:val="000000"/>
                <w:szCs w:val="22"/>
              </w:rPr>
            </w:pPr>
          </w:p>
        </w:tc>
        <w:tc>
          <w:tcPr>
            <w:tcW w:w="7029" w:type="dxa"/>
            <w:gridSpan w:val="7"/>
            <w:tcBorders>
              <w:top w:val="single" w:sz="4" w:space="0" w:color="auto"/>
              <w:bottom w:val="single" w:sz="4" w:space="0" w:color="auto"/>
            </w:tcBorders>
            <w:shd w:val="clear" w:color="auto" w:fill="auto"/>
            <w:noWrap/>
            <w:vAlign w:val="center"/>
            <w:hideMark/>
          </w:tcPr>
          <w:p w14:paraId="3DDF6559" w14:textId="77777777" w:rsidR="00D74DA1" w:rsidRPr="0082231E" w:rsidRDefault="00D74DA1" w:rsidP="00D74DA1">
            <w:pPr>
              <w:autoSpaceDE/>
              <w:autoSpaceDN/>
              <w:adjustRightInd/>
              <w:spacing w:after="0" w:line="360" w:lineRule="auto"/>
              <w:ind w:firstLine="0"/>
              <w:jc w:val="center"/>
              <w:rPr>
                <w:b/>
                <w:bCs/>
                <w:color w:val="000000"/>
                <w:szCs w:val="22"/>
              </w:rPr>
            </w:pPr>
            <w:r w:rsidRPr="0082231E">
              <w:rPr>
                <w:b/>
                <w:bCs/>
                <w:color w:val="000000"/>
                <w:szCs w:val="22"/>
              </w:rPr>
              <w:t>Controle (%)</w:t>
            </w:r>
          </w:p>
        </w:tc>
      </w:tr>
      <w:tr w:rsidR="00D74DA1" w:rsidRPr="0082231E" w14:paraId="0B85D44C" w14:textId="77777777" w:rsidTr="003873B0">
        <w:trPr>
          <w:trHeight w:val="332"/>
          <w:jc w:val="center"/>
        </w:trPr>
        <w:tc>
          <w:tcPr>
            <w:tcW w:w="1902" w:type="dxa"/>
            <w:tcBorders>
              <w:top w:val="single" w:sz="4" w:space="0" w:color="auto"/>
            </w:tcBorders>
            <w:shd w:val="clear" w:color="auto" w:fill="auto"/>
            <w:noWrap/>
            <w:vAlign w:val="center"/>
            <w:hideMark/>
          </w:tcPr>
          <w:p w14:paraId="3537F4F1"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1.Testemunha</w:t>
            </w:r>
          </w:p>
        </w:tc>
        <w:tc>
          <w:tcPr>
            <w:tcW w:w="1021" w:type="dxa"/>
            <w:tcBorders>
              <w:top w:val="single" w:sz="4" w:space="0" w:color="auto"/>
            </w:tcBorders>
            <w:shd w:val="clear" w:color="auto" w:fill="auto"/>
            <w:noWrap/>
            <w:vAlign w:val="center"/>
            <w:hideMark/>
          </w:tcPr>
          <w:p w14:paraId="3EBC7F71"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 xml:space="preserve">  0,0</w:t>
            </w:r>
          </w:p>
        </w:tc>
        <w:tc>
          <w:tcPr>
            <w:tcW w:w="876" w:type="dxa"/>
            <w:tcBorders>
              <w:top w:val="single" w:sz="4" w:space="0" w:color="auto"/>
            </w:tcBorders>
            <w:shd w:val="clear" w:color="auto" w:fill="auto"/>
            <w:noWrap/>
            <w:vAlign w:val="center"/>
            <w:hideMark/>
          </w:tcPr>
          <w:p w14:paraId="6071ED3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 xml:space="preserve">  0,0</w:t>
            </w:r>
          </w:p>
        </w:tc>
        <w:tc>
          <w:tcPr>
            <w:tcW w:w="875" w:type="dxa"/>
            <w:tcBorders>
              <w:top w:val="single" w:sz="4" w:space="0" w:color="auto"/>
            </w:tcBorders>
            <w:shd w:val="clear" w:color="auto" w:fill="auto"/>
            <w:noWrap/>
            <w:vAlign w:val="center"/>
            <w:hideMark/>
          </w:tcPr>
          <w:p w14:paraId="0DA7192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 xml:space="preserve">  0,0</w:t>
            </w:r>
          </w:p>
        </w:tc>
        <w:tc>
          <w:tcPr>
            <w:tcW w:w="876" w:type="dxa"/>
            <w:tcBorders>
              <w:top w:val="single" w:sz="4" w:space="0" w:color="auto"/>
            </w:tcBorders>
            <w:shd w:val="clear" w:color="auto" w:fill="auto"/>
            <w:noWrap/>
            <w:vAlign w:val="center"/>
            <w:hideMark/>
          </w:tcPr>
          <w:p w14:paraId="5E7D88EB"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 xml:space="preserve">  0,0</w:t>
            </w:r>
          </w:p>
        </w:tc>
        <w:tc>
          <w:tcPr>
            <w:tcW w:w="875" w:type="dxa"/>
            <w:tcBorders>
              <w:top w:val="single" w:sz="4" w:space="0" w:color="auto"/>
            </w:tcBorders>
            <w:shd w:val="clear" w:color="auto" w:fill="auto"/>
            <w:noWrap/>
            <w:vAlign w:val="center"/>
            <w:hideMark/>
          </w:tcPr>
          <w:p w14:paraId="10FA9AB5"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 xml:space="preserve"> 0,0</w:t>
            </w:r>
          </w:p>
        </w:tc>
        <w:tc>
          <w:tcPr>
            <w:tcW w:w="876" w:type="dxa"/>
            <w:tcBorders>
              <w:top w:val="single" w:sz="4" w:space="0" w:color="auto"/>
            </w:tcBorders>
            <w:shd w:val="clear" w:color="auto" w:fill="auto"/>
            <w:noWrap/>
            <w:vAlign w:val="center"/>
            <w:hideMark/>
          </w:tcPr>
          <w:p w14:paraId="790DC47A"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 xml:space="preserve">  0,0</w:t>
            </w:r>
          </w:p>
        </w:tc>
        <w:tc>
          <w:tcPr>
            <w:tcW w:w="1630" w:type="dxa"/>
            <w:tcBorders>
              <w:top w:val="single" w:sz="4" w:space="0" w:color="auto"/>
            </w:tcBorders>
            <w:shd w:val="clear" w:color="auto" w:fill="auto"/>
            <w:noWrap/>
            <w:vAlign w:val="center"/>
            <w:hideMark/>
          </w:tcPr>
          <w:p w14:paraId="20377B67"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 xml:space="preserve">  0,0</w:t>
            </w:r>
          </w:p>
        </w:tc>
      </w:tr>
      <w:tr w:rsidR="00D74DA1" w:rsidRPr="0082231E" w14:paraId="2C2658B5" w14:textId="77777777" w:rsidTr="003873B0">
        <w:trPr>
          <w:trHeight w:val="332"/>
          <w:jc w:val="center"/>
        </w:trPr>
        <w:tc>
          <w:tcPr>
            <w:tcW w:w="1902" w:type="dxa"/>
            <w:shd w:val="clear" w:color="auto" w:fill="auto"/>
            <w:noWrap/>
            <w:vAlign w:val="center"/>
            <w:hideMark/>
          </w:tcPr>
          <w:p w14:paraId="282E0BBA"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2.Tr + Pz</w:t>
            </w:r>
          </w:p>
        </w:tc>
        <w:tc>
          <w:tcPr>
            <w:tcW w:w="1021" w:type="dxa"/>
            <w:shd w:val="clear" w:color="auto" w:fill="auto"/>
            <w:noWrap/>
            <w:vAlign w:val="center"/>
            <w:hideMark/>
          </w:tcPr>
          <w:p w14:paraId="0984A72E"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97,6</w:t>
            </w:r>
          </w:p>
        </w:tc>
        <w:tc>
          <w:tcPr>
            <w:tcW w:w="876" w:type="dxa"/>
            <w:shd w:val="clear" w:color="auto" w:fill="auto"/>
            <w:noWrap/>
            <w:vAlign w:val="center"/>
            <w:hideMark/>
          </w:tcPr>
          <w:p w14:paraId="410E4390"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98,9</w:t>
            </w:r>
          </w:p>
        </w:tc>
        <w:tc>
          <w:tcPr>
            <w:tcW w:w="875" w:type="dxa"/>
            <w:shd w:val="clear" w:color="auto" w:fill="auto"/>
            <w:noWrap/>
            <w:vAlign w:val="center"/>
            <w:hideMark/>
          </w:tcPr>
          <w:p w14:paraId="5B42B976"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97,9</w:t>
            </w:r>
          </w:p>
        </w:tc>
        <w:tc>
          <w:tcPr>
            <w:tcW w:w="876" w:type="dxa"/>
            <w:shd w:val="clear" w:color="auto" w:fill="auto"/>
            <w:noWrap/>
            <w:vAlign w:val="center"/>
            <w:hideMark/>
          </w:tcPr>
          <w:p w14:paraId="29D1CF04"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94,2</w:t>
            </w:r>
          </w:p>
        </w:tc>
        <w:tc>
          <w:tcPr>
            <w:tcW w:w="875" w:type="dxa"/>
            <w:shd w:val="clear" w:color="auto" w:fill="auto"/>
            <w:noWrap/>
            <w:vAlign w:val="center"/>
            <w:hideMark/>
          </w:tcPr>
          <w:p w14:paraId="70FF9C8C"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78,9</w:t>
            </w:r>
          </w:p>
        </w:tc>
        <w:tc>
          <w:tcPr>
            <w:tcW w:w="876" w:type="dxa"/>
            <w:shd w:val="clear" w:color="auto" w:fill="auto"/>
            <w:noWrap/>
            <w:vAlign w:val="center"/>
            <w:hideMark/>
          </w:tcPr>
          <w:p w14:paraId="1925ADBC"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65,7</w:t>
            </w:r>
          </w:p>
        </w:tc>
        <w:tc>
          <w:tcPr>
            <w:tcW w:w="1630" w:type="dxa"/>
            <w:shd w:val="clear" w:color="auto" w:fill="auto"/>
            <w:noWrap/>
            <w:vAlign w:val="center"/>
            <w:hideMark/>
          </w:tcPr>
          <w:p w14:paraId="5586B6F9"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88,9</w:t>
            </w:r>
          </w:p>
        </w:tc>
      </w:tr>
      <w:tr w:rsidR="00D74DA1" w:rsidRPr="0082231E" w14:paraId="6508B95D" w14:textId="77777777" w:rsidTr="003873B0">
        <w:trPr>
          <w:trHeight w:val="332"/>
          <w:jc w:val="center"/>
        </w:trPr>
        <w:tc>
          <w:tcPr>
            <w:tcW w:w="1902" w:type="dxa"/>
            <w:shd w:val="clear" w:color="auto" w:fill="auto"/>
            <w:noWrap/>
            <w:vAlign w:val="center"/>
            <w:hideMark/>
          </w:tcPr>
          <w:p w14:paraId="5625E0F5"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3.Az + Bz</w:t>
            </w:r>
          </w:p>
        </w:tc>
        <w:tc>
          <w:tcPr>
            <w:tcW w:w="1021" w:type="dxa"/>
            <w:shd w:val="clear" w:color="auto" w:fill="auto"/>
            <w:noWrap/>
            <w:vAlign w:val="center"/>
            <w:hideMark/>
          </w:tcPr>
          <w:p w14:paraId="0634029B"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41,8</w:t>
            </w:r>
          </w:p>
        </w:tc>
        <w:tc>
          <w:tcPr>
            <w:tcW w:w="876" w:type="dxa"/>
            <w:shd w:val="clear" w:color="auto" w:fill="auto"/>
            <w:noWrap/>
            <w:vAlign w:val="center"/>
            <w:hideMark/>
          </w:tcPr>
          <w:p w14:paraId="1454A17E"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40,5</w:t>
            </w:r>
          </w:p>
        </w:tc>
        <w:tc>
          <w:tcPr>
            <w:tcW w:w="875" w:type="dxa"/>
            <w:shd w:val="clear" w:color="auto" w:fill="auto"/>
            <w:noWrap/>
            <w:vAlign w:val="center"/>
            <w:hideMark/>
          </w:tcPr>
          <w:p w14:paraId="0DC4268F"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34,0</w:t>
            </w:r>
          </w:p>
        </w:tc>
        <w:tc>
          <w:tcPr>
            <w:tcW w:w="876" w:type="dxa"/>
            <w:shd w:val="clear" w:color="auto" w:fill="auto"/>
            <w:noWrap/>
            <w:vAlign w:val="center"/>
            <w:hideMark/>
          </w:tcPr>
          <w:p w14:paraId="3907EFE0"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26,4</w:t>
            </w:r>
          </w:p>
        </w:tc>
        <w:tc>
          <w:tcPr>
            <w:tcW w:w="875" w:type="dxa"/>
            <w:shd w:val="clear" w:color="auto" w:fill="auto"/>
            <w:noWrap/>
            <w:vAlign w:val="center"/>
            <w:hideMark/>
          </w:tcPr>
          <w:p w14:paraId="008A397F"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0,0</w:t>
            </w:r>
          </w:p>
        </w:tc>
        <w:tc>
          <w:tcPr>
            <w:tcW w:w="876" w:type="dxa"/>
            <w:shd w:val="clear" w:color="auto" w:fill="auto"/>
            <w:noWrap/>
            <w:vAlign w:val="center"/>
            <w:hideMark/>
          </w:tcPr>
          <w:p w14:paraId="51CC7DC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0,0</w:t>
            </w:r>
          </w:p>
        </w:tc>
        <w:tc>
          <w:tcPr>
            <w:tcW w:w="1630" w:type="dxa"/>
            <w:shd w:val="clear" w:color="auto" w:fill="auto"/>
            <w:noWrap/>
            <w:vAlign w:val="center"/>
            <w:hideMark/>
          </w:tcPr>
          <w:p w14:paraId="2D02F1F3"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23,8</w:t>
            </w:r>
          </w:p>
        </w:tc>
      </w:tr>
      <w:tr w:rsidR="00D74DA1" w:rsidRPr="0082231E" w14:paraId="4AC6C7B6" w14:textId="77777777" w:rsidTr="003873B0">
        <w:trPr>
          <w:trHeight w:val="332"/>
          <w:jc w:val="center"/>
        </w:trPr>
        <w:tc>
          <w:tcPr>
            <w:tcW w:w="1902" w:type="dxa"/>
            <w:shd w:val="clear" w:color="auto" w:fill="auto"/>
            <w:noWrap/>
            <w:vAlign w:val="center"/>
            <w:hideMark/>
          </w:tcPr>
          <w:p w14:paraId="1ABC0692"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4.Pr + Fl</w:t>
            </w:r>
          </w:p>
        </w:tc>
        <w:tc>
          <w:tcPr>
            <w:tcW w:w="1021" w:type="dxa"/>
            <w:shd w:val="clear" w:color="auto" w:fill="auto"/>
            <w:noWrap/>
            <w:vAlign w:val="center"/>
            <w:hideMark/>
          </w:tcPr>
          <w:p w14:paraId="3A54C417"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98,1</w:t>
            </w:r>
          </w:p>
        </w:tc>
        <w:tc>
          <w:tcPr>
            <w:tcW w:w="876" w:type="dxa"/>
            <w:shd w:val="clear" w:color="auto" w:fill="auto"/>
            <w:noWrap/>
            <w:vAlign w:val="center"/>
            <w:hideMark/>
          </w:tcPr>
          <w:p w14:paraId="60F370E8"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91,4</w:t>
            </w:r>
          </w:p>
        </w:tc>
        <w:tc>
          <w:tcPr>
            <w:tcW w:w="875" w:type="dxa"/>
            <w:shd w:val="clear" w:color="auto" w:fill="auto"/>
            <w:noWrap/>
            <w:vAlign w:val="center"/>
            <w:hideMark/>
          </w:tcPr>
          <w:p w14:paraId="763F6A37"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69,2</w:t>
            </w:r>
          </w:p>
        </w:tc>
        <w:tc>
          <w:tcPr>
            <w:tcW w:w="876" w:type="dxa"/>
            <w:shd w:val="clear" w:color="auto" w:fill="auto"/>
            <w:noWrap/>
            <w:vAlign w:val="center"/>
            <w:hideMark/>
          </w:tcPr>
          <w:p w14:paraId="79DABC6F"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72,1</w:t>
            </w:r>
          </w:p>
        </w:tc>
        <w:tc>
          <w:tcPr>
            <w:tcW w:w="875" w:type="dxa"/>
            <w:shd w:val="clear" w:color="auto" w:fill="auto"/>
            <w:noWrap/>
            <w:vAlign w:val="center"/>
            <w:hideMark/>
          </w:tcPr>
          <w:p w14:paraId="577BE349"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35,3</w:t>
            </w:r>
          </w:p>
        </w:tc>
        <w:tc>
          <w:tcPr>
            <w:tcW w:w="876" w:type="dxa"/>
            <w:shd w:val="clear" w:color="auto" w:fill="auto"/>
            <w:noWrap/>
            <w:vAlign w:val="center"/>
            <w:hideMark/>
          </w:tcPr>
          <w:p w14:paraId="46CB5630"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33,0</w:t>
            </w:r>
          </w:p>
        </w:tc>
        <w:tc>
          <w:tcPr>
            <w:tcW w:w="1630" w:type="dxa"/>
            <w:shd w:val="clear" w:color="auto" w:fill="auto"/>
            <w:noWrap/>
            <w:vAlign w:val="center"/>
            <w:hideMark/>
          </w:tcPr>
          <w:p w14:paraId="01B65425"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66,5</w:t>
            </w:r>
          </w:p>
        </w:tc>
      </w:tr>
      <w:tr w:rsidR="00D74DA1" w:rsidRPr="0082231E" w14:paraId="12FF873F" w14:textId="77777777" w:rsidTr="003873B0">
        <w:trPr>
          <w:trHeight w:val="332"/>
          <w:jc w:val="center"/>
        </w:trPr>
        <w:tc>
          <w:tcPr>
            <w:tcW w:w="1902" w:type="dxa"/>
            <w:shd w:val="clear" w:color="auto" w:fill="auto"/>
            <w:noWrap/>
            <w:vAlign w:val="center"/>
            <w:hideMark/>
          </w:tcPr>
          <w:p w14:paraId="46E87AC5"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5.Pc + Bz</w:t>
            </w:r>
          </w:p>
        </w:tc>
        <w:tc>
          <w:tcPr>
            <w:tcW w:w="1021" w:type="dxa"/>
            <w:shd w:val="clear" w:color="auto" w:fill="auto"/>
            <w:noWrap/>
            <w:vAlign w:val="center"/>
            <w:hideMark/>
          </w:tcPr>
          <w:p w14:paraId="5FBAA664"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99,2</w:t>
            </w:r>
          </w:p>
        </w:tc>
        <w:tc>
          <w:tcPr>
            <w:tcW w:w="876" w:type="dxa"/>
            <w:shd w:val="clear" w:color="auto" w:fill="auto"/>
            <w:noWrap/>
            <w:vAlign w:val="center"/>
            <w:hideMark/>
          </w:tcPr>
          <w:p w14:paraId="168E2778"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95,4</w:t>
            </w:r>
          </w:p>
        </w:tc>
        <w:tc>
          <w:tcPr>
            <w:tcW w:w="875" w:type="dxa"/>
            <w:shd w:val="clear" w:color="auto" w:fill="auto"/>
            <w:noWrap/>
            <w:vAlign w:val="center"/>
            <w:hideMark/>
          </w:tcPr>
          <w:p w14:paraId="668CD19A"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96,8</w:t>
            </w:r>
          </w:p>
        </w:tc>
        <w:tc>
          <w:tcPr>
            <w:tcW w:w="876" w:type="dxa"/>
            <w:shd w:val="clear" w:color="auto" w:fill="auto"/>
            <w:noWrap/>
            <w:vAlign w:val="center"/>
            <w:hideMark/>
          </w:tcPr>
          <w:p w14:paraId="4351E4D3"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92,4</w:t>
            </w:r>
          </w:p>
        </w:tc>
        <w:tc>
          <w:tcPr>
            <w:tcW w:w="875" w:type="dxa"/>
            <w:shd w:val="clear" w:color="auto" w:fill="auto"/>
            <w:noWrap/>
            <w:vAlign w:val="center"/>
            <w:hideMark/>
          </w:tcPr>
          <w:p w14:paraId="37C4515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76,1</w:t>
            </w:r>
          </w:p>
        </w:tc>
        <w:tc>
          <w:tcPr>
            <w:tcW w:w="876" w:type="dxa"/>
            <w:shd w:val="clear" w:color="auto" w:fill="auto"/>
            <w:noWrap/>
            <w:vAlign w:val="center"/>
            <w:hideMark/>
          </w:tcPr>
          <w:p w14:paraId="0172270B"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75,8</w:t>
            </w:r>
          </w:p>
        </w:tc>
        <w:tc>
          <w:tcPr>
            <w:tcW w:w="1630" w:type="dxa"/>
            <w:shd w:val="clear" w:color="auto" w:fill="auto"/>
            <w:noWrap/>
            <w:vAlign w:val="center"/>
            <w:hideMark/>
          </w:tcPr>
          <w:p w14:paraId="135084B3"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89,3</w:t>
            </w:r>
          </w:p>
        </w:tc>
      </w:tr>
      <w:tr w:rsidR="00D74DA1" w:rsidRPr="0082231E" w14:paraId="2730508E" w14:textId="77777777" w:rsidTr="003873B0">
        <w:trPr>
          <w:trHeight w:val="332"/>
          <w:jc w:val="center"/>
        </w:trPr>
        <w:tc>
          <w:tcPr>
            <w:tcW w:w="1902" w:type="dxa"/>
            <w:shd w:val="clear" w:color="auto" w:fill="auto"/>
            <w:noWrap/>
            <w:vAlign w:val="center"/>
            <w:hideMark/>
          </w:tcPr>
          <w:p w14:paraId="6FF42E0C"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6.Pr + Fl + Ep</w:t>
            </w:r>
          </w:p>
        </w:tc>
        <w:tc>
          <w:tcPr>
            <w:tcW w:w="1021" w:type="dxa"/>
            <w:shd w:val="clear" w:color="auto" w:fill="auto"/>
            <w:noWrap/>
            <w:vAlign w:val="center"/>
            <w:hideMark/>
          </w:tcPr>
          <w:p w14:paraId="059786B9"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92,7</w:t>
            </w:r>
          </w:p>
        </w:tc>
        <w:tc>
          <w:tcPr>
            <w:tcW w:w="876" w:type="dxa"/>
            <w:shd w:val="clear" w:color="auto" w:fill="auto"/>
            <w:noWrap/>
            <w:vAlign w:val="center"/>
            <w:hideMark/>
          </w:tcPr>
          <w:p w14:paraId="211828EC"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90,1</w:t>
            </w:r>
          </w:p>
        </w:tc>
        <w:tc>
          <w:tcPr>
            <w:tcW w:w="875" w:type="dxa"/>
            <w:shd w:val="clear" w:color="auto" w:fill="auto"/>
            <w:noWrap/>
            <w:vAlign w:val="center"/>
            <w:hideMark/>
          </w:tcPr>
          <w:p w14:paraId="36E6A4A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87,8</w:t>
            </w:r>
          </w:p>
        </w:tc>
        <w:tc>
          <w:tcPr>
            <w:tcW w:w="876" w:type="dxa"/>
            <w:shd w:val="clear" w:color="auto" w:fill="auto"/>
            <w:noWrap/>
            <w:vAlign w:val="center"/>
            <w:hideMark/>
          </w:tcPr>
          <w:p w14:paraId="49484A80"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80,1</w:t>
            </w:r>
          </w:p>
        </w:tc>
        <w:tc>
          <w:tcPr>
            <w:tcW w:w="875" w:type="dxa"/>
            <w:shd w:val="clear" w:color="auto" w:fill="auto"/>
            <w:noWrap/>
            <w:vAlign w:val="center"/>
            <w:hideMark/>
          </w:tcPr>
          <w:p w14:paraId="755EFF8A"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57,9</w:t>
            </w:r>
          </w:p>
        </w:tc>
        <w:tc>
          <w:tcPr>
            <w:tcW w:w="876" w:type="dxa"/>
            <w:shd w:val="clear" w:color="auto" w:fill="auto"/>
            <w:noWrap/>
            <w:vAlign w:val="center"/>
            <w:hideMark/>
          </w:tcPr>
          <w:p w14:paraId="587E58A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0,0</w:t>
            </w:r>
          </w:p>
        </w:tc>
        <w:tc>
          <w:tcPr>
            <w:tcW w:w="1630" w:type="dxa"/>
            <w:shd w:val="clear" w:color="auto" w:fill="auto"/>
            <w:noWrap/>
            <w:vAlign w:val="center"/>
            <w:hideMark/>
          </w:tcPr>
          <w:p w14:paraId="021CD552"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68,1</w:t>
            </w:r>
          </w:p>
        </w:tc>
      </w:tr>
      <w:tr w:rsidR="00D74DA1" w:rsidRPr="0082231E" w14:paraId="54F1A783" w14:textId="77777777" w:rsidTr="003873B0">
        <w:trPr>
          <w:trHeight w:val="332"/>
          <w:jc w:val="center"/>
        </w:trPr>
        <w:tc>
          <w:tcPr>
            <w:tcW w:w="1902" w:type="dxa"/>
            <w:shd w:val="clear" w:color="auto" w:fill="auto"/>
            <w:noWrap/>
            <w:vAlign w:val="center"/>
            <w:hideMark/>
          </w:tcPr>
          <w:p w14:paraId="038F200C"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7.Tr + Bx + Pr</w:t>
            </w:r>
          </w:p>
        </w:tc>
        <w:tc>
          <w:tcPr>
            <w:tcW w:w="1021" w:type="dxa"/>
            <w:shd w:val="clear" w:color="auto" w:fill="auto"/>
            <w:noWrap/>
            <w:vAlign w:val="center"/>
            <w:hideMark/>
          </w:tcPr>
          <w:p w14:paraId="24CD2947"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99,4</w:t>
            </w:r>
          </w:p>
        </w:tc>
        <w:tc>
          <w:tcPr>
            <w:tcW w:w="876" w:type="dxa"/>
            <w:shd w:val="clear" w:color="auto" w:fill="auto"/>
            <w:noWrap/>
            <w:vAlign w:val="center"/>
            <w:hideMark/>
          </w:tcPr>
          <w:p w14:paraId="6DB5561E"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99,3</w:t>
            </w:r>
          </w:p>
        </w:tc>
        <w:tc>
          <w:tcPr>
            <w:tcW w:w="875" w:type="dxa"/>
            <w:shd w:val="clear" w:color="auto" w:fill="auto"/>
            <w:noWrap/>
            <w:vAlign w:val="center"/>
            <w:hideMark/>
          </w:tcPr>
          <w:p w14:paraId="60B5A81F"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96,4</w:t>
            </w:r>
          </w:p>
        </w:tc>
        <w:tc>
          <w:tcPr>
            <w:tcW w:w="876" w:type="dxa"/>
            <w:shd w:val="clear" w:color="auto" w:fill="auto"/>
            <w:noWrap/>
            <w:vAlign w:val="center"/>
            <w:hideMark/>
          </w:tcPr>
          <w:p w14:paraId="33FF8468"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96,1</w:t>
            </w:r>
          </w:p>
        </w:tc>
        <w:tc>
          <w:tcPr>
            <w:tcW w:w="875" w:type="dxa"/>
            <w:shd w:val="clear" w:color="auto" w:fill="auto"/>
            <w:noWrap/>
            <w:vAlign w:val="center"/>
            <w:hideMark/>
          </w:tcPr>
          <w:p w14:paraId="6C8746C5"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82,6</w:t>
            </w:r>
          </w:p>
        </w:tc>
        <w:tc>
          <w:tcPr>
            <w:tcW w:w="876" w:type="dxa"/>
            <w:shd w:val="clear" w:color="auto" w:fill="auto"/>
            <w:noWrap/>
            <w:vAlign w:val="center"/>
            <w:hideMark/>
          </w:tcPr>
          <w:p w14:paraId="1CB2EE3A"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70,6</w:t>
            </w:r>
          </w:p>
        </w:tc>
        <w:tc>
          <w:tcPr>
            <w:tcW w:w="1630" w:type="dxa"/>
            <w:shd w:val="clear" w:color="auto" w:fill="auto"/>
            <w:noWrap/>
            <w:vAlign w:val="center"/>
            <w:hideMark/>
          </w:tcPr>
          <w:p w14:paraId="1769E7E3"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90,7</w:t>
            </w:r>
          </w:p>
        </w:tc>
      </w:tr>
      <w:tr w:rsidR="00D74DA1" w:rsidRPr="0082231E" w14:paraId="52BAF842" w14:textId="77777777" w:rsidTr="003873B0">
        <w:trPr>
          <w:trHeight w:val="332"/>
          <w:jc w:val="center"/>
        </w:trPr>
        <w:tc>
          <w:tcPr>
            <w:tcW w:w="1902" w:type="dxa"/>
            <w:shd w:val="clear" w:color="auto" w:fill="auto"/>
            <w:noWrap/>
            <w:vAlign w:val="center"/>
            <w:hideMark/>
          </w:tcPr>
          <w:p w14:paraId="55B42155"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8.Az + Bz + Ci + Di</w:t>
            </w:r>
          </w:p>
        </w:tc>
        <w:tc>
          <w:tcPr>
            <w:tcW w:w="1021" w:type="dxa"/>
            <w:shd w:val="clear" w:color="auto" w:fill="auto"/>
            <w:noWrap/>
            <w:vAlign w:val="center"/>
            <w:hideMark/>
          </w:tcPr>
          <w:p w14:paraId="7A6FA46C"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96,1</w:t>
            </w:r>
          </w:p>
        </w:tc>
        <w:tc>
          <w:tcPr>
            <w:tcW w:w="876" w:type="dxa"/>
            <w:shd w:val="clear" w:color="auto" w:fill="auto"/>
            <w:noWrap/>
            <w:vAlign w:val="center"/>
            <w:hideMark/>
          </w:tcPr>
          <w:p w14:paraId="2803CEA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94,5</w:t>
            </w:r>
          </w:p>
        </w:tc>
        <w:tc>
          <w:tcPr>
            <w:tcW w:w="875" w:type="dxa"/>
            <w:shd w:val="clear" w:color="auto" w:fill="auto"/>
            <w:noWrap/>
            <w:vAlign w:val="center"/>
            <w:hideMark/>
          </w:tcPr>
          <w:p w14:paraId="351C9E09"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94,9</w:t>
            </w:r>
          </w:p>
        </w:tc>
        <w:tc>
          <w:tcPr>
            <w:tcW w:w="876" w:type="dxa"/>
            <w:shd w:val="clear" w:color="auto" w:fill="auto"/>
            <w:noWrap/>
            <w:vAlign w:val="center"/>
            <w:hideMark/>
          </w:tcPr>
          <w:p w14:paraId="25E79B49"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94,4</w:t>
            </w:r>
          </w:p>
        </w:tc>
        <w:tc>
          <w:tcPr>
            <w:tcW w:w="875" w:type="dxa"/>
            <w:shd w:val="clear" w:color="auto" w:fill="auto"/>
            <w:noWrap/>
            <w:vAlign w:val="center"/>
            <w:hideMark/>
          </w:tcPr>
          <w:p w14:paraId="413CF518"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74,4</w:t>
            </w:r>
          </w:p>
        </w:tc>
        <w:tc>
          <w:tcPr>
            <w:tcW w:w="876" w:type="dxa"/>
            <w:shd w:val="clear" w:color="auto" w:fill="auto"/>
            <w:noWrap/>
            <w:vAlign w:val="center"/>
            <w:hideMark/>
          </w:tcPr>
          <w:p w14:paraId="5A936EB0"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68,7</w:t>
            </w:r>
          </w:p>
        </w:tc>
        <w:tc>
          <w:tcPr>
            <w:tcW w:w="1630" w:type="dxa"/>
            <w:shd w:val="clear" w:color="auto" w:fill="auto"/>
            <w:noWrap/>
            <w:vAlign w:val="center"/>
            <w:hideMark/>
          </w:tcPr>
          <w:p w14:paraId="650A2F06"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87,2</w:t>
            </w:r>
          </w:p>
        </w:tc>
      </w:tr>
      <w:tr w:rsidR="00D74DA1" w:rsidRPr="0082231E" w14:paraId="10514E66" w14:textId="77777777" w:rsidTr="003873B0">
        <w:trPr>
          <w:trHeight w:val="332"/>
          <w:jc w:val="center"/>
        </w:trPr>
        <w:tc>
          <w:tcPr>
            <w:tcW w:w="1902" w:type="dxa"/>
            <w:tcBorders>
              <w:bottom w:val="single" w:sz="4" w:space="0" w:color="auto"/>
            </w:tcBorders>
            <w:shd w:val="clear" w:color="auto" w:fill="auto"/>
            <w:noWrap/>
            <w:vAlign w:val="center"/>
            <w:hideMark/>
          </w:tcPr>
          <w:p w14:paraId="69D2D836"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9.Az + Bz + Mz</w:t>
            </w:r>
          </w:p>
        </w:tc>
        <w:tc>
          <w:tcPr>
            <w:tcW w:w="1021" w:type="dxa"/>
            <w:tcBorders>
              <w:bottom w:val="single" w:sz="4" w:space="0" w:color="auto"/>
            </w:tcBorders>
            <w:shd w:val="clear" w:color="auto" w:fill="auto"/>
            <w:noWrap/>
            <w:vAlign w:val="center"/>
            <w:hideMark/>
          </w:tcPr>
          <w:p w14:paraId="58BD8075"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89,0</w:t>
            </w:r>
          </w:p>
        </w:tc>
        <w:tc>
          <w:tcPr>
            <w:tcW w:w="876" w:type="dxa"/>
            <w:tcBorders>
              <w:bottom w:val="single" w:sz="4" w:space="0" w:color="auto"/>
            </w:tcBorders>
            <w:shd w:val="clear" w:color="auto" w:fill="auto"/>
            <w:noWrap/>
            <w:vAlign w:val="center"/>
            <w:hideMark/>
          </w:tcPr>
          <w:p w14:paraId="78F5F778"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85,7</w:t>
            </w:r>
          </w:p>
        </w:tc>
        <w:tc>
          <w:tcPr>
            <w:tcW w:w="875" w:type="dxa"/>
            <w:tcBorders>
              <w:bottom w:val="single" w:sz="4" w:space="0" w:color="auto"/>
            </w:tcBorders>
            <w:shd w:val="clear" w:color="auto" w:fill="auto"/>
            <w:noWrap/>
            <w:vAlign w:val="center"/>
            <w:hideMark/>
          </w:tcPr>
          <w:p w14:paraId="0F23B72D"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64,9</w:t>
            </w:r>
          </w:p>
        </w:tc>
        <w:tc>
          <w:tcPr>
            <w:tcW w:w="876" w:type="dxa"/>
            <w:tcBorders>
              <w:bottom w:val="single" w:sz="4" w:space="0" w:color="auto"/>
            </w:tcBorders>
            <w:shd w:val="clear" w:color="auto" w:fill="auto"/>
            <w:noWrap/>
            <w:vAlign w:val="center"/>
            <w:hideMark/>
          </w:tcPr>
          <w:p w14:paraId="6836E122"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32,8</w:t>
            </w:r>
          </w:p>
        </w:tc>
        <w:tc>
          <w:tcPr>
            <w:tcW w:w="875" w:type="dxa"/>
            <w:tcBorders>
              <w:bottom w:val="single" w:sz="4" w:space="0" w:color="auto"/>
            </w:tcBorders>
            <w:shd w:val="clear" w:color="auto" w:fill="auto"/>
            <w:noWrap/>
            <w:vAlign w:val="center"/>
            <w:hideMark/>
          </w:tcPr>
          <w:p w14:paraId="1C67C080"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17,7</w:t>
            </w:r>
          </w:p>
        </w:tc>
        <w:tc>
          <w:tcPr>
            <w:tcW w:w="876" w:type="dxa"/>
            <w:tcBorders>
              <w:bottom w:val="single" w:sz="4" w:space="0" w:color="auto"/>
            </w:tcBorders>
            <w:shd w:val="clear" w:color="auto" w:fill="auto"/>
            <w:noWrap/>
            <w:vAlign w:val="center"/>
            <w:hideMark/>
          </w:tcPr>
          <w:p w14:paraId="5350BE99"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15,5</w:t>
            </w:r>
          </w:p>
        </w:tc>
        <w:tc>
          <w:tcPr>
            <w:tcW w:w="1630" w:type="dxa"/>
            <w:tcBorders>
              <w:bottom w:val="single" w:sz="4" w:space="0" w:color="auto"/>
            </w:tcBorders>
            <w:shd w:val="clear" w:color="auto" w:fill="auto"/>
            <w:noWrap/>
            <w:vAlign w:val="center"/>
            <w:hideMark/>
          </w:tcPr>
          <w:p w14:paraId="5BACD417"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50,9</w:t>
            </w:r>
          </w:p>
        </w:tc>
      </w:tr>
      <w:tr w:rsidR="00D74DA1" w:rsidRPr="0082231E" w14:paraId="4A7B01AE" w14:textId="77777777" w:rsidTr="003873B0">
        <w:trPr>
          <w:trHeight w:val="332"/>
          <w:jc w:val="center"/>
        </w:trPr>
        <w:tc>
          <w:tcPr>
            <w:tcW w:w="1902" w:type="dxa"/>
            <w:tcBorders>
              <w:top w:val="single" w:sz="4" w:space="0" w:color="auto"/>
              <w:bottom w:val="single" w:sz="4" w:space="0" w:color="auto"/>
            </w:tcBorders>
            <w:shd w:val="clear" w:color="auto" w:fill="auto"/>
            <w:noWrap/>
            <w:vAlign w:val="center"/>
            <w:hideMark/>
          </w:tcPr>
          <w:p w14:paraId="1A3962F1" w14:textId="77777777" w:rsidR="00D74DA1" w:rsidRPr="0082231E" w:rsidRDefault="00D74DA1" w:rsidP="00D74DA1">
            <w:pPr>
              <w:autoSpaceDE/>
              <w:autoSpaceDN/>
              <w:adjustRightInd/>
              <w:spacing w:after="0" w:line="360" w:lineRule="auto"/>
              <w:ind w:firstLine="0"/>
              <w:jc w:val="center"/>
              <w:rPr>
                <w:b/>
                <w:bCs/>
                <w:color w:val="000000"/>
                <w:sz w:val="20"/>
                <w:szCs w:val="20"/>
              </w:rPr>
            </w:pPr>
            <w:r w:rsidRPr="0082231E">
              <w:rPr>
                <w:b/>
                <w:bCs/>
                <w:color w:val="000000"/>
                <w:sz w:val="20"/>
                <w:szCs w:val="20"/>
              </w:rPr>
              <w:t>Média</w:t>
            </w:r>
          </w:p>
        </w:tc>
        <w:tc>
          <w:tcPr>
            <w:tcW w:w="1021" w:type="dxa"/>
            <w:tcBorders>
              <w:top w:val="single" w:sz="4" w:space="0" w:color="auto"/>
              <w:bottom w:val="single" w:sz="4" w:space="0" w:color="auto"/>
            </w:tcBorders>
            <w:shd w:val="clear" w:color="auto" w:fill="auto"/>
            <w:noWrap/>
            <w:vAlign w:val="center"/>
            <w:hideMark/>
          </w:tcPr>
          <w:p w14:paraId="269580C2"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89,2</w:t>
            </w:r>
          </w:p>
        </w:tc>
        <w:tc>
          <w:tcPr>
            <w:tcW w:w="876" w:type="dxa"/>
            <w:tcBorders>
              <w:top w:val="single" w:sz="4" w:space="0" w:color="auto"/>
              <w:bottom w:val="single" w:sz="4" w:space="0" w:color="auto"/>
            </w:tcBorders>
            <w:shd w:val="clear" w:color="auto" w:fill="auto"/>
            <w:noWrap/>
            <w:vAlign w:val="center"/>
            <w:hideMark/>
          </w:tcPr>
          <w:p w14:paraId="507957B6"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87,0</w:t>
            </w:r>
          </w:p>
        </w:tc>
        <w:tc>
          <w:tcPr>
            <w:tcW w:w="875" w:type="dxa"/>
            <w:tcBorders>
              <w:top w:val="single" w:sz="4" w:space="0" w:color="auto"/>
              <w:bottom w:val="single" w:sz="4" w:space="0" w:color="auto"/>
            </w:tcBorders>
            <w:shd w:val="clear" w:color="auto" w:fill="auto"/>
            <w:noWrap/>
            <w:vAlign w:val="center"/>
            <w:hideMark/>
          </w:tcPr>
          <w:p w14:paraId="5A26B4A9"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80,2</w:t>
            </w:r>
          </w:p>
        </w:tc>
        <w:tc>
          <w:tcPr>
            <w:tcW w:w="876" w:type="dxa"/>
            <w:tcBorders>
              <w:top w:val="single" w:sz="4" w:space="0" w:color="auto"/>
              <w:bottom w:val="single" w:sz="4" w:space="0" w:color="auto"/>
            </w:tcBorders>
            <w:shd w:val="clear" w:color="auto" w:fill="auto"/>
            <w:noWrap/>
            <w:vAlign w:val="center"/>
            <w:hideMark/>
          </w:tcPr>
          <w:p w14:paraId="19EDA58B"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73,6</w:t>
            </w:r>
          </w:p>
        </w:tc>
        <w:tc>
          <w:tcPr>
            <w:tcW w:w="875" w:type="dxa"/>
            <w:tcBorders>
              <w:top w:val="single" w:sz="4" w:space="0" w:color="auto"/>
              <w:bottom w:val="single" w:sz="4" w:space="0" w:color="auto"/>
            </w:tcBorders>
            <w:shd w:val="clear" w:color="auto" w:fill="auto"/>
            <w:noWrap/>
            <w:vAlign w:val="center"/>
            <w:hideMark/>
          </w:tcPr>
          <w:p w14:paraId="4CF4796C"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52,9</w:t>
            </w:r>
          </w:p>
        </w:tc>
        <w:tc>
          <w:tcPr>
            <w:tcW w:w="876" w:type="dxa"/>
            <w:tcBorders>
              <w:top w:val="single" w:sz="4" w:space="0" w:color="auto"/>
              <w:bottom w:val="single" w:sz="4" w:space="0" w:color="auto"/>
            </w:tcBorders>
            <w:shd w:val="clear" w:color="auto" w:fill="auto"/>
            <w:noWrap/>
            <w:vAlign w:val="center"/>
            <w:hideMark/>
          </w:tcPr>
          <w:p w14:paraId="59E2F95A"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41,2</w:t>
            </w:r>
          </w:p>
        </w:tc>
        <w:tc>
          <w:tcPr>
            <w:tcW w:w="1630" w:type="dxa"/>
            <w:tcBorders>
              <w:top w:val="single" w:sz="4" w:space="0" w:color="auto"/>
              <w:bottom w:val="single" w:sz="4" w:space="0" w:color="auto"/>
            </w:tcBorders>
            <w:shd w:val="clear" w:color="auto" w:fill="auto"/>
            <w:noWrap/>
            <w:vAlign w:val="center"/>
            <w:hideMark/>
          </w:tcPr>
          <w:p w14:paraId="7384D8B8" w14:textId="77777777" w:rsidR="00D74DA1" w:rsidRPr="0082231E" w:rsidRDefault="00D74DA1" w:rsidP="00D74DA1">
            <w:pPr>
              <w:autoSpaceDE/>
              <w:autoSpaceDN/>
              <w:adjustRightInd/>
              <w:spacing w:after="0" w:line="360" w:lineRule="auto"/>
              <w:ind w:firstLine="0"/>
              <w:jc w:val="center"/>
              <w:rPr>
                <w:color w:val="000000"/>
                <w:sz w:val="20"/>
                <w:szCs w:val="20"/>
              </w:rPr>
            </w:pPr>
            <w:r w:rsidRPr="0082231E">
              <w:rPr>
                <w:color w:val="000000"/>
                <w:sz w:val="20"/>
                <w:szCs w:val="20"/>
              </w:rPr>
              <w:t>70,7</w:t>
            </w:r>
          </w:p>
        </w:tc>
      </w:tr>
    </w:tbl>
    <w:p w14:paraId="6BFC4D58" w14:textId="77777777" w:rsidR="00D74DA1" w:rsidRPr="0082231E" w:rsidRDefault="00D74DA1" w:rsidP="003873B0">
      <w:pPr>
        <w:tabs>
          <w:tab w:val="left" w:pos="8505"/>
        </w:tabs>
        <w:autoSpaceDE/>
        <w:autoSpaceDN/>
        <w:adjustRightInd/>
        <w:spacing w:after="0" w:line="360" w:lineRule="auto"/>
        <w:ind w:left="142" w:right="140" w:firstLine="0"/>
        <w:rPr>
          <w:color w:val="000000" w:themeColor="text1"/>
          <w:sz w:val="16"/>
          <w:szCs w:val="16"/>
        </w:rPr>
      </w:pPr>
      <w:r w:rsidRPr="0082231E">
        <w:rPr>
          <w:color w:val="000000" w:themeColor="text1"/>
          <w:sz w:val="16"/>
          <w:szCs w:val="16"/>
        </w:rPr>
        <w:t>Momentos: M1) 48 h antes da inoculação; M2) 24 h após a inoculação; M3) 48 h após a inoculação; M4) 72 h após a inoculação; M5) 120 h após a inoculação; M6) 168 h após a inoculação; Tratamentos: 1. Testemunha, 2. Trifloxistrobina +Protioconazole, 3. Azoxistrobina + Benzovindiflupyr, 4. Piraclostrobina + Fluxapyroxada, 5. Picoxistrobina + Benzovindiflupyr, 6. Piraclostrobina + Fluxapyroxada + Epoxiconazole, 7. Trifloxistrobina + Bixafeno + Protioconazole, 8. Azoxistrobina + Benzovindiflupyr + Ciproconazole + Difenoconazole, 9. Azoxistrobina + Benzovindiflupyr + Mancozebe.</w:t>
      </w:r>
    </w:p>
    <w:p w14:paraId="4AD44CF3" w14:textId="48DE904D" w:rsidR="00D74DA1" w:rsidRDefault="00D74DA1" w:rsidP="00516785">
      <w:pPr>
        <w:spacing w:after="0" w:line="360" w:lineRule="auto"/>
      </w:pPr>
    </w:p>
    <w:p w14:paraId="2AA7BF68" w14:textId="77777777" w:rsidR="00ED0A8E" w:rsidRDefault="00C003E4" w:rsidP="00516785">
      <w:pPr>
        <w:spacing w:after="0" w:line="360" w:lineRule="auto"/>
      </w:pPr>
      <w:r w:rsidRPr="00B7238F">
        <w:t>A média de controle foi superior a 80 % quando os fungicidas foram aplicados até 48 horas após a inoculação (Tabela 6), e a redução média de eficiência de controle por dia de atraso da aplicação de fungicida foi 5,9 % (Tabela 6). Quando os fungicidas foram aplicados até 120 horas após a inoculação a média de controle da FAS foi superior a 50% (Tabela 6).</w:t>
      </w:r>
    </w:p>
    <w:p w14:paraId="767E22E7" w14:textId="77777777" w:rsidR="00ED0A8E" w:rsidRDefault="00C003E4" w:rsidP="00516785">
      <w:pPr>
        <w:spacing w:after="0" w:line="360" w:lineRule="auto"/>
      </w:pPr>
      <w:r w:rsidRPr="00B7238F">
        <w:t>Todos os fungicidas apresentaram menor número de lesões que a testemunha quando aplicados entre 48 hs antes e 72 hs após a inoculação (Tabela 5). A eficiência de controle da FAS pelo fungicida azoxistrobina + benzovindiflupyr (Az + Bz) foi nula quando a aplicação ocorreu entre 120 e 168 hs após a inoculação (Tabela 6). O mesmo ocorreu para aplicação de piraclostrobina + fluxapyroxada + epoxiconazole (Pr + Fl +Ep) 168 hs após a inoculação (Tabela 6).</w:t>
      </w:r>
    </w:p>
    <w:p w14:paraId="11E1A6FF" w14:textId="77777777" w:rsidR="00ED0A8E" w:rsidRDefault="00C003E4" w:rsidP="00516785">
      <w:pPr>
        <w:spacing w:after="0" w:line="360" w:lineRule="auto"/>
      </w:pPr>
      <w:r w:rsidRPr="00B7238F">
        <w:t>Os maiores valores de intensidade de FAS e menor eficiência de controle entre os fungicidas testados foram observados para Az + Bz independente do momento de aplicação (Tabela 5 e Tabela 6).</w:t>
      </w:r>
    </w:p>
    <w:p w14:paraId="555002BC" w14:textId="77777777" w:rsidR="00ED0A8E" w:rsidRDefault="00C003E4" w:rsidP="00516785">
      <w:pPr>
        <w:spacing w:after="0" w:line="360" w:lineRule="auto"/>
      </w:pPr>
      <w:r w:rsidRPr="00B7238F">
        <w:t>Os fungicidas testados apresentaram diferença quanto ao potencial curativo, sendo trifloxistrobina + protioconazole + bixafeno (Tr + Bx + Pz), trifloxistrobina + protioconazole (Tr + Pz), picoxistrobina + benzovindiflupyr (Pc + Bz) e azoxistrobina + benzovindiflupyr + ciproconazole + difenoconazole (Az + Bz + Ci +Di) os tratamentos com maior eficiência de controle curativo (Tabela 6). Estes fungicidas foram os únicos a apresentarem controle superior a 90 % quando pulverizados 72 hs após a inoculação, e maior que 65 % quando aplicados 168 horas após a inoculação (Tabela 6).</w:t>
      </w:r>
    </w:p>
    <w:p w14:paraId="375317D8" w14:textId="77777777" w:rsidR="00ED0A8E" w:rsidRDefault="00C003E4" w:rsidP="00516785">
      <w:pPr>
        <w:spacing w:after="0" w:line="360" w:lineRule="auto"/>
      </w:pPr>
      <w:r w:rsidRPr="00B7238F">
        <w:t xml:space="preserve">Quando as aplicações foram realizadas 48 hs antes da inoculação o menor valor de número de lesões.cm </w:t>
      </w:r>
      <w:r w:rsidRPr="00B7238F">
        <w:rPr>
          <w:vertAlign w:val="superscript"/>
        </w:rPr>
        <w:t>-2</w:t>
      </w:r>
      <w:r w:rsidRPr="00B7238F">
        <w:t xml:space="preserve"> foi observado para Tr + Bx + Pz (0,08), o qual não diferiu de Tr + Pz (0,28), piraclostrobina + fluxapyroxada (Pr + Fl) (0,23), Pc + Bz (0,10), Az + Bz + Ci + Di (0,45), azoxistrobina + benzovindiflupyr + mancozebe (Az + Bz + Mz) (0,35) (Tabela 5). A média de controle da doença foi 89,2 %, sendo neste momento de aplicação observadas as menores diferenças entre os fungicidas (Tabela 6).</w:t>
      </w:r>
    </w:p>
    <w:p w14:paraId="1D986A6A" w14:textId="77777777" w:rsidR="00ED0A8E" w:rsidRDefault="00C003E4" w:rsidP="00516785">
      <w:pPr>
        <w:spacing w:after="0" w:line="360" w:lineRule="auto"/>
      </w:pPr>
      <w:r w:rsidRPr="00B7238F">
        <w:t>Em pulverizações realizadas 24 hs após a inoculação somente o fungicida Az + Bz apresentou controle inferior a 80 % (Tabela 6). O número médio de lesões.cm</w:t>
      </w:r>
      <w:r w:rsidRPr="00B7238F">
        <w:rPr>
          <w:vertAlign w:val="superscript"/>
        </w:rPr>
        <w:t>-2</w:t>
      </w:r>
      <w:r w:rsidRPr="00B7238F">
        <w:t xml:space="preserve"> e controle da FAS foram 2,58 (Tabela 5) e 87 % (Tabela 6) respectivamente. Os maiores valores de controle foram observados para Tr + Bx + Pz, o qual não diferiu quanto ao número de lesões.cm</w:t>
      </w:r>
      <w:r w:rsidRPr="00B7238F">
        <w:rPr>
          <w:vertAlign w:val="superscript"/>
        </w:rPr>
        <w:t>-2</w:t>
      </w:r>
      <w:r w:rsidRPr="00B7238F">
        <w:t xml:space="preserve"> em relação a Tr + Pz, Az + Bz + Ci + Di e Pc + Bz (Tabela 6).</w:t>
      </w:r>
    </w:p>
    <w:p w14:paraId="3DFD31C7" w14:textId="5E41CE69" w:rsidR="00C003E4" w:rsidRPr="00B7238F" w:rsidRDefault="00C003E4" w:rsidP="00516785">
      <w:pPr>
        <w:spacing w:after="0" w:line="360" w:lineRule="auto"/>
        <w:rPr>
          <w:highlight w:val="yellow"/>
        </w:rPr>
      </w:pPr>
      <w:r w:rsidRPr="00B7238F">
        <w:t>A média de controle da FAS dos fungicidas quando aplicados 48 hs após a inoculação foi de 80,2 % (Tabela 6).  A aplicação de Pr + Fl e Az + Bz + Mz apresentaram menor número de lesões que Az + Bz e testemunha, porém estes valores foram superiores aos tratamentos com os demais fungicidas testados (Tabela 5). Os menores valores de número de lesões.cm</w:t>
      </w:r>
      <w:r w:rsidRPr="00B7238F">
        <w:rPr>
          <w:vertAlign w:val="superscript"/>
        </w:rPr>
        <w:t>-2</w:t>
      </w:r>
      <w:r w:rsidRPr="00B7238F">
        <w:t xml:space="preserve"> foram observados para Tr + Pz (0,25), o qual não diferiu de Tr + Bx + Pz (0,43), Az + Bz + Ci + Di (0,6) e Pc + Bz (0,38). O fungicida Pr + Fl + Ep (87,8 %) apresentou controle da doença superior a Pr + Fl (69,2 %) e Az + Bz + Mz (64,9 %), os dois últimos tratamentos não diferindo entre si (Tabela 5).</w:t>
      </w:r>
    </w:p>
    <w:p w14:paraId="356B7829" w14:textId="77777777" w:rsidR="00C003E4" w:rsidRPr="00B7238F" w:rsidRDefault="00C003E4" w:rsidP="00516785">
      <w:pPr>
        <w:spacing w:after="0" w:line="360" w:lineRule="auto"/>
      </w:pPr>
      <w:r w:rsidRPr="00B7238F">
        <w:t>Quando as pulverizações de fungicidas foram realizadas 72 hs após a inoculação foi observado menor número de lesões.cm</w:t>
      </w:r>
      <w:r w:rsidRPr="00B7238F">
        <w:rPr>
          <w:vertAlign w:val="superscript"/>
        </w:rPr>
        <w:t>-2</w:t>
      </w:r>
      <w:r w:rsidRPr="00B7238F">
        <w:t xml:space="preserve"> para Pr + Fl + Ep (2,3) que Pr + Fl (3,23), sendo a intensidade de doença deste último inferior a detectada para Az + Bz + Mz (7,78) (Tabela 5). Os maiores valores de controle da FAS foram observados para Tr + Bx + Pz (96,1%), o qual não diferiu de Tr + Pz (94,2 %), Az + Bz + Ci + Di (94,4 %) e Pc + Bz (92,4 %) (Tabela 6).</w:t>
      </w:r>
    </w:p>
    <w:p w14:paraId="76ED80B4" w14:textId="77777777" w:rsidR="00C003E4" w:rsidRPr="00B7238F" w:rsidRDefault="00C003E4" w:rsidP="00516785">
      <w:pPr>
        <w:spacing w:after="0" w:line="360" w:lineRule="auto"/>
      </w:pPr>
      <w:r w:rsidRPr="00B7238F">
        <w:t xml:space="preserve">Ao avaliar a estabilidade de controle dos fungicidas aplicados em diferentes fases do processo de infecção de </w:t>
      </w:r>
      <w:r w:rsidRPr="00B7238F">
        <w:rPr>
          <w:i/>
        </w:rPr>
        <w:t>P. pachyrhizi</w:t>
      </w:r>
      <w:r w:rsidRPr="00B7238F">
        <w:t xml:space="preserve">, foi verificado entre quais momentos de aplicação um mesmo fungicida não apresenta variação no número de lesões de FAS (Tabela 5). Desta forma a aplicação de Tr + Bx + Pz, Tr + Pz, e Az + Bz + Ci + Di não diferiram quanto ao número de lesões de FAS quando aplicados entre 48 hs antes e 72 hs após a inoculação de </w:t>
      </w:r>
      <w:r w:rsidRPr="00B7238F">
        <w:rPr>
          <w:i/>
        </w:rPr>
        <w:t>P. pachyrhizi</w:t>
      </w:r>
      <w:r w:rsidRPr="00B7238F">
        <w:t xml:space="preserve"> (Tabela 5)</w:t>
      </w:r>
      <w:r w:rsidRPr="00B7238F">
        <w:rPr>
          <w:i/>
        </w:rPr>
        <w:t xml:space="preserve">. </w:t>
      </w:r>
      <w:r w:rsidRPr="00B7238F">
        <w:t>Enquanto Pc + Bz e Pr + Fl + Ep quando pulverizados entre 48 hs antes e 72 hs após a inoculação do fungo não diferiram entre si (Tabela 5).</w:t>
      </w:r>
    </w:p>
    <w:p w14:paraId="106F61FE" w14:textId="77777777" w:rsidR="00C003E4" w:rsidRPr="00B7238F" w:rsidRDefault="00C003E4" w:rsidP="00516785">
      <w:pPr>
        <w:spacing w:after="0" w:line="360" w:lineRule="auto"/>
      </w:pPr>
      <w:r w:rsidRPr="00B7238F">
        <w:t>O número médio de lesões.cm</w:t>
      </w:r>
      <w:r w:rsidRPr="00B7238F">
        <w:rPr>
          <w:vertAlign w:val="superscript"/>
        </w:rPr>
        <w:t>-2</w:t>
      </w:r>
      <w:r w:rsidRPr="00B7238F">
        <w:t xml:space="preserve"> quando os fungicidas foram pulverizados 120 hs após a inoculação do fungo foi 6,83 (Tabela 5), e o controle 52,9 % (Tabela 6). O número de lesões.cm</w:t>
      </w:r>
      <w:r w:rsidRPr="00B7238F">
        <w:rPr>
          <w:vertAlign w:val="superscript"/>
        </w:rPr>
        <w:t>-2</w:t>
      </w:r>
      <w:r w:rsidRPr="00B7238F">
        <w:t xml:space="preserve"> de FAS observado para Pr + Fl + Ep foi inferior a Pr + Fl, que por sua vez é inferior a Az+Bz+Mz (Tabela 5). O maior valor de controle neste momento de aplicação foi detectado para a pulverização de Tr + Bx + Pz, o qual não diferiu de Tr + Pz. Porém Tr + Pz não diferiu de Az + Bz + Ci + Di e Pc + Bz quando a eficiência de controle (Tabela 6) e intensidade da FAS (Tabela 5).</w:t>
      </w:r>
    </w:p>
    <w:p w14:paraId="1C0F16A1" w14:textId="77777777" w:rsidR="00C003E4" w:rsidRPr="00B7238F" w:rsidRDefault="00C003E4" w:rsidP="00516785">
      <w:pPr>
        <w:spacing w:after="0" w:line="360" w:lineRule="auto"/>
      </w:pPr>
      <w:r w:rsidRPr="00B7238F">
        <w:t>Os menores números de lesões.cm</w:t>
      </w:r>
      <w:r w:rsidRPr="00B7238F">
        <w:rPr>
          <w:vertAlign w:val="superscript"/>
        </w:rPr>
        <w:t>-2</w:t>
      </w:r>
      <w:r w:rsidRPr="00B7238F">
        <w:t xml:space="preserve"> em pulverizações realizadas 168 hs após a inoculação de </w:t>
      </w:r>
      <w:r w:rsidRPr="00B7238F">
        <w:rPr>
          <w:i/>
        </w:rPr>
        <w:t xml:space="preserve">P. pachyrhizi </w:t>
      </w:r>
      <w:r w:rsidRPr="00B7238F">
        <w:t>foi detectado para os fungicidas Pc + Bz e Tr + Bx + Pz (Tabela 5). Além disto a intensidade de FAS observada para Tr + Pz, Az + Bz + Ci + Di não diferiu de Tr + Bx + Pz (Tabela 5). A média de controle da FAS neste momento foi de 41,2 % (Tabela 6), e o número de lesões.cm</w:t>
      </w:r>
      <w:r w:rsidRPr="00B7238F">
        <w:rPr>
          <w:vertAlign w:val="superscript"/>
        </w:rPr>
        <w:t xml:space="preserve">-2 </w:t>
      </w:r>
      <w:r w:rsidRPr="00B7238F">
        <w:t xml:space="preserve">8,05 (Tabela 5), entretanto Tr + Bx + Pz, Pc + Bz, Tr + Pz, Az + Bz + Ci + Di apresentaram controle superior a 65% (Tabela 6). </w:t>
      </w:r>
    </w:p>
    <w:p w14:paraId="38AA909D" w14:textId="77777777" w:rsidR="00ED0A8E" w:rsidRDefault="00C003E4" w:rsidP="00516785">
      <w:pPr>
        <w:spacing w:after="0" w:line="360" w:lineRule="auto"/>
      </w:pPr>
      <w:r w:rsidRPr="00B7238F">
        <w:t>O controle médio de todos fungicidas e momentos de aplicação avaliados foi 70,7 % (Tabela 6) e o número de lesões.cm</w:t>
      </w:r>
      <w:r w:rsidRPr="00B7238F">
        <w:rPr>
          <w:vertAlign w:val="superscript"/>
        </w:rPr>
        <w:t xml:space="preserve">-2 </w:t>
      </w:r>
      <w:r w:rsidRPr="00B7238F">
        <w:t xml:space="preserve">4,53 (Tabela 5). Todos os fungicidas apresentaram intensidade da FAS média para diferentes fases do processo de infecção de </w:t>
      </w:r>
      <w:r w:rsidRPr="00B7238F">
        <w:rPr>
          <w:i/>
        </w:rPr>
        <w:t>P. pachyrhizi</w:t>
      </w:r>
      <w:r w:rsidRPr="00B7238F">
        <w:t xml:space="preserve"> inferior a testemunha (Tabela 5). A aplicação de Az + Bz obteve o menor valor de controle (23,8 %) da FAS na média dos diferentes momentos de aplicação (Tabela 6). Avaliando a média de controle da FAS nas diferentes fases do processo de infecção do fungo, o maior controle da doença foi observado para Tr + Bx + Pz (90,7%), o qual não diferiu de Pc + Bz (89,3%) e Tr + Pz (88,9%) (Tabela 6). Entretanto, Az + Bz + Ci + Di não diferiu de Pc + Bz e Tr + Pz, e quanto ao controle médio para diferentes fases do processo de infecção do patógeno (Tabela 6). Os fungicidas Pr + Fl, e Pr + Fl + Ep apresentaram controle médio da FAS superior a Az + Bz + Mz e Az + Bz, e inferior aos demais fungicidas avaliados (Tabela 6). O tratamento Az + Bz + Mz obteve controle médio da FAS para diferentes momentos de aplicação superior a Az + Bz (Tabela 6).</w:t>
      </w:r>
    </w:p>
    <w:p w14:paraId="334728A3" w14:textId="3559D4B0" w:rsidR="00ED0A8E" w:rsidRDefault="00C003E4" w:rsidP="00516785">
      <w:pPr>
        <w:spacing w:after="0" w:line="360" w:lineRule="auto"/>
      </w:pPr>
      <w:r w:rsidRPr="00B7238F">
        <w:t xml:space="preserve">Ao analisar as equações de regressões foi observado que carboxamidas aplicadas isoladas apresentam redução média de 0,4 % no controle para cada hora de atraso da aplicação de fungicida após a inoculação do patógeno, e 9,7 % de redução de controle da FAS por dia de atraso da aplicação </w:t>
      </w:r>
      <w:r w:rsidRPr="00D74DA1">
        <w:t>(Tabela 7).</w:t>
      </w:r>
    </w:p>
    <w:p w14:paraId="5241250D" w14:textId="77777777" w:rsidR="00E07592" w:rsidRDefault="00E07592" w:rsidP="00516785">
      <w:pPr>
        <w:spacing w:after="0" w:line="360" w:lineRule="auto"/>
      </w:pPr>
    </w:p>
    <w:p w14:paraId="32F4F35F" w14:textId="77777777" w:rsidR="00D74DA1" w:rsidRDefault="00D74DA1" w:rsidP="00D74DA1">
      <w:pPr>
        <w:pStyle w:val="Legenda"/>
        <w:keepNext/>
      </w:pPr>
      <w:bookmarkStart w:id="244" w:name="_Toc16173043"/>
      <w:r>
        <w:t xml:space="preserve">Tabela </w:t>
      </w:r>
      <w:r w:rsidR="00D00510">
        <w:fldChar w:fldCharType="begin"/>
      </w:r>
      <w:r w:rsidR="00D00510">
        <w:instrText xml:space="preserve"> SEQ Tabela \* ARABIC </w:instrText>
      </w:r>
      <w:r w:rsidR="00D00510">
        <w:fldChar w:fldCharType="separate"/>
      </w:r>
      <w:r>
        <w:rPr>
          <w:noProof/>
        </w:rPr>
        <w:t>7</w:t>
      </w:r>
      <w:r w:rsidR="00D00510">
        <w:rPr>
          <w:noProof/>
        </w:rPr>
        <w:fldChar w:fldCharType="end"/>
      </w:r>
      <w:r>
        <w:t xml:space="preserve">. </w:t>
      </w:r>
      <w:r w:rsidRPr="007145D1">
        <w:t xml:space="preserve">Redução de eficiência de controle da ferrugem asiática da soja por hora e dia de atraso da aplicação após a inoculação do patógeno, e número de horas após a inoculação que a aplicação de carboxamidas em mistura com estrobilurinas, triazóis, </w:t>
      </w:r>
      <w:r w:rsidRPr="00651C5E">
        <w:t>triazolinthione e ditiocarbamato. proporciona controle de 50 e 80 %. Lages, SC. 2017.</w:t>
      </w:r>
      <w:bookmarkEnd w:id="244"/>
    </w:p>
    <w:tbl>
      <w:tblPr>
        <w:tblW w:w="9072" w:type="dxa"/>
        <w:tblCellMar>
          <w:left w:w="70" w:type="dxa"/>
          <w:right w:w="70" w:type="dxa"/>
        </w:tblCellMar>
        <w:tblLook w:val="04A0" w:firstRow="1" w:lastRow="0" w:firstColumn="1" w:lastColumn="0" w:noHBand="0" w:noVBand="1"/>
      </w:tblPr>
      <w:tblGrid>
        <w:gridCol w:w="2122"/>
        <w:gridCol w:w="905"/>
        <w:gridCol w:w="709"/>
        <w:gridCol w:w="882"/>
        <w:gridCol w:w="918"/>
        <w:gridCol w:w="918"/>
        <w:gridCol w:w="534"/>
        <w:gridCol w:w="2084"/>
      </w:tblGrid>
      <w:tr w:rsidR="00D74DA1" w:rsidRPr="003311D4" w14:paraId="4738B0E7" w14:textId="77777777" w:rsidTr="003873B0">
        <w:trPr>
          <w:trHeight w:val="300"/>
        </w:trPr>
        <w:tc>
          <w:tcPr>
            <w:tcW w:w="2122" w:type="dxa"/>
            <w:tcBorders>
              <w:top w:val="single" w:sz="4" w:space="0" w:color="auto"/>
            </w:tcBorders>
            <w:shd w:val="clear" w:color="auto" w:fill="auto"/>
            <w:noWrap/>
            <w:vAlign w:val="bottom"/>
            <w:hideMark/>
          </w:tcPr>
          <w:p w14:paraId="7A2940BA" w14:textId="77777777" w:rsidR="00D74DA1" w:rsidRPr="003311D4" w:rsidRDefault="00D74DA1" w:rsidP="00D74DA1">
            <w:pPr>
              <w:autoSpaceDE/>
              <w:autoSpaceDN/>
              <w:adjustRightInd/>
              <w:spacing w:after="0" w:line="360" w:lineRule="auto"/>
              <w:ind w:firstLine="0"/>
              <w:jc w:val="left"/>
              <w:rPr>
                <w:color w:val="000000"/>
              </w:rPr>
            </w:pPr>
            <w:r w:rsidRPr="003311D4">
              <w:rPr>
                <w:color w:val="000000"/>
              </w:rPr>
              <w:t> </w:t>
            </w:r>
          </w:p>
        </w:tc>
        <w:tc>
          <w:tcPr>
            <w:tcW w:w="4866" w:type="dxa"/>
            <w:gridSpan w:val="6"/>
            <w:tcBorders>
              <w:top w:val="single" w:sz="4" w:space="0" w:color="auto"/>
              <w:bottom w:val="single" w:sz="4" w:space="0" w:color="auto"/>
            </w:tcBorders>
            <w:shd w:val="clear" w:color="auto" w:fill="auto"/>
            <w:noWrap/>
            <w:vAlign w:val="bottom"/>
            <w:hideMark/>
          </w:tcPr>
          <w:p w14:paraId="1BA508C6"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 Controle</w:t>
            </w:r>
          </w:p>
        </w:tc>
        <w:tc>
          <w:tcPr>
            <w:tcW w:w="2084" w:type="dxa"/>
            <w:tcBorders>
              <w:top w:val="single" w:sz="4" w:space="0" w:color="auto"/>
              <w:bottom w:val="single" w:sz="4" w:space="0" w:color="auto"/>
            </w:tcBorders>
          </w:tcPr>
          <w:p w14:paraId="254E484E" w14:textId="77777777" w:rsidR="00D74DA1" w:rsidRPr="003311D4" w:rsidRDefault="00D74DA1" w:rsidP="00D74DA1">
            <w:pPr>
              <w:autoSpaceDE/>
              <w:autoSpaceDN/>
              <w:adjustRightInd/>
              <w:spacing w:after="0" w:line="360" w:lineRule="auto"/>
              <w:ind w:firstLine="0"/>
              <w:jc w:val="center"/>
              <w:rPr>
                <w:b/>
                <w:bCs/>
                <w:color w:val="000000"/>
              </w:rPr>
            </w:pPr>
          </w:p>
        </w:tc>
      </w:tr>
      <w:tr w:rsidR="00D74DA1" w:rsidRPr="003311D4" w14:paraId="0BB15871" w14:textId="77777777" w:rsidTr="003873B0">
        <w:trPr>
          <w:trHeight w:val="300"/>
        </w:trPr>
        <w:tc>
          <w:tcPr>
            <w:tcW w:w="2122" w:type="dxa"/>
            <w:tcBorders>
              <w:bottom w:val="single" w:sz="4" w:space="0" w:color="auto"/>
            </w:tcBorders>
            <w:shd w:val="clear" w:color="auto" w:fill="auto"/>
            <w:noWrap/>
            <w:vAlign w:val="bottom"/>
            <w:hideMark/>
          </w:tcPr>
          <w:p w14:paraId="64E75C37"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Trat</w:t>
            </w:r>
          </w:p>
        </w:tc>
        <w:tc>
          <w:tcPr>
            <w:tcW w:w="905" w:type="dxa"/>
            <w:tcBorders>
              <w:top w:val="single" w:sz="4" w:space="0" w:color="auto"/>
              <w:bottom w:val="single" w:sz="4" w:space="0" w:color="auto"/>
            </w:tcBorders>
            <w:shd w:val="clear" w:color="auto" w:fill="auto"/>
            <w:noWrap/>
            <w:vAlign w:val="bottom"/>
            <w:hideMark/>
          </w:tcPr>
          <w:p w14:paraId="1AC9A311"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A</w:t>
            </w:r>
          </w:p>
        </w:tc>
        <w:tc>
          <w:tcPr>
            <w:tcW w:w="709" w:type="dxa"/>
            <w:tcBorders>
              <w:top w:val="single" w:sz="4" w:space="0" w:color="auto"/>
              <w:bottom w:val="single" w:sz="4" w:space="0" w:color="auto"/>
            </w:tcBorders>
            <w:shd w:val="clear" w:color="auto" w:fill="auto"/>
            <w:noWrap/>
            <w:vAlign w:val="bottom"/>
            <w:hideMark/>
          </w:tcPr>
          <w:p w14:paraId="44818B08"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B</w:t>
            </w:r>
          </w:p>
        </w:tc>
        <w:tc>
          <w:tcPr>
            <w:tcW w:w="882" w:type="dxa"/>
            <w:tcBorders>
              <w:top w:val="single" w:sz="4" w:space="0" w:color="auto"/>
              <w:bottom w:val="single" w:sz="4" w:space="0" w:color="auto"/>
            </w:tcBorders>
            <w:shd w:val="clear" w:color="auto" w:fill="auto"/>
            <w:noWrap/>
            <w:vAlign w:val="bottom"/>
            <w:hideMark/>
          </w:tcPr>
          <w:p w14:paraId="38BF932A"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C</w:t>
            </w:r>
          </w:p>
        </w:tc>
        <w:tc>
          <w:tcPr>
            <w:tcW w:w="918" w:type="dxa"/>
            <w:tcBorders>
              <w:top w:val="single" w:sz="4" w:space="0" w:color="auto"/>
              <w:bottom w:val="single" w:sz="4" w:space="0" w:color="auto"/>
            </w:tcBorders>
            <w:shd w:val="clear" w:color="auto" w:fill="auto"/>
            <w:noWrap/>
            <w:vAlign w:val="bottom"/>
            <w:hideMark/>
          </w:tcPr>
          <w:p w14:paraId="287D8342"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80%</w:t>
            </w:r>
          </w:p>
        </w:tc>
        <w:tc>
          <w:tcPr>
            <w:tcW w:w="918" w:type="dxa"/>
            <w:tcBorders>
              <w:top w:val="single" w:sz="4" w:space="0" w:color="auto"/>
              <w:bottom w:val="single" w:sz="4" w:space="0" w:color="auto"/>
            </w:tcBorders>
            <w:shd w:val="clear" w:color="auto" w:fill="auto"/>
            <w:noWrap/>
            <w:vAlign w:val="bottom"/>
            <w:hideMark/>
          </w:tcPr>
          <w:p w14:paraId="72213C03"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50%</w:t>
            </w:r>
          </w:p>
        </w:tc>
        <w:tc>
          <w:tcPr>
            <w:tcW w:w="534" w:type="dxa"/>
            <w:tcBorders>
              <w:top w:val="single" w:sz="4" w:space="0" w:color="auto"/>
              <w:bottom w:val="single" w:sz="4" w:space="0" w:color="auto"/>
            </w:tcBorders>
            <w:shd w:val="clear" w:color="auto" w:fill="auto"/>
            <w:noWrap/>
            <w:vAlign w:val="bottom"/>
            <w:hideMark/>
          </w:tcPr>
          <w:p w14:paraId="00083269"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R</w:t>
            </w:r>
            <w:r w:rsidRPr="003311D4">
              <w:rPr>
                <w:b/>
                <w:bCs/>
                <w:color w:val="000000"/>
                <w:vertAlign w:val="superscript"/>
              </w:rPr>
              <w:t>2</w:t>
            </w:r>
          </w:p>
        </w:tc>
        <w:tc>
          <w:tcPr>
            <w:tcW w:w="2084" w:type="dxa"/>
            <w:tcBorders>
              <w:top w:val="single" w:sz="4" w:space="0" w:color="auto"/>
              <w:bottom w:val="single" w:sz="4" w:space="0" w:color="auto"/>
            </w:tcBorders>
          </w:tcPr>
          <w:p w14:paraId="5582883C" w14:textId="77777777" w:rsidR="00D74DA1" w:rsidRPr="003311D4" w:rsidRDefault="00D74DA1" w:rsidP="00D74DA1">
            <w:pPr>
              <w:autoSpaceDE/>
              <w:autoSpaceDN/>
              <w:adjustRightInd/>
              <w:spacing w:after="0" w:line="360" w:lineRule="auto"/>
              <w:ind w:firstLine="0"/>
              <w:jc w:val="center"/>
              <w:rPr>
                <w:b/>
                <w:bCs/>
                <w:color w:val="000000"/>
              </w:rPr>
            </w:pPr>
            <w:r w:rsidRPr="003311D4">
              <w:rPr>
                <w:b/>
                <w:bCs/>
                <w:color w:val="000000"/>
              </w:rPr>
              <w:t>Equação</w:t>
            </w:r>
          </w:p>
        </w:tc>
      </w:tr>
      <w:tr w:rsidR="00D74DA1" w:rsidRPr="003311D4" w14:paraId="153D401D" w14:textId="77777777" w:rsidTr="003873B0">
        <w:trPr>
          <w:trHeight w:val="20"/>
        </w:trPr>
        <w:tc>
          <w:tcPr>
            <w:tcW w:w="2122" w:type="dxa"/>
            <w:tcBorders>
              <w:top w:val="single" w:sz="4" w:space="0" w:color="auto"/>
            </w:tcBorders>
            <w:shd w:val="clear" w:color="auto" w:fill="auto"/>
            <w:noWrap/>
            <w:vAlign w:val="bottom"/>
            <w:hideMark/>
          </w:tcPr>
          <w:p w14:paraId="2D9AA4B8"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Tri + Pro</w:t>
            </w:r>
          </w:p>
        </w:tc>
        <w:tc>
          <w:tcPr>
            <w:tcW w:w="905" w:type="dxa"/>
            <w:tcBorders>
              <w:top w:val="single" w:sz="4" w:space="0" w:color="auto"/>
            </w:tcBorders>
            <w:shd w:val="clear" w:color="auto" w:fill="auto"/>
            <w:noWrap/>
            <w:vAlign w:val="bottom"/>
            <w:hideMark/>
          </w:tcPr>
          <w:p w14:paraId="20ADED21"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-0,16</w:t>
            </w:r>
          </w:p>
        </w:tc>
        <w:tc>
          <w:tcPr>
            <w:tcW w:w="709" w:type="dxa"/>
            <w:tcBorders>
              <w:top w:val="single" w:sz="4" w:space="0" w:color="auto"/>
            </w:tcBorders>
            <w:shd w:val="clear" w:color="auto" w:fill="auto"/>
            <w:noWrap/>
            <w:vAlign w:val="bottom"/>
            <w:hideMark/>
          </w:tcPr>
          <w:p w14:paraId="4B6ECD00"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98,9</w:t>
            </w:r>
          </w:p>
        </w:tc>
        <w:tc>
          <w:tcPr>
            <w:tcW w:w="882" w:type="dxa"/>
            <w:tcBorders>
              <w:top w:val="single" w:sz="4" w:space="0" w:color="auto"/>
            </w:tcBorders>
            <w:shd w:val="clear" w:color="auto" w:fill="auto"/>
            <w:noWrap/>
            <w:vAlign w:val="bottom"/>
            <w:hideMark/>
          </w:tcPr>
          <w:p w14:paraId="74BB53CF"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-3,8</w:t>
            </w:r>
          </w:p>
        </w:tc>
        <w:tc>
          <w:tcPr>
            <w:tcW w:w="918" w:type="dxa"/>
            <w:tcBorders>
              <w:top w:val="single" w:sz="4" w:space="0" w:color="auto"/>
            </w:tcBorders>
            <w:shd w:val="clear" w:color="auto" w:fill="auto"/>
            <w:noWrap/>
            <w:vAlign w:val="bottom"/>
            <w:hideMark/>
          </w:tcPr>
          <w:p w14:paraId="518B3218"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120,6</w:t>
            </w:r>
          </w:p>
        </w:tc>
        <w:tc>
          <w:tcPr>
            <w:tcW w:w="918" w:type="dxa"/>
            <w:tcBorders>
              <w:top w:val="single" w:sz="4" w:space="0" w:color="auto"/>
            </w:tcBorders>
            <w:shd w:val="clear" w:color="auto" w:fill="auto"/>
            <w:noWrap/>
            <w:vAlign w:val="bottom"/>
            <w:hideMark/>
          </w:tcPr>
          <w:p w14:paraId="640DB356"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&gt;168,0</w:t>
            </w:r>
          </w:p>
        </w:tc>
        <w:tc>
          <w:tcPr>
            <w:tcW w:w="534" w:type="dxa"/>
            <w:tcBorders>
              <w:top w:val="single" w:sz="4" w:space="0" w:color="auto"/>
            </w:tcBorders>
            <w:shd w:val="clear" w:color="auto" w:fill="auto"/>
            <w:noWrap/>
            <w:vAlign w:val="bottom"/>
            <w:hideMark/>
          </w:tcPr>
          <w:p w14:paraId="7CA5C44D"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0,76</w:t>
            </w:r>
          </w:p>
        </w:tc>
        <w:tc>
          <w:tcPr>
            <w:tcW w:w="2084" w:type="dxa"/>
            <w:tcBorders>
              <w:top w:val="single" w:sz="4" w:space="0" w:color="auto"/>
            </w:tcBorders>
          </w:tcPr>
          <w:p w14:paraId="7E68CAE9"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Y= 0,16x +98,9</w:t>
            </w:r>
          </w:p>
        </w:tc>
      </w:tr>
      <w:tr w:rsidR="00D74DA1" w:rsidRPr="003311D4" w14:paraId="7C2AAF7A" w14:textId="77777777" w:rsidTr="003873B0">
        <w:trPr>
          <w:trHeight w:val="300"/>
        </w:trPr>
        <w:tc>
          <w:tcPr>
            <w:tcW w:w="2122" w:type="dxa"/>
            <w:shd w:val="clear" w:color="auto" w:fill="auto"/>
            <w:noWrap/>
            <w:vAlign w:val="bottom"/>
            <w:hideMark/>
          </w:tcPr>
          <w:p w14:paraId="69D14890"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Azo + bem</w:t>
            </w:r>
          </w:p>
        </w:tc>
        <w:tc>
          <w:tcPr>
            <w:tcW w:w="905" w:type="dxa"/>
            <w:shd w:val="clear" w:color="auto" w:fill="auto"/>
            <w:noWrap/>
            <w:vAlign w:val="bottom"/>
            <w:hideMark/>
          </w:tcPr>
          <w:p w14:paraId="1CD9A6B7"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-0,23</w:t>
            </w:r>
          </w:p>
        </w:tc>
        <w:tc>
          <w:tcPr>
            <w:tcW w:w="709" w:type="dxa"/>
            <w:shd w:val="clear" w:color="auto" w:fill="auto"/>
            <w:noWrap/>
            <w:vAlign w:val="bottom"/>
            <w:hideMark/>
          </w:tcPr>
          <w:p w14:paraId="64DD6B42"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38,7</w:t>
            </w:r>
          </w:p>
        </w:tc>
        <w:tc>
          <w:tcPr>
            <w:tcW w:w="882" w:type="dxa"/>
            <w:shd w:val="clear" w:color="auto" w:fill="auto"/>
            <w:noWrap/>
            <w:vAlign w:val="bottom"/>
            <w:hideMark/>
          </w:tcPr>
          <w:p w14:paraId="1D68A655"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-5,6</w:t>
            </w:r>
          </w:p>
        </w:tc>
        <w:tc>
          <w:tcPr>
            <w:tcW w:w="918" w:type="dxa"/>
            <w:shd w:val="clear" w:color="auto" w:fill="auto"/>
            <w:noWrap/>
            <w:vAlign w:val="bottom"/>
            <w:hideMark/>
          </w:tcPr>
          <w:p w14:paraId="52C1DF2C"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&lt;168,0</w:t>
            </w:r>
          </w:p>
        </w:tc>
        <w:tc>
          <w:tcPr>
            <w:tcW w:w="918" w:type="dxa"/>
            <w:shd w:val="clear" w:color="auto" w:fill="auto"/>
            <w:noWrap/>
            <w:vAlign w:val="bottom"/>
            <w:hideMark/>
          </w:tcPr>
          <w:p w14:paraId="729B8215"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-48,4</w:t>
            </w:r>
          </w:p>
        </w:tc>
        <w:tc>
          <w:tcPr>
            <w:tcW w:w="534" w:type="dxa"/>
            <w:shd w:val="clear" w:color="auto" w:fill="auto"/>
            <w:noWrap/>
            <w:vAlign w:val="bottom"/>
            <w:hideMark/>
          </w:tcPr>
          <w:p w14:paraId="52DA5D6F"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0,84</w:t>
            </w:r>
          </w:p>
        </w:tc>
        <w:tc>
          <w:tcPr>
            <w:tcW w:w="2084" w:type="dxa"/>
          </w:tcPr>
          <w:p w14:paraId="1E3F4444"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Y= 0,23x +38,7</w:t>
            </w:r>
          </w:p>
        </w:tc>
      </w:tr>
      <w:tr w:rsidR="00D74DA1" w:rsidRPr="003311D4" w14:paraId="5ED507E9" w14:textId="77777777" w:rsidTr="003873B0">
        <w:trPr>
          <w:trHeight w:val="300"/>
        </w:trPr>
        <w:tc>
          <w:tcPr>
            <w:tcW w:w="2122" w:type="dxa"/>
            <w:shd w:val="clear" w:color="auto" w:fill="auto"/>
            <w:noWrap/>
            <w:vAlign w:val="bottom"/>
            <w:hideMark/>
          </w:tcPr>
          <w:p w14:paraId="0C9AE62A"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Pir + flu</w:t>
            </w:r>
          </w:p>
        </w:tc>
        <w:tc>
          <w:tcPr>
            <w:tcW w:w="905" w:type="dxa"/>
            <w:shd w:val="clear" w:color="auto" w:fill="auto"/>
            <w:noWrap/>
            <w:vAlign w:val="bottom"/>
            <w:hideMark/>
          </w:tcPr>
          <w:p w14:paraId="2D7CA310"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-0,34</w:t>
            </w:r>
          </w:p>
        </w:tc>
        <w:tc>
          <w:tcPr>
            <w:tcW w:w="709" w:type="dxa"/>
            <w:shd w:val="clear" w:color="auto" w:fill="auto"/>
            <w:noWrap/>
            <w:vAlign w:val="bottom"/>
            <w:hideMark/>
          </w:tcPr>
          <w:p w14:paraId="2188736F"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88,5</w:t>
            </w:r>
          </w:p>
        </w:tc>
        <w:tc>
          <w:tcPr>
            <w:tcW w:w="882" w:type="dxa"/>
            <w:shd w:val="clear" w:color="auto" w:fill="auto"/>
            <w:noWrap/>
            <w:vAlign w:val="bottom"/>
            <w:hideMark/>
          </w:tcPr>
          <w:p w14:paraId="0AC11BE8"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-8,2</w:t>
            </w:r>
          </w:p>
        </w:tc>
        <w:tc>
          <w:tcPr>
            <w:tcW w:w="918" w:type="dxa"/>
            <w:shd w:val="clear" w:color="auto" w:fill="auto"/>
            <w:noWrap/>
            <w:vAlign w:val="bottom"/>
            <w:hideMark/>
          </w:tcPr>
          <w:p w14:paraId="2D5837B3"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24,7</w:t>
            </w:r>
          </w:p>
        </w:tc>
        <w:tc>
          <w:tcPr>
            <w:tcW w:w="918" w:type="dxa"/>
            <w:shd w:val="clear" w:color="auto" w:fill="auto"/>
            <w:noWrap/>
            <w:vAlign w:val="bottom"/>
            <w:hideMark/>
          </w:tcPr>
          <w:p w14:paraId="2C5D8C25"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112,0</w:t>
            </w:r>
          </w:p>
        </w:tc>
        <w:tc>
          <w:tcPr>
            <w:tcW w:w="534" w:type="dxa"/>
            <w:shd w:val="clear" w:color="auto" w:fill="auto"/>
            <w:noWrap/>
            <w:vAlign w:val="bottom"/>
            <w:hideMark/>
          </w:tcPr>
          <w:p w14:paraId="1BD6312C"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0,89</w:t>
            </w:r>
          </w:p>
        </w:tc>
        <w:tc>
          <w:tcPr>
            <w:tcW w:w="2084" w:type="dxa"/>
          </w:tcPr>
          <w:p w14:paraId="032934A3"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Y= 0,34x +88,5</w:t>
            </w:r>
          </w:p>
        </w:tc>
      </w:tr>
      <w:tr w:rsidR="00D74DA1" w:rsidRPr="003311D4" w14:paraId="21FD6F04" w14:textId="77777777" w:rsidTr="003873B0">
        <w:trPr>
          <w:trHeight w:val="300"/>
        </w:trPr>
        <w:tc>
          <w:tcPr>
            <w:tcW w:w="2122" w:type="dxa"/>
            <w:shd w:val="clear" w:color="auto" w:fill="auto"/>
            <w:noWrap/>
            <w:vAlign w:val="bottom"/>
            <w:hideMark/>
          </w:tcPr>
          <w:p w14:paraId="2D9D666A"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Pic + bem</w:t>
            </w:r>
          </w:p>
        </w:tc>
        <w:tc>
          <w:tcPr>
            <w:tcW w:w="905" w:type="dxa"/>
            <w:shd w:val="clear" w:color="auto" w:fill="auto"/>
            <w:noWrap/>
            <w:vAlign w:val="bottom"/>
            <w:hideMark/>
          </w:tcPr>
          <w:p w14:paraId="0A6EC927"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-0,13</w:t>
            </w:r>
          </w:p>
        </w:tc>
        <w:tc>
          <w:tcPr>
            <w:tcW w:w="709" w:type="dxa"/>
            <w:shd w:val="clear" w:color="auto" w:fill="auto"/>
            <w:noWrap/>
            <w:vAlign w:val="bottom"/>
            <w:hideMark/>
          </w:tcPr>
          <w:p w14:paraId="57278C12"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97,4</w:t>
            </w:r>
          </w:p>
        </w:tc>
        <w:tc>
          <w:tcPr>
            <w:tcW w:w="882" w:type="dxa"/>
            <w:shd w:val="clear" w:color="auto" w:fill="auto"/>
            <w:noWrap/>
            <w:vAlign w:val="bottom"/>
            <w:hideMark/>
          </w:tcPr>
          <w:p w14:paraId="23358381"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-3,0</w:t>
            </w:r>
          </w:p>
        </w:tc>
        <w:tc>
          <w:tcPr>
            <w:tcW w:w="918" w:type="dxa"/>
            <w:shd w:val="clear" w:color="auto" w:fill="auto"/>
            <w:noWrap/>
            <w:vAlign w:val="bottom"/>
            <w:hideMark/>
          </w:tcPr>
          <w:p w14:paraId="5702B418"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137,8</w:t>
            </w:r>
          </w:p>
        </w:tc>
        <w:tc>
          <w:tcPr>
            <w:tcW w:w="918" w:type="dxa"/>
            <w:shd w:val="clear" w:color="auto" w:fill="auto"/>
            <w:noWrap/>
            <w:vAlign w:val="bottom"/>
            <w:hideMark/>
          </w:tcPr>
          <w:p w14:paraId="1DC3DA75"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&gt;168,0</w:t>
            </w:r>
          </w:p>
        </w:tc>
        <w:tc>
          <w:tcPr>
            <w:tcW w:w="534" w:type="dxa"/>
            <w:shd w:val="clear" w:color="auto" w:fill="auto"/>
            <w:noWrap/>
            <w:vAlign w:val="bottom"/>
            <w:hideMark/>
          </w:tcPr>
          <w:p w14:paraId="7DA076E5"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0,81</w:t>
            </w:r>
          </w:p>
        </w:tc>
        <w:tc>
          <w:tcPr>
            <w:tcW w:w="2084" w:type="dxa"/>
          </w:tcPr>
          <w:p w14:paraId="0FFE1878"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Y= 0,13x +97,4</w:t>
            </w:r>
          </w:p>
        </w:tc>
      </w:tr>
      <w:tr w:rsidR="00D74DA1" w:rsidRPr="003311D4" w14:paraId="525502DC" w14:textId="77777777" w:rsidTr="003873B0">
        <w:trPr>
          <w:trHeight w:val="300"/>
        </w:trPr>
        <w:tc>
          <w:tcPr>
            <w:tcW w:w="2122" w:type="dxa"/>
            <w:shd w:val="clear" w:color="auto" w:fill="auto"/>
            <w:noWrap/>
            <w:vAlign w:val="bottom"/>
            <w:hideMark/>
          </w:tcPr>
          <w:p w14:paraId="1298A181"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Pir + flu+ epo</w:t>
            </w:r>
          </w:p>
        </w:tc>
        <w:tc>
          <w:tcPr>
            <w:tcW w:w="905" w:type="dxa"/>
            <w:shd w:val="clear" w:color="auto" w:fill="auto"/>
            <w:noWrap/>
            <w:vAlign w:val="bottom"/>
            <w:hideMark/>
          </w:tcPr>
          <w:p w14:paraId="04789C6C"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-0,41</w:t>
            </w:r>
          </w:p>
        </w:tc>
        <w:tc>
          <w:tcPr>
            <w:tcW w:w="709" w:type="dxa"/>
            <w:shd w:val="clear" w:color="auto" w:fill="auto"/>
            <w:noWrap/>
            <w:vAlign w:val="bottom"/>
            <w:hideMark/>
          </w:tcPr>
          <w:p w14:paraId="22158472"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94,0</w:t>
            </w:r>
          </w:p>
        </w:tc>
        <w:tc>
          <w:tcPr>
            <w:tcW w:w="882" w:type="dxa"/>
            <w:shd w:val="clear" w:color="auto" w:fill="auto"/>
            <w:noWrap/>
            <w:vAlign w:val="bottom"/>
            <w:hideMark/>
          </w:tcPr>
          <w:p w14:paraId="2E86DF82"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-9,7</w:t>
            </w:r>
          </w:p>
        </w:tc>
        <w:tc>
          <w:tcPr>
            <w:tcW w:w="918" w:type="dxa"/>
            <w:shd w:val="clear" w:color="auto" w:fill="auto"/>
            <w:noWrap/>
            <w:vAlign w:val="bottom"/>
            <w:hideMark/>
          </w:tcPr>
          <w:p w14:paraId="07394CC1"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34,6</w:t>
            </w:r>
          </w:p>
        </w:tc>
        <w:tc>
          <w:tcPr>
            <w:tcW w:w="918" w:type="dxa"/>
            <w:shd w:val="clear" w:color="auto" w:fill="auto"/>
            <w:noWrap/>
            <w:vAlign w:val="bottom"/>
            <w:hideMark/>
          </w:tcPr>
          <w:p w14:paraId="3C424960"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108,7</w:t>
            </w:r>
          </w:p>
        </w:tc>
        <w:tc>
          <w:tcPr>
            <w:tcW w:w="534" w:type="dxa"/>
            <w:shd w:val="clear" w:color="auto" w:fill="auto"/>
            <w:noWrap/>
            <w:vAlign w:val="bottom"/>
            <w:hideMark/>
          </w:tcPr>
          <w:p w14:paraId="5605C9BB"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0,73</w:t>
            </w:r>
          </w:p>
        </w:tc>
        <w:tc>
          <w:tcPr>
            <w:tcW w:w="2084" w:type="dxa"/>
          </w:tcPr>
          <w:p w14:paraId="3718ED51"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Y= 0,41x +94,0</w:t>
            </w:r>
          </w:p>
        </w:tc>
      </w:tr>
      <w:tr w:rsidR="00D74DA1" w:rsidRPr="003311D4" w14:paraId="6B6EB4BF" w14:textId="77777777" w:rsidTr="003873B0">
        <w:trPr>
          <w:trHeight w:val="300"/>
        </w:trPr>
        <w:tc>
          <w:tcPr>
            <w:tcW w:w="2122" w:type="dxa"/>
            <w:shd w:val="clear" w:color="auto" w:fill="auto"/>
            <w:noWrap/>
            <w:vAlign w:val="bottom"/>
            <w:hideMark/>
          </w:tcPr>
          <w:p w14:paraId="225B81DF"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Tri + pro + bix</w:t>
            </w:r>
          </w:p>
        </w:tc>
        <w:tc>
          <w:tcPr>
            <w:tcW w:w="905" w:type="dxa"/>
            <w:shd w:val="clear" w:color="auto" w:fill="auto"/>
            <w:noWrap/>
            <w:vAlign w:val="bottom"/>
            <w:hideMark/>
          </w:tcPr>
          <w:p w14:paraId="2B921A96"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-0,14</w:t>
            </w:r>
          </w:p>
        </w:tc>
        <w:tc>
          <w:tcPr>
            <w:tcW w:w="709" w:type="dxa"/>
            <w:shd w:val="clear" w:color="auto" w:fill="auto"/>
            <w:noWrap/>
            <w:vAlign w:val="bottom"/>
            <w:hideMark/>
          </w:tcPr>
          <w:p w14:paraId="1F12A66A"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99,5</w:t>
            </w:r>
          </w:p>
        </w:tc>
        <w:tc>
          <w:tcPr>
            <w:tcW w:w="882" w:type="dxa"/>
            <w:shd w:val="clear" w:color="auto" w:fill="auto"/>
            <w:noWrap/>
            <w:vAlign w:val="bottom"/>
            <w:hideMark/>
          </w:tcPr>
          <w:p w14:paraId="2986F3A5"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-3,3</w:t>
            </w:r>
          </w:p>
        </w:tc>
        <w:tc>
          <w:tcPr>
            <w:tcW w:w="918" w:type="dxa"/>
            <w:shd w:val="clear" w:color="auto" w:fill="auto"/>
            <w:noWrap/>
            <w:vAlign w:val="bottom"/>
            <w:hideMark/>
          </w:tcPr>
          <w:p w14:paraId="393DD131"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142,0</w:t>
            </w:r>
          </w:p>
        </w:tc>
        <w:tc>
          <w:tcPr>
            <w:tcW w:w="918" w:type="dxa"/>
            <w:shd w:val="clear" w:color="auto" w:fill="auto"/>
            <w:noWrap/>
            <w:vAlign w:val="bottom"/>
            <w:hideMark/>
          </w:tcPr>
          <w:p w14:paraId="138F0CE3"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&gt;168,0</w:t>
            </w:r>
          </w:p>
        </w:tc>
        <w:tc>
          <w:tcPr>
            <w:tcW w:w="534" w:type="dxa"/>
            <w:shd w:val="clear" w:color="auto" w:fill="auto"/>
            <w:noWrap/>
            <w:vAlign w:val="bottom"/>
            <w:hideMark/>
          </w:tcPr>
          <w:p w14:paraId="71EE09E6"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0,79</w:t>
            </w:r>
          </w:p>
        </w:tc>
        <w:tc>
          <w:tcPr>
            <w:tcW w:w="2084" w:type="dxa"/>
          </w:tcPr>
          <w:p w14:paraId="53FEA78D"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Y= 0,14x +99,5</w:t>
            </w:r>
          </w:p>
        </w:tc>
      </w:tr>
      <w:tr w:rsidR="00D74DA1" w:rsidRPr="003311D4" w14:paraId="0D1D3B8F" w14:textId="77777777" w:rsidTr="003873B0">
        <w:trPr>
          <w:trHeight w:val="300"/>
        </w:trPr>
        <w:tc>
          <w:tcPr>
            <w:tcW w:w="2122" w:type="dxa"/>
            <w:shd w:val="clear" w:color="auto" w:fill="auto"/>
            <w:noWrap/>
            <w:vAlign w:val="bottom"/>
            <w:hideMark/>
          </w:tcPr>
          <w:p w14:paraId="1118EC24"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Azo + ben+ dif + cip</w:t>
            </w:r>
          </w:p>
        </w:tc>
        <w:tc>
          <w:tcPr>
            <w:tcW w:w="905" w:type="dxa"/>
            <w:shd w:val="clear" w:color="auto" w:fill="auto"/>
            <w:noWrap/>
            <w:vAlign w:val="bottom"/>
            <w:hideMark/>
          </w:tcPr>
          <w:p w14:paraId="0427D229"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-0,14</w:t>
            </w:r>
          </w:p>
        </w:tc>
        <w:tc>
          <w:tcPr>
            <w:tcW w:w="709" w:type="dxa"/>
            <w:shd w:val="clear" w:color="auto" w:fill="auto"/>
            <w:noWrap/>
            <w:vAlign w:val="bottom"/>
            <w:hideMark/>
          </w:tcPr>
          <w:p w14:paraId="06B62166"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96,2</w:t>
            </w:r>
          </w:p>
        </w:tc>
        <w:tc>
          <w:tcPr>
            <w:tcW w:w="882" w:type="dxa"/>
            <w:shd w:val="clear" w:color="auto" w:fill="auto"/>
            <w:noWrap/>
            <w:vAlign w:val="bottom"/>
            <w:hideMark/>
          </w:tcPr>
          <w:p w14:paraId="142C09DE"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-3,4</w:t>
            </w:r>
          </w:p>
        </w:tc>
        <w:tc>
          <w:tcPr>
            <w:tcW w:w="918" w:type="dxa"/>
            <w:shd w:val="clear" w:color="auto" w:fill="auto"/>
            <w:noWrap/>
            <w:vAlign w:val="bottom"/>
            <w:hideMark/>
          </w:tcPr>
          <w:p w14:paraId="78834BE2"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114,9</w:t>
            </w:r>
          </w:p>
        </w:tc>
        <w:tc>
          <w:tcPr>
            <w:tcW w:w="918" w:type="dxa"/>
            <w:shd w:val="clear" w:color="auto" w:fill="auto"/>
            <w:noWrap/>
            <w:vAlign w:val="bottom"/>
            <w:hideMark/>
          </w:tcPr>
          <w:p w14:paraId="60030CD1"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&gt;168,0</w:t>
            </w:r>
          </w:p>
        </w:tc>
        <w:tc>
          <w:tcPr>
            <w:tcW w:w="534" w:type="dxa"/>
            <w:shd w:val="clear" w:color="auto" w:fill="auto"/>
            <w:noWrap/>
            <w:vAlign w:val="bottom"/>
            <w:hideMark/>
          </w:tcPr>
          <w:p w14:paraId="700FA788"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0,75</w:t>
            </w:r>
          </w:p>
        </w:tc>
        <w:tc>
          <w:tcPr>
            <w:tcW w:w="2084" w:type="dxa"/>
          </w:tcPr>
          <w:p w14:paraId="239B050B"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Y= 0,14x +96,2</w:t>
            </w:r>
          </w:p>
        </w:tc>
      </w:tr>
      <w:tr w:rsidR="00D74DA1" w:rsidRPr="003311D4" w14:paraId="5876B14D" w14:textId="77777777" w:rsidTr="003873B0">
        <w:trPr>
          <w:trHeight w:val="300"/>
        </w:trPr>
        <w:tc>
          <w:tcPr>
            <w:tcW w:w="2122" w:type="dxa"/>
            <w:tcBorders>
              <w:bottom w:val="single" w:sz="4" w:space="0" w:color="auto"/>
            </w:tcBorders>
            <w:shd w:val="clear" w:color="auto" w:fill="auto"/>
            <w:noWrap/>
            <w:vAlign w:val="bottom"/>
            <w:hideMark/>
          </w:tcPr>
          <w:p w14:paraId="35829825" w14:textId="77777777" w:rsidR="00D74DA1" w:rsidRPr="003311D4" w:rsidRDefault="00D74DA1" w:rsidP="00D74DA1">
            <w:pPr>
              <w:autoSpaceDE/>
              <w:autoSpaceDN/>
              <w:adjustRightInd/>
              <w:spacing w:after="0" w:line="360" w:lineRule="auto"/>
              <w:ind w:firstLine="0"/>
              <w:jc w:val="center"/>
              <w:rPr>
                <w:bCs/>
                <w:color w:val="000000"/>
                <w:sz w:val="20"/>
                <w:szCs w:val="20"/>
              </w:rPr>
            </w:pPr>
            <w:r w:rsidRPr="003311D4">
              <w:rPr>
                <w:bCs/>
                <w:color w:val="000000"/>
                <w:sz w:val="20"/>
                <w:szCs w:val="20"/>
              </w:rPr>
              <w:t>Azo + ben + man</w:t>
            </w:r>
          </w:p>
        </w:tc>
        <w:tc>
          <w:tcPr>
            <w:tcW w:w="905" w:type="dxa"/>
            <w:tcBorders>
              <w:bottom w:val="single" w:sz="4" w:space="0" w:color="auto"/>
            </w:tcBorders>
            <w:shd w:val="clear" w:color="auto" w:fill="auto"/>
            <w:noWrap/>
            <w:vAlign w:val="bottom"/>
            <w:hideMark/>
          </w:tcPr>
          <w:p w14:paraId="6E1389F2"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-0,41</w:t>
            </w:r>
          </w:p>
        </w:tc>
        <w:tc>
          <w:tcPr>
            <w:tcW w:w="709" w:type="dxa"/>
            <w:tcBorders>
              <w:bottom w:val="single" w:sz="4" w:space="0" w:color="auto"/>
            </w:tcBorders>
            <w:shd w:val="clear" w:color="auto" w:fill="auto"/>
            <w:noWrap/>
            <w:vAlign w:val="bottom"/>
            <w:hideMark/>
          </w:tcPr>
          <w:p w14:paraId="7EA00631"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77,0</w:t>
            </w:r>
          </w:p>
        </w:tc>
        <w:tc>
          <w:tcPr>
            <w:tcW w:w="882" w:type="dxa"/>
            <w:tcBorders>
              <w:bottom w:val="single" w:sz="4" w:space="0" w:color="auto"/>
            </w:tcBorders>
            <w:shd w:val="clear" w:color="auto" w:fill="auto"/>
            <w:noWrap/>
            <w:vAlign w:val="bottom"/>
            <w:hideMark/>
          </w:tcPr>
          <w:p w14:paraId="5C1A7A9D"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-9,8</w:t>
            </w:r>
          </w:p>
        </w:tc>
        <w:tc>
          <w:tcPr>
            <w:tcW w:w="918" w:type="dxa"/>
            <w:tcBorders>
              <w:bottom w:val="single" w:sz="4" w:space="0" w:color="auto"/>
            </w:tcBorders>
            <w:shd w:val="clear" w:color="auto" w:fill="auto"/>
            <w:noWrap/>
            <w:vAlign w:val="bottom"/>
            <w:hideMark/>
          </w:tcPr>
          <w:p w14:paraId="7EDEB9C4"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-7,4</w:t>
            </w:r>
          </w:p>
        </w:tc>
        <w:tc>
          <w:tcPr>
            <w:tcW w:w="918" w:type="dxa"/>
            <w:tcBorders>
              <w:bottom w:val="single" w:sz="4" w:space="0" w:color="auto"/>
            </w:tcBorders>
            <w:shd w:val="clear" w:color="auto" w:fill="auto"/>
            <w:noWrap/>
            <w:vAlign w:val="bottom"/>
            <w:hideMark/>
          </w:tcPr>
          <w:p w14:paraId="41898126"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66,3</w:t>
            </w:r>
          </w:p>
        </w:tc>
        <w:tc>
          <w:tcPr>
            <w:tcW w:w="534" w:type="dxa"/>
            <w:tcBorders>
              <w:bottom w:val="single" w:sz="4" w:space="0" w:color="auto"/>
            </w:tcBorders>
            <w:shd w:val="clear" w:color="auto" w:fill="auto"/>
            <w:noWrap/>
            <w:vAlign w:val="bottom"/>
            <w:hideMark/>
          </w:tcPr>
          <w:p w14:paraId="532C6CD7"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0,88</w:t>
            </w:r>
          </w:p>
        </w:tc>
        <w:tc>
          <w:tcPr>
            <w:tcW w:w="2084" w:type="dxa"/>
            <w:tcBorders>
              <w:bottom w:val="single" w:sz="4" w:space="0" w:color="auto"/>
            </w:tcBorders>
          </w:tcPr>
          <w:p w14:paraId="6A584C5E"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Y= 0,41x +77,0</w:t>
            </w:r>
          </w:p>
        </w:tc>
      </w:tr>
      <w:tr w:rsidR="00D74DA1" w:rsidRPr="003311D4" w14:paraId="5B51ABF7" w14:textId="77777777" w:rsidTr="003873B0">
        <w:trPr>
          <w:trHeight w:val="300"/>
        </w:trPr>
        <w:tc>
          <w:tcPr>
            <w:tcW w:w="2122" w:type="dxa"/>
            <w:tcBorders>
              <w:top w:val="single" w:sz="4" w:space="0" w:color="auto"/>
              <w:bottom w:val="single" w:sz="4" w:space="0" w:color="auto"/>
            </w:tcBorders>
            <w:shd w:val="clear" w:color="auto" w:fill="auto"/>
            <w:noWrap/>
            <w:vAlign w:val="bottom"/>
            <w:hideMark/>
          </w:tcPr>
          <w:p w14:paraId="5C7CBA2D" w14:textId="77777777" w:rsidR="00D74DA1" w:rsidRPr="003311D4" w:rsidRDefault="00D74DA1" w:rsidP="00D74DA1">
            <w:pPr>
              <w:autoSpaceDE/>
              <w:autoSpaceDN/>
              <w:adjustRightInd/>
              <w:spacing w:after="0" w:line="360" w:lineRule="auto"/>
              <w:ind w:firstLine="0"/>
              <w:jc w:val="center"/>
              <w:rPr>
                <w:b/>
                <w:bCs/>
                <w:color w:val="000000"/>
                <w:sz w:val="20"/>
                <w:szCs w:val="20"/>
              </w:rPr>
            </w:pPr>
            <w:r w:rsidRPr="003311D4">
              <w:rPr>
                <w:b/>
                <w:bCs/>
                <w:color w:val="000000"/>
                <w:sz w:val="20"/>
                <w:szCs w:val="20"/>
              </w:rPr>
              <w:t>Média</w:t>
            </w:r>
          </w:p>
        </w:tc>
        <w:tc>
          <w:tcPr>
            <w:tcW w:w="905" w:type="dxa"/>
            <w:tcBorders>
              <w:top w:val="single" w:sz="4" w:space="0" w:color="auto"/>
              <w:bottom w:val="single" w:sz="4" w:space="0" w:color="auto"/>
            </w:tcBorders>
            <w:shd w:val="clear" w:color="auto" w:fill="auto"/>
            <w:noWrap/>
            <w:vAlign w:val="bottom"/>
            <w:hideMark/>
          </w:tcPr>
          <w:p w14:paraId="37FF3D12"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-0,25</w:t>
            </w:r>
          </w:p>
        </w:tc>
        <w:tc>
          <w:tcPr>
            <w:tcW w:w="709" w:type="dxa"/>
            <w:tcBorders>
              <w:top w:val="single" w:sz="4" w:space="0" w:color="auto"/>
              <w:bottom w:val="single" w:sz="4" w:space="0" w:color="auto"/>
            </w:tcBorders>
            <w:shd w:val="clear" w:color="auto" w:fill="auto"/>
            <w:noWrap/>
            <w:vAlign w:val="bottom"/>
            <w:hideMark/>
          </w:tcPr>
          <w:p w14:paraId="55D6A485"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86,7</w:t>
            </w:r>
          </w:p>
        </w:tc>
        <w:tc>
          <w:tcPr>
            <w:tcW w:w="882" w:type="dxa"/>
            <w:tcBorders>
              <w:top w:val="single" w:sz="4" w:space="0" w:color="auto"/>
              <w:bottom w:val="single" w:sz="4" w:space="0" w:color="auto"/>
            </w:tcBorders>
            <w:shd w:val="clear" w:color="auto" w:fill="auto"/>
            <w:noWrap/>
            <w:vAlign w:val="bottom"/>
            <w:hideMark/>
          </w:tcPr>
          <w:p w14:paraId="26725903"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-5,9</w:t>
            </w:r>
          </w:p>
        </w:tc>
        <w:tc>
          <w:tcPr>
            <w:tcW w:w="918" w:type="dxa"/>
            <w:tcBorders>
              <w:top w:val="single" w:sz="4" w:space="0" w:color="auto"/>
              <w:bottom w:val="single" w:sz="4" w:space="0" w:color="auto"/>
            </w:tcBorders>
            <w:shd w:val="clear" w:color="auto" w:fill="auto"/>
            <w:noWrap/>
            <w:vAlign w:val="bottom"/>
            <w:hideMark/>
          </w:tcPr>
          <w:p w14:paraId="0BCD81A3"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27,0</w:t>
            </w:r>
          </w:p>
        </w:tc>
        <w:tc>
          <w:tcPr>
            <w:tcW w:w="918" w:type="dxa"/>
            <w:tcBorders>
              <w:top w:val="single" w:sz="4" w:space="0" w:color="auto"/>
              <w:bottom w:val="single" w:sz="4" w:space="0" w:color="auto"/>
            </w:tcBorders>
            <w:shd w:val="clear" w:color="auto" w:fill="auto"/>
            <w:noWrap/>
            <w:vAlign w:val="bottom"/>
            <w:hideMark/>
          </w:tcPr>
          <w:p w14:paraId="65F310DF" w14:textId="77777777" w:rsidR="00D74DA1" w:rsidRPr="003311D4" w:rsidRDefault="00D74DA1" w:rsidP="00D74DA1">
            <w:pPr>
              <w:autoSpaceDE/>
              <w:autoSpaceDN/>
              <w:adjustRightInd/>
              <w:spacing w:after="0" w:line="360" w:lineRule="auto"/>
              <w:ind w:firstLine="0"/>
              <w:jc w:val="left"/>
              <w:rPr>
                <w:color w:val="000000"/>
                <w:sz w:val="20"/>
                <w:szCs w:val="20"/>
              </w:rPr>
            </w:pPr>
            <w:r w:rsidRPr="003311D4">
              <w:rPr>
                <w:color w:val="000000"/>
                <w:sz w:val="20"/>
                <w:szCs w:val="20"/>
              </w:rPr>
              <w:t xml:space="preserve">  148,0</w:t>
            </w:r>
          </w:p>
        </w:tc>
        <w:tc>
          <w:tcPr>
            <w:tcW w:w="534" w:type="dxa"/>
            <w:tcBorders>
              <w:top w:val="single" w:sz="4" w:space="0" w:color="auto"/>
              <w:bottom w:val="single" w:sz="4" w:space="0" w:color="auto"/>
            </w:tcBorders>
            <w:shd w:val="clear" w:color="auto" w:fill="auto"/>
            <w:noWrap/>
            <w:vAlign w:val="bottom"/>
            <w:hideMark/>
          </w:tcPr>
          <w:p w14:paraId="38DB1FDE" w14:textId="77777777" w:rsidR="00D74DA1" w:rsidRPr="003311D4" w:rsidRDefault="00D74DA1" w:rsidP="00D74DA1">
            <w:pPr>
              <w:autoSpaceDE/>
              <w:autoSpaceDN/>
              <w:adjustRightInd/>
              <w:spacing w:after="0" w:line="360" w:lineRule="auto"/>
              <w:ind w:firstLine="0"/>
              <w:jc w:val="center"/>
              <w:rPr>
                <w:color w:val="000000"/>
                <w:sz w:val="20"/>
                <w:szCs w:val="20"/>
              </w:rPr>
            </w:pPr>
            <w:r w:rsidRPr="003311D4">
              <w:rPr>
                <w:color w:val="000000"/>
                <w:sz w:val="20"/>
                <w:szCs w:val="20"/>
              </w:rPr>
              <w:t>0,90</w:t>
            </w:r>
          </w:p>
        </w:tc>
        <w:tc>
          <w:tcPr>
            <w:tcW w:w="2084" w:type="dxa"/>
            <w:tcBorders>
              <w:top w:val="single" w:sz="4" w:space="0" w:color="auto"/>
              <w:bottom w:val="single" w:sz="4" w:space="0" w:color="auto"/>
            </w:tcBorders>
          </w:tcPr>
          <w:p w14:paraId="49624DDB" w14:textId="77777777" w:rsidR="00D74DA1" w:rsidRPr="003311D4" w:rsidRDefault="00D74DA1" w:rsidP="00D74DA1">
            <w:pPr>
              <w:autoSpaceDE/>
              <w:autoSpaceDN/>
              <w:adjustRightInd/>
              <w:spacing w:after="0" w:line="360" w:lineRule="auto"/>
              <w:ind w:firstLine="0"/>
              <w:jc w:val="center"/>
              <w:rPr>
                <w:color w:val="000000"/>
                <w:sz w:val="20"/>
                <w:szCs w:val="20"/>
              </w:rPr>
            </w:pPr>
          </w:p>
        </w:tc>
      </w:tr>
    </w:tbl>
    <w:p w14:paraId="673F01AA" w14:textId="77777777" w:rsidR="00D74DA1" w:rsidRPr="003311D4" w:rsidRDefault="00D74DA1" w:rsidP="003873B0">
      <w:pPr>
        <w:tabs>
          <w:tab w:val="left" w:pos="7797"/>
        </w:tabs>
        <w:autoSpaceDE/>
        <w:autoSpaceDN/>
        <w:adjustRightInd/>
        <w:spacing w:after="0" w:line="360" w:lineRule="auto"/>
        <w:ind w:firstLine="0"/>
        <w:rPr>
          <w:color w:val="231F20"/>
          <w:sz w:val="16"/>
          <w:szCs w:val="16"/>
        </w:rPr>
      </w:pPr>
      <w:r w:rsidRPr="003311D4">
        <w:rPr>
          <w:color w:val="231F20"/>
          <w:sz w:val="16"/>
          <w:szCs w:val="16"/>
        </w:rPr>
        <w:t xml:space="preserve">A) </w:t>
      </w:r>
      <w:r w:rsidRPr="003311D4">
        <w:rPr>
          <w:sz w:val="16"/>
          <w:szCs w:val="16"/>
        </w:rPr>
        <w:t>Redução de % de controle da FAS por hora de atraso da aplicação após a inoculação do fungo</w:t>
      </w:r>
      <w:r w:rsidRPr="003311D4">
        <w:rPr>
          <w:color w:val="231F20"/>
          <w:sz w:val="16"/>
          <w:szCs w:val="16"/>
        </w:rPr>
        <w:t xml:space="preserve">; B) </w:t>
      </w:r>
      <w:r w:rsidRPr="003311D4">
        <w:rPr>
          <w:sz w:val="16"/>
          <w:szCs w:val="16"/>
        </w:rPr>
        <w:t>% de controle da FAS quando os fungicidas são aplicados no momento da inoculação</w:t>
      </w:r>
      <w:r w:rsidRPr="003311D4">
        <w:rPr>
          <w:color w:val="231F20"/>
          <w:sz w:val="16"/>
          <w:szCs w:val="16"/>
        </w:rPr>
        <w:t xml:space="preserve">; C) </w:t>
      </w:r>
      <w:r w:rsidRPr="003311D4">
        <w:rPr>
          <w:sz w:val="16"/>
          <w:szCs w:val="16"/>
        </w:rPr>
        <w:t>Redução de % de controle da FAS por dia de atraso da aplicação após a inoculação do fungo</w:t>
      </w:r>
      <w:r w:rsidRPr="003311D4">
        <w:rPr>
          <w:color w:val="231F20"/>
          <w:sz w:val="16"/>
          <w:szCs w:val="16"/>
        </w:rPr>
        <w:t xml:space="preserve">; 80%) </w:t>
      </w:r>
      <w:r w:rsidRPr="003311D4">
        <w:rPr>
          <w:sz w:val="16"/>
          <w:szCs w:val="16"/>
        </w:rPr>
        <w:t>Número de horas após a inoculação do fungo em que o fungicida obtem 80 % de controle</w:t>
      </w:r>
      <w:r w:rsidRPr="003311D4">
        <w:rPr>
          <w:color w:val="231F20"/>
          <w:sz w:val="16"/>
          <w:szCs w:val="16"/>
        </w:rPr>
        <w:t xml:space="preserve">; 50%) </w:t>
      </w:r>
      <w:r w:rsidRPr="003311D4">
        <w:rPr>
          <w:sz w:val="16"/>
          <w:szCs w:val="16"/>
        </w:rPr>
        <w:t>Número de horas após a inoculação do fungo em que o fungicida obtem 80 % de controle</w:t>
      </w:r>
      <w:r w:rsidRPr="003311D4">
        <w:rPr>
          <w:color w:val="231F20"/>
          <w:sz w:val="16"/>
          <w:szCs w:val="16"/>
        </w:rPr>
        <w:t>; R</w:t>
      </w:r>
      <w:r w:rsidRPr="003311D4">
        <w:rPr>
          <w:color w:val="231F20"/>
          <w:sz w:val="16"/>
          <w:szCs w:val="16"/>
          <w:vertAlign w:val="superscript"/>
        </w:rPr>
        <w:t>2</w:t>
      </w:r>
      <w:r w:rsidRPr="003311D4">
        <w:rPr>
          <w:color w:val="231F20"/>
          <w:sz w:val="16"/>
          <w:szCs w:val="16"/>
        </w:rPr>
        <w:t>) Coeficiente de determinação; Equação) Equação obtida através da análise de regressão linear</w:t>
      </w:r>
    </w:p>
    <w:p w14:paraId="547CD8BA" w14:textId="77777777" w:rsidR="00D74DA1" w:rsidRDefault="00D74DA1" w:rsidP="00E07592">
      <w:pPr>
        <w:spacing w:after="0" w:line="360" w:lineRule="auto"/>
      </w:pPr>
    </w:p>
    <w:p w14:paraId="3CBB7940" w14:textId="77777777" w:rsidR="00ED0A8E" w:rsidRDefault="00C003E4" w:rsidP="00E07592">
      <w:pPr>
        <w:spacing w:after="0" w:line="360" w:lineRule="auto"/>
      </w:pPr>
      <w:r w:rsidRPr="00B7238F">
        <w:t>As misturas de carboxamidas + estrobilurinas apresentaram em média redução de controle da doença por hora de atraso da aplicação de fungicidas de 0,23 %, e redução de controle por dia de atraso da pulverização de 5,6 %, o que demonstra maior potencial curativo de carboxamidas em mistura com estrobilurinas quando comparado a carboxamidas isoladas (Tabela 8).</w:t>
      </w:r>
    </w:p>
    <w:p w14:paraId="02811D43" w14:textId="2F62C36A" w:rsidR="00D74DA1" w:rsidRDefault="00C003E4" w:rsidP="00E07592">
      <w:pPr>
        <w:spacing w:after="0" w:line="360" w:lineRule="auto"/>
      </w:pPr>
      <w:r w:rsidRPr="00B7238F">
        <w:t xml:space="preserve">O controle da FAS quando aplicados no momento da inoculação foi semelhante para carboxamida (72,6 %) e carboxamida + estrobilurina (74,9 %) </w:t>
      </w:r>
      <w:r w:rsidRPr="00D74DA1">
        <w:t>(Tabela 8).</w:t>
      </w:r>
      <w:r w:rsidRPr="00B7238F">
        <w:t xml:space="preserve"> Carboxamidas isoladas obtiveram em média 80 % e 50 % de controle quando aplicadas -18,3 e 55,8 hs após a inoculação, respectivamente (Tabela 8). Enquanto que carboxamidas + estrobilurina obtiveram controle de 50 e 80 % quando aplicados 21,9 hs antes e 106 hs após a inoculação (Tabela 8).</w:t>
      </w:r>
    </w:p>
    <w:p w14:paraId="7AEF913F" w14:textId="77777777" w:rsidR="00E07592" w:rsidRDefault="00E07592" w:rsidP="00E07592">
      <w:pPr>
        <w:spacing w:after="0" w:line="360" w:lineRule="auto"/>
      </w:pPr>
    </w:p>
    <w:p w14:paraId="57902465" w14:textId="77777777" w:rsidR="00D74DA1" w:rsidRDefault="00D74DA1" w:rsidP="00D74DA1">
      <w:pPr>
        <w:pStyle w:val="Legenda"/>
        <w:keepNext/>
        <w:ind w:firstLine="0"/>
      </w:pPr>
      <w:bookmarkStart w:id="245" w:name="_Toc16173044"/>
      <w:r>
        <w:t xml:space="preserve">Tabela </w:t>
      </w:r>
      <w:r w:rsidR="00D00510">
        <w:fldChar w:fldCharType="begin"/>
      </w:r>
      <w:r w:rsidR="00D00510">
        <w:instrText xml:space="preserve"> SEQ Tabela \* ARABIC </w:instrText>
      </w:r>
      <w:r w:rsidR="00D00510">
        <w:fldChar w:fldCharType="separate"/>
      </w:r>
      <w:r>
        <w:rPr>
          <w:noProof/>
        </w:rPr>
        <w:t>8</w:t>
      </w:r>
      <w:r w:rsidR="00D00510">
        <w:rPr>
          <w:noProof/>
        </w:rPr>
        <w:fldChar w:fldCharType="end"/>
      </w:r>
      <w:r>
        <w:t xml:space="preserve">. </w:t>
      </w:r>
      <w:r w:rsidRPr="003521F0">
        <w:t xml:space="preserve">Redução de eficiência de controle da ferrugem asiática da soja por hora e dia de atraso da aplicação após a inoculação do patógeno, e número de horas após a inoculação que a aplicação de carboxamidas, </w:t>
      </w:r>
      <w:r w:rsidRPr="002567F9">
        <w:t>carboxamidas + estrobilurinas, carboxamidas + estrobilurinas + triazóis/triazolinthione e carboxamidas + estrobilurinas + ditiocarbamato proporciona controle de 50 e 80 %. Lages, SC. 2017.</w:t>
      </w:r>
      <w:bookmarkEnd w:id="245"/>
    </w:p>
    <w:tbl>
      <w:tblPr>
        <w:tblW w:w="9072" w:type="dxa"/>
        <w:tblCellMar>
          <w:left w:w="70" w:type="dxa"/>
          <w:right w:w="70" w:type="dxa"/>
        </w:tblCellMar>
        <w:tblLook w:val="04A0" w:firstRow="1" w:lastRow="0" w:firstColumn="1" w:lastColumn="0" w:noHBand="0" w:noVBand="1"/>
      </w:tblPr>
      <w:tblGrid>
        <w:gridCol w:w="2127"/>
        <w:gridCol w:w="992"/>
        <w:gridCol w:w="1559"/>
        <w:gridCol w:w="709"/>
        <w:gridCol w:w="1134"/>
        <w:gridCol w:w="850"/>
        <w:gridCol w:w="1701"/>
      </w:tblGrid>
      <w:tr w:rsidR="00D74DA1" w:rsidRPr="00E92C38" w14:paraId="0E5D3EBB" w14:textId="77777777" w:rsidTr="00E07592">
        <w:trPr>
          <w:trHeight w:val="300"/>
        </w:trPr>
        <w:tc>
          <w:tcPr>
            <w:tcW w:w="2127" w:type="dxa"/>
            <w:tcBorders>
              <w:top w:val="single" w:sz="4" w:space="0" w:color="auto"/>
            </w:tcBorders>
            <w:shd w:val="clear" w:color="auto" w:fill="auto"/>
            <w:noWrap/>
            <w:vAlign w:val="bottom"/>
            <w:hideMark/>
          </w:tcPr>
          <w:p w14:paraId="4FD1219D" w14:textId="77777777" w:rsidR="00D74DA1" w:rsidRPr="00E92C38" w:rsidRDefault="00D74DA1" w:rsidP="00D74DA1">
            <w:pPr>
              <w:autoSpaceDE/>
              <w:autoSpaceDN/>
              <w:adjustRightInd/>
              <w:spacing w:after="0" w:line="360" w:lineRule="auto"/>
              <w:ind w:firstLine="0"/>
              <w:jc w:val="left"/>
              <w:rPr>
                <w:color w:val="000000"/>
                <w:szCs w:val="22"/>
              </w:rPr>
            </w:pPr>
            <w:r w:rsidRPr="00E92C38">
              <w:rPr>
                <w:color w:val="000000"/>
                <w:szCs w:val="22"/>
              </w:rPr>
              <w:t> </w:t>
            </w:r>
          </w:p>
        </w:tc>
        <w:tc>
          <w:tcPr>
            <w:tcW w:w="6945" w:type="dxa"/>
            <w:gridSpan w:val="6"/>
            <w:tcBorders>
              <w:top w:val="single" w:sz="4" w:space="0" w:color="auto"/>
              <w:bottom w:val="single" w:sz="4" w:space="0" w:color="auto"/>
            </w:tcBorders>
            <w:shd w:val="clear" w:color="auto" w:fill="auto"/>
            <w:noWrap/>
            <w:vAlign w:val="bottom"/>
            <w:hideMark/>
          </w:tcPr>
          <w:p w14:paraId="25036598"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 Controle</w:t>
            </w:r>
          </w:p>
        </w:tc>
      </w:tr>
      <w:tr w:rsidR="00D74DA1" w:rsidRPr="00E92C38" w14:paraId="7E8F702A" w14:textId="77777777" w:rsidTr="00E07592">
        <w:trPr>
          <w:trHeight w:val="300"/>
        </w:trPr>
        <w:tc>
          <w:tcPr>
            <w:tcW w:w="2127" w:type="dxa"/>
            <w:tcBorders>
              <w:bottom w:val="single" w:sz="4" w:space="0" w:color="auto"/>
            </w:tcBorders>
            <w:shd w:val="clear" w:color="auto" w:fill="auto"/>
            <w:noWrap/>
            <w:vAlign w:val="bottom"/>
            <w:hideMark/>
          </w:tcPr>
          <w:p w14:paraId="2A3C3C7D"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Trat</w:t>
            </w:r>
          </w:p>
        </w:tc>
        <w:tc>
          <w:tcPr>
            <w:tcW w:w="992" w:type="dxa"/>
            <w:tcBorders>
              <w:top w:val="single" w:sz="4" w:space="0" w:color="auto"/>
              <w:bottom w:val="single" w:sz="4" w:space="0" w:color="auto"/>
            </w:tcBorders>
            <w:shd w:val="clear" w:color="auto" w:fill="auto"/>
            <w:noWrap/>
            <w:vAlign w:val="bottom"/>
            <w:hideMark/>
          </w:tcPr>
          <w:p w14:paraId="63E955DC"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A</w:t>
            </w:r>
          </w:p>
        </w:tc>
        <w:tc>
          <w:tcPr>
            <w:tcW w:w="1559" w:type="dxa"/>
            <w:tcBorders>
              <w:top w:val="single" w:sz="4" w:space="0" w:color="auto"/>
              <w:bottom w:val="single" w:sz="4" w:space="0" w:color="auto"/>
            </w:tcBorders>
            <w:shd w:val="clear" w:color="auto" w:fill="auto"/>
            <w:noWrap/>
            <w:vAlign w:val="bottom"/>
            <w:hideMark/>
          </w:tcPr>
          <w:p w14:paraId="098FB995"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B</w:t>
            </w:r>
          </w:p>
        </w:tc>
        <w:tc>
          <w:tcPr>
            <w:tcW w:w="709" w:type="dxa"/>
            <w:tcBorders>
              <w:top w:val="single" w:sz="4" w:space="0" w:color="auto"/>
              <w:bottom w:val="single" w:sz="4" w:space="0" w:color="auto"/>
            </w:tcBorders>
            <w:shd w:val="clear" w:color="auto" w:fill="auto"/>
            <w:noWrap/>
            <w:vAlign w:val="bottom"/>
            <w:hideMark/>
          </w:tcPr>
          <w:p w14:paraId="69CF48BE"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C</w:t>
            </w:r>
          </w:p>
        </w:tc>
        <w:tc>
          <w:tcPr>
            <w:tcW w:w="1134" w:type="dxa"/>
            <w:tcBorders>
              <w:top w:val="single" w:sz="4" w:space="0" w:color="auto"/>
              <w:bottom w:val="single" w:sz="4" w:space="0" w:color="auto"/>
            </w:tcBorders>
            <w:shd w:val="clear" w:color="auto" w:fill="auto"/>
            <w:noWrap/>
            <w:vAlign w:val="bottom"/>
            <w:hideMark/>
          </w:tcPr>
          <w:p w14:paraId="50268307"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80%</w:t>
            </w:r>
          </w:p>
        </w:tc>
        <w:tc>
          <w:tcPr>
            <w:tcW w:w="850" w:type="dxa"/>
            <w:tcBorders>
              <w:top w:val="single" w:sz="4" w:space="0" w:color="auto"/>
              <w:bottom w:val="single" w:sz="4" w:space="0" w:color="auto"/>
            </w:tcBorders>
            <w:shd w:val="clear" w:color="auto" w:fill="auto"/>
            <w:noWrap/>
            <w:vAlign w:val="bottom"/>
            <w:hideMark/>
          </w:tcPr>
          <w:p w14:paraId="707D93DC"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50%</w:t>
            </w:r>
          </w:p>
        </w:tc>
        <w:tc>
          <w:tcPr>
            <w:tcW w:w="1701" w:type="dxa"/>
            <w:tcBorders>
              <w:top w:val="single" w:sz="4" w:space="0" w:color="auto"/>
              <w:bottom w:val="single" w:sz="4" w:space="0" w:color="auto"/>
            </w:tcBorders>
            <w:shd w:val="clear" w:color="auto" w:fill="auto"/>
            <w:noWrap/>
            <w:vAlign w:val="bottom"/>
            <w:hideMark/>
          </w:tcPr>
          <w:p w14:paraId="1C9E437A" w14:textId="77777777" w:rsidR="00D74DA1" w:rsidRPr="00E92C38" w:rsidRDefault="00D74DA1" w:rsidP="00D74DA1">
            <w:pPr>
              <w:autoSpaceDE/>
              <w:autoSpaceDN/>
              <w:adjustRightInd/>
              <w:spacing w:after="0" w:line="360" w:lineRule="auto"/>
              <w:ind w:firstLine="0"/>
              <w:jc w:val="center"/>
              <w:rPr>
                <w:b/>
                <w:bCs/>
                <w:color w:val="000000"/>
                <w:szCs w:val="22"/>
              </w:rPr>
            </w:pPr>
            <w:r w:rsidRPr="00E92C38">
              <w:rPr>
                <w:b/>
                <w:bCs/>
                <w:color w:val="000000"/>
                <w:szCs w:val="22"/>
              </w:rPr>
              <w:t>R</w:t>
            </w:r>
            <w:r w:rsidRPr="00E92C38">
              <w:rPr>
                <w:b/>
                <w:bCs/>
                <w:color w:val="000000"/>
                <w:szCs w:val="22"/>
                <w:vertAlign w:val="superscript"/>
              </w:rPr>
              <w:t>2</w:t>
            </w:r>
          </w:p>
        </w:tc>
      </w:tr>
      <w:tr w:rsidR="00D74DA1" w:rsidRPr="00E92C38" w14:paraId="355F57C8" w14:textId="77777777" w:rsidTr="00E07592">
        <w:trPr>
          <w:trHeight w:val="300"/>
        </w:trPr>
        <w:tc>
          <w:tcPr>
            <w:tcW w:w="2127" w:type="dxa"/>
            <w:tcBorders>
              <w:top w:val="single" w:sz="4" w:space="0" w:color="auto"/>
            </w:tcBorders>
            <w:shd w:val="clear" w:color="auto" w:fill="auto"/>
            <w:noWrap/>
            <w:vAlign w:val="bottom"/>
            <w:hideMark/>
          </w:tcPr>
          <w:p w14:paraId="5FCEFB15" w14:textId="77777777" w:rsidR="00D74DA1" w:rsidRPr="00E92C38" w:rsidRDefault="00D74DA1" w:rsidP="00D74DA1">
            <w:pPr>
              <w:autoSpaceDE/>
              <w:autoSpaceDN/>
              <w:adjustRightInd/>
              <w:spacing w:after="0" w:line="360" w:lineRule="auto"/>
              <w:ind w:firstLine="0"/>
              <w:jc w:val="center"/>
              <w:rPr>
                <w:bCs/>
                <w:color w:val="000000"/>
                <w:sz w:val="20"/>
                <w:szCs w:val="20"/>
              </w:rPr>
            </w:pPr>
            <w:r w:rsidRPr="00E92C38">
              <w:rPr>
                <w:bCs/>
                <w:color w:val="000000"/>
                <w:sz w:val="20"/>
                <w:szCs w:val="20"/>
              </w:rPr>
              <w:t>C</w:t>
            </w:r>
          </w:p>
        </w:tc>
        <w:tc>
          <w:tcPr>
            <w:tcW w:w="992" w:type="dxa"/>
            <w:tcBorders>
              <w:top w:val="single" w:sz="4" w:space="0" w:color="auto"/>
            </w:tcBorders>
            <w:shd w:val="clear" w:color="auto" w:fill="auto"/>
            <w:noWrap/>
            <w:vAlign w:val="bottom"/>
            <w:hideMark/>
          </w:tcPr>
          <w:p w14:paraId="22835056"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-0,40</w:t>
            </w:r>
          </w:p>
        </w:tc>
        <w:tc>
          <w:tcPr>
            <w:tcW w:w="1559" w:type="dxa"/>
            <w:tcBorders>
              <w:top w:val="single" w:sz="4" w:space="0" w:color="auto"/>
            </w:tcBorders>
            <w:shd w:val="clear" w:color="auto" w:fill="auto"/>
            <w:noWrap/>
            <w:vAlign w:val="bottom"/>
            <w:hideMark/>
          </w:tcPr>
          <w:p w14:paraId="22ADC8D0"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72,6</w:t>
            </w:r>
          </w:p>
        </w:tc>
        <w:tc>
          <w:tcPr>
            <w:tcW w:w="709" w:type="dxa"/>
            <w:tcBorders>
              <w:top w:val="single" w:sz="4" w:space="0" w:color="auto"/>
            </w:tcBorders>
            <w:shd w:val="clear" w:color="auto" w:fill="auto"/>
            <w:noWrap/>
            <w:vAlign w:val="bottom"/>
            <w:hideMark/>
          </w:tcPr>
          <w:p w14:paraId="7FFD97AB"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-9,7</w:t>
            </w:r>
          </w:p>
        </w:tc>
        <w:tc>
          <w:tcPr>
            <w:tcW w:w="1134" w:type="dxa"/>
            <w:tcBorders>
              <w:top w:val="single" w:sz="4" w:space="0" w:color="auto"/>
            </w:tcBorders>
            <w:shd w:val="clear" w:color="auto" w:fill="auto"/>
            <w:noWrap/>
            <w:vAlign w:val="bottom"/>
            <w:hideMark/>
          </w:tcPr>
          <w:p w14:paraId="3EB07F98" w14:textId="77777777" w:rsidR="00D74DA1" w:rsidRPr="00E92C38" w:rsidRDefault="00D74DA1" w:rsidP="00D74DA1">
            <w:pPr>
              <w:autoSpaceDE/>
              <w:autoSpaceDN/>
              <w:adjustRightInd/>
              <w:spacing w:after="0" w:line="360" w:lineRule="auto"/>
              <w:ind w:firstLine="0"/>
              <w:jc w:val="left"/>
              <w:rPr>
                <w:color w:val="000000"/>
                <w:sz w:val="20"/>
                <w:szCs w:val="20"/>
              </w:rPr>
            </w:pPr>
            <w:r w:rsidRPr="00E92C38">
              <w:rPr>
                <w:color w:val="000000"/>
                <w:sz w:val="20"/>
                <w:szCs w:val="20"/>
              </w:rPr>
              <w:t xml:space="preserve">     -18,4</w:t>
            </w:r>
          </w:p>
        </w:tc>
        <w:tc>
          <w:tcPr>
            <w:tcW w:w="850" w:type="dxa"/>
            <w:tcBorders>
              <w:top w:val="single" w:sz="4" w:space="0" w:color="auto"/>
            </w:tcBorders>
            <w:shd w:val="clear" w:color="auto" w:fill="auto"/>
            <w:noWrap/>
            <w:vAlign w:val="bottom"/>
            <w:hideMark/>
          </w:tcPr>
          <w:p w14:paraId="141BC975"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55,8</w:t>
            </w:r>
          </w:p>
        </w:tc>
        <w:tc>
          <w:tcPr>
            <w:tcW w:w="1701" w:type="dxa"/>
            <w:tcBorders>
              <w:top w:val="single" w:sz="4" w:space="0" w:color="auto"/>
            </w:tcBorders>
            <w:shd w:val="clear" w:color="auto" w:fill="auto"/>
            <w:noWrap/>
            <w:vAlign w:val="bottom"/>
            <w:hideMark/>
          </w:tcPr>
          <w:p w14:paraId="090C3BD0"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0,98</w:t>
            </w:r>
          </w:p>
        </w:tc>
      </w:tr>
      <w:tr w:rsidR="00D74DA1" w:rsidRPr="00E92C38" w14:paraId="1F79FA6F" w14:textId="77777777" w:rsidTr="00E07592">
        <w:trPr>
          <w:trHeight w:val="345"/>
        </w:trPr>
        <w:tc>
          <w:tcPr>
            <w:tcW w:w="2127" w:type="dxa"/>
            <w:shd w:val="clear" w:color="auto" w:fill="auto"/>
            <w:noWrap/>
            <w:vAlign w:val="bottom"/>
            <w:hideMark/>
          </w:tcPr>
          <w:p w14:paraId="25B7567F" w14:textId="77777777" w:rsidR="00D74DA1" w:rsidRPr="00E92C38" w:rsidRDefault="00D74DA1" w:rsidP="00D74DA1">
            <w:pPr>
              <w:autoSpaceDE/>
              <w:autoSpaceDN/>
              <w:adjustRightInd/>
              <w:spacing w:after="0" w:line="360" w:lineRule="auto"/>
              <w:ind w:firstLine="0"/>
              <w:jc w:val="center"/>
              <w:rPr>
                <w:bCs/>
                <w:color w:val="000000"/>
                <w:sz w:val="20"/>
                <w:szCs w:val="20"/>
              </w:rPr>
            </w:pPr>
            <w:r w:rsidRPr="00E92C38">
              <w:rPr>
                <w:bCs/>
                <w:color w:val="000000"/>
                <w:sz w:val="20"/>
                <w:szCs w:val="20"/>
              </w:rPr>
              <w:t>C+E</w:t>
            </w:r>
          </w:p>
        </w:tc>
        <w:tc>
          <w:tcPr>
            <w:tcW w:w="992" w:type="dxa"/>
            <w:shd w:val="clear" w:color="auto" w:fill="auto"/>
            <w:noWrap/>
            <w:vAlign w:val="bottom"/>
            <w:hideMark/>
          </w:tcPr>
          <w:p w14:paraId="057DFA84"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-0,23</w:t>
            </w:r>
          </w:p>
        </w:tc>
        <w:tc>
          <w:tcPr>
            <w:tcW w:w="1559" w:type="dxa"/>
            <w:shd w:val="clear" w:color="auto" w:fill="auto"/>
            <w:noWrap/>
            <w:vAlign w:val="bottom"/>
            <w:hideMark/>
          </w:tcPr>
          <w:p w14:paraId="4D004C28"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74,9</w:t>
            </w:r>
          </w:p>
        </w:tc>
        <w:tc>
          <w:tcPr>
            <w:tcW w:w="709" w:type="dxa"/>
            <w:shd w:val="clear" w:color="auto" w:fill="auto"/>
            <w:noWrap/>
            <w:vAlign w:val="bottom"/>
            <w:hideMark/>
          </w:tcPr>
          <w:p w14:paraId="1F7668D5"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-5,6</w:t>
            </w:r>
          </w:p>
        </w:tc>
        <w:tc>
          <w:tcPr>
            <w:tcW w:w="1134" w:type="dxa"/>
            <w:shd w:val="clear" w:color="auto" w:fill="auto"/>
            <w:noWrap/>
            <w:vAlign w:val="bottom"/>
            <w:hideMark/>
          </w:tcPr>
          <w:p w14:paraId="1CA0861A" w14:textId="77777777" w:rsidR="00D74DA1" w:rsidRPr="00E92C38" w:rsidRDefault="00D74DA1" w:rsidP="00D74DA1">
            <w:pPr>
              <w:autoSpaceDE/>
              <w:autoSpaceDN/>
              <w:adjustRightInd/>
              <w:spacing w:after="0" w:line="360" w:lineRule="auto"/>
              <w:ind w:firstLine="0"/>
              <w:jc w:val="left"/>
              <w:rPr>
                <w:color w:val="000000"/>
                <w:sz w:val="20"/>
                <w:szCs w:val="20"/>
              </w:rPr>
            </w:pPr>
            <w:r w:rsidRPr="00E92C38">
              <w:rPr>
                <w:color w:val="000000"/>
                <w:sz w:val="20"/>
                <w:szCs w:val="20"/>
              </w:rPr>
              <w:t xml:space="preserve">     -21,9</w:t>
            </w:r>
          </w:p>
        </w:tc>
        <w:tc>
          <w:tcPr>
            <w:tcW w:w="850" w:type="dxa"/>
            <w:shd w:val="clear" w:color="auto" w:fill="auto"/>
            <w:noWrap/>
            <w:vAlign w:val="bottom"/>
            <w:hideMark/>
          </w:tcPr>
          <w:p w14:paraId="55455B4D" w14:textId="77777777" w:rsidR="00D74DA1" w:rsidRPr="00E92C38" w:rsidRDefault="00D74DA1" w:rsidP="00D74DA1">
            <w:pPr>
              <w:autoSpaceDE/>
              <w:autoSpaceDN/>
              <w:adjustRightInd/>
              <w:spacing w:after="0" w:line="360" w:lineRule="auto"/>
              <w:ind w:firstLine="0"/>
              <w:jc w:val="left"/>
              <w:rPr>
                <w:color w:val="000000"/>
                <w:sz w:val="20"/>
                <w:szCs w:val="20"/>
              </w:rPr>
            </w:pPr>
            <w:r w:rsidRPr="00E92C38">
              <w:rPr>
                <w:color w:val="000000"/>
                <w:sz w:val="20"/>
                <w:szCs w:val="20"/>
              </w:rPr>
              <w:t xml:space="preserve">   106,1</w:t>
            </w:r>
          </w:p>
        </w:tc>
        <w:tc>
          <w:tcPr>
            <w:tcW w:w="1701" w:type="dxa"/>
            <w:shd w:val="clear" w:color="auto" w:fill="auto"/>
            <w:noWrap/>
            <w:vAlign w:val="bottom"/>
            <w:hideMark/>
          </w:tcPr>
          <w:p w14:paraId="60CC7A3A"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0,88</w:t>
            </w:r>
          </w:p>
        </w:tc>
      </w:tr>
      <w:tr w:rsidR="00D74DA1" w:rsidRPr="00E92C38" w14:paraId="0F0DF74F" w14:textId="77777777" w:rsidTr="00E07592">
        <w:trPr>
          <w:trHeight w:val="300"/>
        </w:trPr>
        <w:tc>
          <w:tcPr>
            <w:tcW w:w="2127" w:type="dxa"/>
            <w:shd w:val="clear" w:color="auto" w:fill="auto"/>
            <w:noWrap/>
            <w:vAlign w:val="bottom"/>
            <w:hideMark/>
          </w:tcPr>
          <w:p w14:paraId="2589355D" w14:textId="77777777" w:rsidR="00D74DA1" w:rsidRPr="00E92C38" w:rsidRDefault="00D74DA1" w:rsidP="00D74DA1">
            <w:pPr>
              <w:autoSpaceDE/>
              <w:autoSpaceDN/>
              <w:adjustRightInd/>
              <w:spacing w:after="0" w:line="360" w:lineRule="auto"/>
              <w:ind w:firstLine="0"/>
              <w:jc w:val="center"/>
              <w:rPr>
                <w:bCs/>
                <w:color w:val="000000"/>
                <w:sz w:val="20"/>
                <w:szCs w:val="20"/>
              </w:rPr>
            </w:pPr>
            <w:r w:rsidRPr="00E92C38">
              <w:rPr>
                <w:bCs/>
                <w:color w:val="000000"/>
                <w:sz w:val="20"/>
                <w:szCs w:val="20"/>
              </w:rPr>
              <w:t>C+E+T</w:t>
            </w:r>
          </w:p>
        </w:tc>
        <w:tc>
          <w:tcPr>
            <w:tcW w:w="992" w:type="dxa"/>
            <w:shd w:val="clear" w:color="auto" w:fill="auto"/>
            <w:noWrap/>
            <w:vAlign w:val="bottom"/>
            <w:hideMark/>
          </w:tcPr>
          <w:p w14:paraId="1BD0FDBD"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-0,23</w:t>
            </w:r>
          </w:p>
        </w:tc>
        <w:tc>
          <w:tcPr>
            <w:tcW w:w="1559" w:type="dxa"/>
            <w:shd w:val="clear" w:color="auto" w:fill="auto"/>
            <w:noWrap/>
            <w:vAlign w:val="bottom"/>
            <w:hideMark/>
          </w:tcPr>
          <w:p w14:paraId="3BA3040B"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96,6</w:t>
            </w:r>
          </w:p>
        </w:tc>
        <w:tc>
          <w:tcPr>
            <w:tcW w:w="709" w:type="dxa"/>
            <w:shd w:val="clear" w:color="auto" w:fill="auto"/>
            <w:noWrap/>
            <w:vAlign w:val="bottom"/>
            <w:hideMark/>
          </w:tcPr>
          <w:p w14:paraId="77DEDF4D"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-5,5</w:t>
            </w:r>
          </w:p>
        </w:tc>
        <w:tc>
          <w:tcPr>
            <w:tcW w:w="1134" w:type="dxa"/>
            <w:shd w:val="clear" w:color="auto" w:fill="auto"/>
            <w:noWrap/>
            <w:vAlign w:val="bottom"/>
            <w:hideMark/>
          </w:tcPr>
          <w:p w14:paraId="3C298DDA"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72,8</w:t>
            </w:r>
          </w:p>
        </w:tc>
        <w:tc>
          <w:tcPr>
            <w:tcW w:w="850" w:type="dxa"/>
            <w:shd w:val="clear" w:color="auto" w:fill="auto"/>
            <w:noWrap/>
            <w:vAlign w:val="bottom"/>
            <w:hideMark/>
          </w:tcPr>
          <w:p w14:paraId="2133A7DC" w14:textId="77777777" w:rsidR="00D74DA1" w:rsidRPr="00E92C38" w:rsidRDefault="00D74DA1" w:rsidP="00D74DA1">
            <w:pPr>
              <w:autoSpaceDE/>
              <w:autoSpaceDN/>
              <w:adjustRightInd/>
              <w:spacing w:after="0" w:line="360" w:lineRule="auto"/>
              <w:ind w:firstLine="0"/>
              <w:jc w:val="left"/>
              <w:rPr>
                <w:color w:val="000000"/>
                <w:sz w:val="20"/>
                <w:szCs w:val="20"/>
              </w:rPr>
            </w:pPr>
            <w:r w:rsidRPr="00E92C38">
              <w:rPr>
                <w:color w:val="000000"/>
                <w:sz w:val="20"/>
                <w:szCs w:val="20"/>
              </w:rPr>
              <w:t xml:space="preserve"> &gt;168,0</w:t>
            </w:r>
          </w:p>
        </w:tc>
        <w:tc>
          <w:tcPr>
            <w:tcW w:w="1701" w:type="dxa"/>
            <w:shd w:val="clear" w:color="auto" w:fill="auto"/>
            <w:noWrap/>
            <w:vAlign w:val="bottom"/>
            <w:hideMark/>
          </w:tcPr>
          <w:p w14:paraId="55BB5739"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0,77</w:t>
            </w:r>
          </w:p>
        </w:tc>
      </w:tr>
      <w:tr w:rsidR="00D74DA1" w:rsidRPr="00E92C38" w14:paraId="01D3CCD0" w14:textId="77777777" w:rsidTr="00E07592">
        <w:trPr>
          <w:trHeight w:val="300"/>
        </w:trPr>
        <w:tc>
          <w:tcPr>
            <w:tcW w:w="2127" w:type="dxa"/>
            <w:tcBorders>
              <w:bottom w:val="single" w:sz="4" w:space="0" w:color="auto"/>
            </w:tcBorders>
            <w:shd w:val="clear" w:color="auto" w:fill="auto"/>
            <w:noWrap/>
            <w:vAlign w:val="bottom"/>
            <w:hideMark/>
          </w:tcPr>
          <w:p w14:paraId="25D53DC2" w14:textId="77777777" w:rsidR="00D74DA1" w:rsidRPr="00E92C38" w:rsidRDefault="00D74DA1" w:rsidP="00D74DA1">
            <w:pPr>
              <w:autoSpaceDE/>
              <w:autoSpaceDN/>
              <w:adjustRightInd/>
              <w:spacing w:after="0" w:line="360" w:lineRule="auto"/>
              <w:ind w:firstLine="0"/>
              <w:jc w:val="center"/>
              <w:rPr>
                <w:bCs/>
                <w:color w:val="000000"/>
                <w:sz w:val="20"/>
                <w:szCs w:val="20"/>
              </w:rPr>
            </w:pPr>
            <w:r w:rsidRPr="00E92C38">
              <w:rPr>
                <w:bCs/>
                <w:color w:val="000000"/>
                <w:sz w:val="20"/>
                <w:szCs w:val="20"/>
              </w:rPr>
              <w:t>C+E+MS</w:t>
            </w:r>
          </w:p>
        </w:tc>
        <w:tc>
          <w:tcPr>
            <w:tcW w:w="992" w:type="dxa"/>
            <w:tcBorders>
              <w:bottom w:val="single" w:sz="4" w:space="0" w:color="auto"/>
            </w:tcBorders>
            <w:shd w:val="clear" w:color="auto" w:fill="auto"/>
            <w:noWrap/>
            <w:vAlign w:val="bottom"/>
            <w:hideMark/>
          </w:tcPr>
          <w:p w14:paraId="00AF0DD4"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-0,44</w:t>
            </w:r>
          </w:p>
        </w:tc>
        <w:tc>
          <w:tcPr>
            <w:tcW w:w="1559" w:type="dxa"/>
            <w:tcBorders>
              <w:bottom w:val="single" w:sz="4" w:space="0" w:color="auto"/>
            </w:tcBorders>
            <w:shd w:val="clear" w:color="auto" w:fill="auto"/>
            <w:noWrap/>
            <w:vAlign w:val="bottom"/>
            <w:hideMark/>
          </w:tcPr>
          <w:p w14:paraId="56B22307"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80,4</w:t>
            </w:r>
          </w:p>
        </w:tc>
        <w:tc>
          <w:tcPr>
            <w:tcW w:w="709" w:type="dxa"/>
            <w:tcBorders>
              <w:bottom w:val="single" w:sz="4" w:space="0" w:color="auto"/>
            </w:tcBorders>
            <w:shd w:val="clear" w:color="auto" w:fill="auto"/>
            <w:noWrap/>
            <w:vAlign w:val="bottom"/>
            <w:hideMark/>
          </w:tcPr>
          <w:p w14:paraId="0AF6B969" w14:textId="77777777" w:rsidR="00D74DA1" w:rsidRPr="00E92C38" w:rsidRDefault="00D74DA1" w:rsidP="00D74DA1">
            <w:pPr>
              <w:autoSpaceDE/>
              <w:autoSpaceDN/>
              <w:adjustRightInd/>
              <w:spacing w:after="0" w:line="360" w:lineRule="auto"/>
              <w:ind w:firstLine="0"/>
              <w:jc w:val="left"/>
              <w:rPr>
                <w:color w:val="000000"/>
                <w:sz w:val="20"/>
                <w:szCs w:val="20"/>
              </w:rPr>
            </w:pPr>
            <w:r w:rsidRPr="00E92C38">
              <w:rPr>
                <w:color w:val="000000"/>
                <w:sz w:val="20"/>
                <w:szCs w:val="20"/>
              </w:rPr>
              <w:t>-10,6</w:t>
            </w:r>
          </w:p>
        </w:tc>
        <w:tc>
          <w:tcPr>
            <w:tcW w:w="1134" w:type="dxa"/>
            <w:tcBorders>
              <w:bottom w:val="single" w:sz="4" w:space="0" w:color="auto"/>
            </w:tcBorders>
            <w:shd w:val="clear" w:color="auto" w:fill="auto"/>
            <w:noWrap/>
            <w:vAlign w:val="bottom"/>
            <w:hideMark/>
          </w:tcPr>
          <w:p w14:paraId="3633A55F"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 xml:space="preserve">  0,8</w:t>
            </w:r>
          </w:p>
        </w:tc>
        <w:tc>
          <w:tcPr>
            <w:tcW w:w="850" w:type="dxa"/>
            <w:tcBorders>
              <w:bottom w:val="single" w:sz="4" w:space="0" w:color="auto"/>
            </w:tcBorders>
            <w:shd w:val="clear" w:color="auto" w:fill="auto"/>
            <w:noWrap/>
            <w:vAlign w:val="bottom"/>
            <w:hideMark/>
          </w:tcPr>
          <w:p w14:paraId="765BF823"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69,0</w:t>
            </w:r>
          </w:p>
        </w:tc>
        <w:tc>
          <w:tcPr>
            <w:tcW w:w="1701" w:type="dxa"/>
            <w:tcBorders>
              <w:bottom w:val="single" w:sz="4" w:space="0" w:color="auto"/>
            </w:tcBorders>
            <w:shd w:val="clear" w:color="auto" w:fill="auto"/>
            <w:noWrap/>
            <w:vAlign w:val="bottom"/>
            <w:hideMark/>
          </w:tcPr>
          <w:p w14:paraId="414B539F"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0,88</w:t>
            </w:r>
          </w:p>
        </w:tc>
      </w:tr>
      <w:tr w:rsidR="00D74DA1" w:rsidRPr="00E92C38" w14:paraId="4447DC0B" w14:textId="77777777" w:rsidTr="00E07592">
        <w:trPr>
          <w:trHeight w:val="300"/>
        </w:trPr>
        <w:tc>
          <w:tcPr>
            <w:tcW w:w="2127" w:type="dxa"/>
            <w:tcBorders>
              <w:top w:val="single" w:sz="4" w:space="0" w:color="auto"/>
              <w:bottom w:val="single" w:sz="4" w:space="0" w:color="auto"/>
            </w:tcBorders>
            <w:shd w:val="clear" w:color="auto" w:fill="auto"/>
            <w:noWrap/>
            <w:vAlign w:val="bottom"/>
            <w:hideMark/>
          </w:tcPr>
          <w:p w14:paraId="3564F711" w14:textId="77777777" w:rsidR="00D74DA1" w:rsidRPr="00E92C38" w:rsidRDefault="00D74DA1" w:rsidP="00D74DA1">
            <w:pPr>
              <w:autoSpaceDE/>
              <w:autoSpaceDN/>
              <w:adjustRightInd/>
              <w:spacing w:after="0" w:line="360" w:lineRule="auto"/>
              <w:ind w:firstLine="0"/>
              <w:jc w:val="center"/>
              <w:rPr>
                <w:b/>
                <w:bCs/>
                <w:color w:val="000000"/>
                <w:sz w:val="20"/>
                <w:szCs w:val="20"/>
              </w:rPr>
            </w:pPr>
            <w:r w:rsidRPr="00E92C38">
              <w:rPr>
                <w:b/>
                <w:bCs/>
                <w:color w:val="000000"/>
                <w:sz w:val="20"/>
                <w:szCs w:val="20"/>
              </w:rPr>
              <w:t>Média</w:t>
            </w:r>
          </w:p>
        </w:tc>
        <w:tc>
          <w:tcPr>
            <w:tcW w:w="992" w:type="dxa"/>
            <w:tcBorders>
              <w:top w:val="single" w:sz="4" w:space="0" w:color="auto"/>
              <w:bottom w:val="single" w:sz="4" w:space="0" w:color="auto"/>
            </w:tcBorders>
            <w:shd w:val="clear" w:color="auto" w:fill="auto"/>
            <w:noWrap/>
            <w:vAlign w:val="bottom"/>
            <w:hideMark/>
          </w:tcPr>
          <w:p w14:paraId="7D672728"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-0,25</w:t>
            </w:r>
          </w:p>
        </w:tc>
        <w:tc>
          <w:tcPr>
            <w:tcW w:w="1559" w:type="dxa"/>
            <w:tcBorders>
              <w:top w:val="single" w:sz="4" w:space="0" w:color="auto"/>
              <w:bottom w:val="single" w:sz="4" w:space="0" w:color="auto"/>
            </w:tcBorders>
            <w:shd w:val="clear" w:color="auto" w:fill="auto"/>
            <w:noWrap/>
            <w:vAlign w:val="bottom"/>
            <w:hideMark/>
          </w:tcPr>
          <w:p w14:paraId="79563485"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86,7</w:t>
            </w:r>
          </w:p>
        </w:tc>
        <w:tc>
          <w:tcPr>
            <w:tcW w:w="709" w:type="dxa"/>
            <w:tcBorders>
              <w:top w:val="single" w:sz="4" w:space="0" w:color="auto"/>
              <w:bottom w:val="single" w:sz="4" w:space="0" w:color="auto"/>
            </w:tcBorders>
            <w:shd w:val="clear" w:color="auto" w:fill="auto"/>
            <w:noWrap/>
            <w:vAlign w:val="bottom"/>
            <w:hideMark/>
          </w:tcPr>
          <w:p w14:paraId="7B29D06B"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-5,9</w:t>
            </w:r>
          </w:p>
        </w:tc>
        <w:tc>
          <w:tcPr>
            <w:tcW w:w="1134" w:type="dxa"/>
            <w:tcBorders>
              <w:top w:val="single" w:sz="4" w:space="0" w:color="auto"/>
              <w:bottom w:val="single" w:sz="4" w:space="0" w:color="auto"/>
            </w:tcBorders>
            <w:shd w:val="clear" w:color="auto" w:fill="auto"/>
            <w:noWrap/>
            <w:vAlign w:val="bottom"/>
            <w:hideMark/>
          </w:tcPr>
          <w:p w14:paraId="0E2D8DB0"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27,0</w:t>
            </w:r>
          </w:p>
        </w:tc>
        <w:tc>
          <w:tcPr>
            <w:tcW w:w="850" w:type="dxa"/>
            <w:tcBorders>
              <w:top w:val="single" w:sz="4" w:space="0" w:color="auto"/>
              <w:bottom w:val="single" w:sz="4" w:space="0" w:color="auto"/>
            </w:tcBorders>
            <w:shd w:val="clear" w:color="auto" w:fill="auto"/>
            <w:noWrap/>
            <w:vAlign w:val="bottom"/>
            <w:hideMark/>
          </w:tcPr>
          <w:p w14:paraId="04A15350" w14:textId="77777777" w:rsidR="00D74DA1" w:rsidRPr="00E92C38" w:rsidRDefault="00D74DA1" w:rsidP="00D74DA1">
            <w:pPr>
              <w:autoSpaceDE/>
              <w:autoSpaceDN/>
              <w:adjustRightInd/>
              <w:spacing w:after="0" w:line="360" w:lineRule="auto"/>
              <w:ind w:firstLine="0"/>
              <w:jc w:val="left"/>
              <w:rPr>
                <w:color w:val="000000"/>
                <w:sz w:val="20"/>
                <w:szCs w:val="20"/>
              </w:rPr>
            </w:pPr>
            <w:r w:rsidRPr="00E92C38">
              <w:rPr>
                <w:color w:val="000000"/>
                <w:sz w:val="20"/>
                <w:szCs w:val="20"/>
              </w:rPr>
              <w:t xml:space="preserve">   148,0</w:t>
            </w:r>
          </w:p>
        </w:tc>
        <w:tc>
          <w:tcPr>
            <w:tcW w:w="1701" w:type="dxa"/>
            <w:tcBorders>
              <w:top w:val="single" w:sz="4" w:space="0" w:color="auto"/>
              <w:bottom w:val="single" w:sz="4" w:space="0" w:color="auto"/>
            </w:tcBorders>
            <w:shd w:val="clear" w:color="auto" w:fill="auto"/>
            <w:noWrap/>
            <w:vAlign w:val="bottom"/>
            <w:hideMark/>
          </w:tcPr>
          <w:p w14:paraId="3C05C448" w14:textId="77777777" w:rsidR="00D74DA1" w:rsidRPr="00E92C38" w:rsidRDefault="00D74DA1" w:rsidP="00D74DA1">
            <w:pPr>
              <w:autoSpaceDE/>
              <w:autoSpaceDN/>
              <w:adjustRightInd/>
              <w:spacing w:after="0" w:line="360" w:lineRule="auto"/>
              <w:ind w:firstLine="0"/>
              <w:jc w:val="center"/>
              <w:rPr>
                <w:color w:val="000000"/>
                <w:sz w:val="20"/>
                <w:szCs w:val="20"/>
              </w:rPr>
            </w:pPr>
            <w:r w:rsidRPr="00E92C38">
              <w:rPr>
                <w:color w:val="000000"/>
                <w:sz w:val="20"/>
                <w:szCs w:val="20"/>
              </w:rPr>
              <w:t>0,90</w:t>
            </w:r>
          </w:p>
        </w:tc>
      </w:tr>
    </w:tbl>
    <w:p w14:paraId="13D15C54" w14:textId="77777777" w:rsidR="00D74DA1" w:rsidRPr="00E92C38" w:rsidRDefault="00D74DA1" w:rsidP="00D74DA1">
      <w:pPr>
        <w:autoSpaceDE/>
        <w:autoSpaceDN/>
        <w:adjustRightInd/>
        <w:spacing w:after="0" w:line="360" w:lineRule="auto"/>
        <w:ind w:firstLine="0"/>
        <w:rPr>
          <w:color w:val="231F20"/>
          <w:sz w:val="16"/>
          <w:szCs w:val="16"/>
        </w:rPr>
      </w:pPr>
      <w:r w:rsidRPr="00E92C38">
        <w:rPr>
          <w:color w:val="231F20"/>
          <w:sz w:val="16"/>
          <w:szCs w:val="16"/>
        </w:rPr>
        <w:t xml:space="preserve">A) </w:t>
      </w:r>
      <w:r w:rsidRPr="00E92C38">
        <w:rPr>
          <w:sz w:val="16"/>
          <w:szCs w:val="16"/>
        </w:rPr>
        <w:t>Redução de % de controle da FAS por hora de atraso da aplicação após a inoculação do fungo</w:t>
      </w:r>
      <w:r w:rsidRPr="00E92C38">
        <w:rPr>
          <w:color w:val="231F20"/>
          <w:sz w:val="16"/>
          <w:szCs w:val="16"/>
        </w:rPr>
        <w:t xml:space="preserve">; B) </w:t>
      </w:r>
      <w:r w:rsidRPr="00E92C38">
        <w:rPr>
          <w:sz w:val="16"/>
          <w:szCs w:val="16"/>
        </w:rPr>
        <w:t>% de controle da FAS quando os fungicidas são aplicados no momento da inoculação</w:t>
      </w:r>
      <w:r w:rsidRPr="00E92C38">
        <w:rPr>
          <w:color w:val="231F20"/>
          <w:sz w:val="16"/>
          <w:szCs w:val="16"/>
        </w:rPr>
        <w:t xml:space="preserve">; C) </w:t>
      </w:r>
      <w:r w:rsidRPr="00E92C38">
        <w:rPr>
          <w:sz w:val="16"/>
          <w:szCs w:val="16"/>
        </w:rPr>
        <w:t>Redução de % de controle da FAS por dia de atraso da aplicação após a inoculação do fungo</w:t>
      </w:r>
      <w:r w:rsidRPr="00E92C38">
        <w:rPr>
          <w:color w:val="231F20"/>
          <w:sz w:val="16"/>
          <w:szCs w:val="16"/>
        </w:rPr>
        <w:t xml:space="preserve">; 80%) </w:t>
      </w:r>
      <w:r w:rsidRPr="00E92C38">
        <w:rPr>
          <w:sz w:val="16"/>
          <w:szCs w:val="16"/>
        </w:rPr>
        <w:t>Número de horas após a inoculação do fungo em que o fungicida obtem 80 % de controle</w:t>
      </w:r>
      <w:r w:rsidRPr="00E92C38">
        <w:rPr>
          <w:color w:val="231F20"/>
          <w:sz w:val="16"/>
          <w:szCs w:val="16"/>
        </w:rPr>
        <w:t xml:space="preserve">; 50%) </w:t>
      </w:r>
      <w:r w:rsidRPr="00E92C38">
        <w:rPr>
          <w:sz w:val="16"/>
          <w:szCs w:val="16"/>
        </w:rPr>
        <w:t>Número de horas após a inoculação do fungo em que o fungicida obtem 80 % de controle</w:t>
      </w:r>
      <w:r w:rsidRPr="00E92C38">
        <w:rPr>
          <w:color w:val="231F20"/>
          <w:sz w:val="16"/>
          <w:szCs w:val="16"/>
        </w:rPr>
        <w:t>; R</w:t>
      </w:r>
      <w:r w:rsidRPr="00E92C38">
        <w:rPr>
          <w:color w:val="231F20"/>
          <w:sz w:val="16"/>
          <w:szCs w:val="16"/>
          <w:vertAlign w:val="superscript"/>
        </w:rPr>
        <w:t>2</w:t>
      </w:r>
      <w:r w:rsidRPr="00E92C38">
        <w:rPr>
          <w:color w:val="231F20"/>
          <w:sz w:val="16"/>
          <w:szCs w:val="16"/>
        </w:rPr>
        <w:t>) Coeficiente de determinação;</w:t>
      </w:r>
    </w:p>
    <w:p w14:paraId="7ADC9A96" w14:textId="77777777" w:rsidR="00D74DA1" w:rsidRDefault="00D74DA1" w:rsidP="00E07592">
      <w:pPr>
        <w:spacing w:after="0" w:line="360" w:lineRule="auto"/>
      </w:pPr>
    </w:p>
    <w:p w14:paraId="6A5BB329" w14:textId="77777777" w:rsidR="00ED0A8E" w:rsidRDefault="00C003E4" w:rsidP="00E07592">
      <w:pPr>
        <w:spacing w:after="0" w:line="360" w:lineRule="auto"/>
      </w:pPr>
      <w:r w:rsidRPr="00B7238F">
        <w:t xml:space="preserve">A eficiência de controle da FAS quando pulverizados no momento da inoculação para Pc + Bz, Pr + Fl e Az + Bz foi de 97,4, 88,5 e 38,7 %, respectivamente (Tabela 7). O fungicida Pc + Bz apresenta controle superior a 80 % mesmo quando aplicados 168 hs após a inoculação do patógeno, enquanto que Az + Bz não obtem controle superior a 50 % nem mesmo quando aplicado 48 horas antes da inoculação (Tabela 7). A aplicação de Pr + Fl apresenta controle da FAS de 80 e 50 % em pulverizações realizadas 24,7 e 112 hs após a inoculação de </w:t>
      </w:r>
      <w:r w:rsidRPr="00B7238F">
        <w:rPr>
          <w:i/>
        </w:rPr>
        <w:t xml:space="preserve">P. pachyrhizi </w:t>
      </w:r>
      <w:r w:rsidRPr="00B7238F">
        <w:t>(Tabela 7). A redução de controle da doença para cada dia de atraso da aplicação de fungicida após a inoculação foi de 5,6 %, 8,2 % e 3,0 para Az + Bz, Pr + Fl e Pc + Bz, respectivamente.</w:t>
      </w:r>
    </w:p>
    <w:p w14:paraId="01DC4D7E" w14:textId="77777777" w:rsidR="00ED0A8E" w:rsidRDefault="00C003E4" w:rsidP="00E07592">
      <w:pPr>
        <w:spacing w:after="0" w:line="360" w:lineRule="auto"/>
        <w:rPr>
          <w:i/>
        </w:rPr>
      </w:pPr>
      <w:r w:rsidRPr="00B7238F">
        <w:t xml:space="preserve">Fungicidas compostos por misturas de carboxamida, estrobilurinas e triazol/triazolinthione apresentam redução média de 0,23 % no controle para cada hora de atraso da aplicação de fungicida após a inoculação do patógeno, e 5,5 % de redução de controle da FAS por dia de atraso da aplicação (Tabela 8). Estes valores são semelhantes aos encontrados para misturas de carboxamidas e estrobilurinas. Porém o número de horas após a inoculação do fungo em que misturas de carboxamida + estrobilurina + triazol/triazolinthione obtem 80 % de controle foi de 72,8 hs, bem como estes mesmos quando aplicados 168 hs após a inoculação proporcionam controle superior a 50 % (Tabela 8).  Quanto maior o número de horas após a inoculação do fungo em que os fungicidas apresentam eficiência, maior é o potencial curativo dos mesmos. Desta forma, o maior número de horas após a inoculação em que misturas de carboxamida, estrobilurina e triazol/triazolinthione obtem 50 e 80 % de controle quando comparados a misturas de carboxamida + estrobilurina, demonstram a importância de adição de inibidores da biosssintese de ergosterol para obter controle curativo de </w:t>
      </w:r>
      <w:r w:rsidRPr="00B7238F">
        <w:rPr>
          <w:i/>
        </w:rPr>
        <w:t>P. pachyrhizi.</w:t>
      </w:r>
    </w:p>
    <w:p w14:paraId="63F54C51" w14:textId="77777777" w:rsidR="00ED0A8E" w:rsidRDefault="00C003E4" w:rsidP="00E07592">
      <w:pPr>
        <w:spacing w:after="0" w:line="360" w:lineRule="auto"/>
      </w:pPr>
      <w:r w:rsidRPr="00B7238F">
        <w:t>Entre as misturas de carboxamida, estrobilurina e triazol/triazolinthione há diferenças no potencial curativo dos fungicidas, sendo que Tr + Bx + Pz e Az + Bz + Ci + Di apresentam redução de controle da FAS de 0,23 % para hora de atraso da aplicação após a inoculação do fungo, enquanto que Pr + Fl + Ep obteve 0,41 % de redução de controle por hora de atraso (Tabela 7). Para cada dia em que a aplicação de fungicida foi atrasada em relação a inoculação, Tr + Bx + Pz e Az + Bz + Ci + Di apresentaram redução de 3,3 e 3,4 % de controle, respectivamente (Tabela 7). Os valores observados para estes fungicidas demonstram maior potencial de controle curativo de FAS em relação a Pr + Fl + Ep, o qual reduz 9,7 % de controle para cada dia de atraso da aplicação (Tabela 7). O controle de FAS quando a aplicação ocorreu 120 hs após a aplicação, foi 57,9, 82,6 e 74,4 %, respectivamente para Pr + Fl + Ep, Tr + Bx + Pz e Az + Bz + Ci + Di (Tabela 7), o que reforça o maior potencial de controle curativo destas duas últimas misturas.</w:t>
      </w:r>
    </w:p>
    <w:p w14:paraId="3257008E" w14:textId="77777777" w:rsidR="00ED0A8E" w:rsidRDefault="00C003E4" w:rsidP="00E07592">
      <w:pPr>
        <w:spacing w:after="0" w:line="360" w:lineRule="auto"/>
      </w:pPr>
      <w:r w:rsidRPr="00B7238F">
        <w:t>Ao comparar a eficiência de mistura de mancozebe ou ciproconazole + difenoconazole a Az + Bz, observamos que a adição de mancozebe proporciona controle superior a 80 % (85,7%) somente quando pulverizado até 24 hs após a inoculação (Tabela 7), enquanto que a mistura de ciproconazole+difenoconazole resulta em controle superior a 90 % (94,4%) quando aplicado até 72 hs após a inoculação (Tabela 7).</w:t>
      </w:r>
    </w:p>
    <w:p w14:paraId="7BBA7370" w14:textId="77777777" w:rsidR="00ED0A8E" w:rsidRDefault="00C003E4" w:rsidP="00E07592">
      <w:pPr>
        <w:spacing w:after="0" w:line="360" w:lineRule="auto"/>
      </w:pPr>
      <w:r w:rsidRPr="00B7238F">
        <w:t>Nota-se uma diferença 1,1 lesões entre aplicação preventiva e curativa considerando os mesmos tempos. Em valores porcentuais a aplicação preventiva reduziu em 47,8% o número de lesões.cm</w:t>
      </w:r>
      <w:r w:rsidRPr="00B7238F">
        <w:rPr>
          <w:vertAlign w:val="superscript"/>
        </w:rPr>
        <w:t>-2</w:t>
      </w:r>
      <w:r w:rsidRPr="00B7238F">
        <w:t xml:space="preserve"> quando comparada com aplicação curativa. Com o aumento do tempo das aplicações a partir de 48 h nota-se crescente incremento do número de lesões.cm</w:t>
      </w:r>
      <w:r w:rsidRPr="00B7238F">
        <w:rPr>
          <w:vertAlign w:val="superscript"/>
        </w:rPr>
        <w:t>-2</w:t>
      </w:r>
      <w:r w:rsidRPr="00B7238F">
        <w:t>, com valores de 4,0, 6,8 e 8,0, respectivamente para 72, 120, 168 h após inoculação (Tabela 5).</w:t>
      </w:r>
    </w:p>
    <w:p w14:paraId="3224281C" w14:textId="6924F84E" w:rsidR="00E921A1" w:rsidRPr="00B7238F" w:rsidRDefault="00C003E4" w:rsidP="00E07592">
      <w:pPr>
        <w:spacing w:after="0" w:line="360" w:lineRule="auto"/>
      </w:pPr>
      <w:r w:rsidRPr="00B7238F">
        <w:t>Transformando os dados do número de lesões para porcentagem de controle, constatou-se  que quando os fungicidas foram aplicados 48 h antes da inoculação o número médio de lesões foi de 2,3 lesões.cm</w:t>
      </w:r>
      <w:r w:rsidRPr="00B7238F">
        <w:rPr>
          <w:vertAlign w:val="superscript"/>
        </w:rPr>
        <w:t>-2</w:t>
      </w:r>
      <w:r w:rsidRPr="00B7238F">
        <w:t xml:space="preserve"> (Tabela 5) e o controle médio da doença foi 89,2% (Tabela 6), porém quando as aplicações foram realizadas 168 horas após a inoculação foi quantificado 8,0 lesões.cm</w:t>
      </w:r>
      <w:r w:rsidRPr="00B7238F">
        <w:rPr>
          <w:vertAlign w:val="superscript"/>
        </w:rPr>
        <w:t>-2</w:t>
      </w:r>
      <w:r w:rsidRPr="00B7238F">
        <w:t xml:space="preserve"> (Tabela 5) e 41,2 % de eficiência de controle (Tabela 6).</w:t>
      </w:r>
    </w:p>
    <w:p w14:paraId="47DCB57F" w14:textId="77777777" w:rsidR="007329C3" w:rsidRDefault="00E921A1" w:rsidP="00E07592">
      <w:pPr>
        <w:spacing w:after="0" w:line="360" w:lineRule="auto"/>
      </w:pPr>
      <w:r w:rsidRPr="00B7238F">
        <w:t>A média de controle foi superior a 80 % quando os fungicidas foram aplicados até 48 horas após a inoculação (Tabela 6), e a redução média de eficiência de controle por dia de atraso da aplicação de fungicida foi 5,9 % (Tabela 6). Quando os fungicidas foram aplicados até 120 horas após a inoculação a média de controle da FAS foi superior a 50% (Tabela 6).</w:t>
      </w:r>
    </w:p>
    <w:p w14:paraId="6D77BAB9" w14:textId="77777777" w:rsidR="003F2A9A" w:rsidRDefault="00E921A1" w:rsidP="00E07592">
      <w:pPr>
        <w:spacing w:after="0" w:line="360" w:lineRule="auto"/>
      </w:pPr>
      <w:r w:rsidRPr="00B7238F">
        <w:t>Todos os fungicidas apresentaram menor número de lesões que a testemunha quando aplicados entre 48 hs antes e 72 hs após a inoculação (Tabela 5). A eficiência de controle da FAS pelo fungicida azoxistrobina + benzovindiflupyr (Az + Bz) foi nula quando a aplicação ocorreu entre 120 e 168 hs após a inoculação (Tabela 6). O mesmo ocorreu para aplicação de piraclostrobina + fluxapyroxada + epoxiconazole (Pr + Fl +Ep) 168 hs após a inoculação (Tabela 6).</w:t>
      </w:r>
    </w:p>
    <w:p w14:paraId="52CB75CA" w14:textId="77777777" w:rsidR="003F2A9A" w:rsidRDefault="00E921A1" w:rsidP="00E07592">
      <w:pPr>
        <w:spacing w:after="0" w:line="360" w:lineRule="auto"/>
      </w:pPr>
      <w:r w:rsidRPr="00B7238F">
        <w:t>Os maiores valores de intensidade de FAS e menor eficiência de controle entre os fungicidas testados foram observados para Az + Bz independente do momento de aplicação (Tabela 5 e Tabela 6).</w:t>
      </w:r>
    </w:p>
    <w:p w14:paraId="454BE005" w14:textId="77777777" w:rsidR="003F2A9A" w:rsidRDefault="00E921A1" w:rsidP="00E07592">
      <w:pPr>
        <w:spacing w:after="0" w:line="360" w:lineRule="auto"/>
      </w:pPr>
      <w:r w:rsidRPr="00B7238F">
        <w:t>Os fungicidas testados apresentaram diferença quanto ao potencial curativo, sendo trifloxistrobina + protioconazole + bixafeno (Tr + Bx + Pz), trifloxistrobina + protioconazole (Tr + Pz), picoxistrobina + benzovindiflupyr (Pc + Bz) e azoxistrobina + benzovindiflupyr + ciproconazole + difenoconazole (Az + Bz + Ci +Di) os tratamentos com maior eficiência de controle curativo (Tabela 6). Estes fungicidas foram os únicos a apresentarem controle superior a 90 % quando pulverizados 72 hs após a inoculação, e maior que 65 % quando aplicados 168 horas após a inoculação (Tabela 6).</w:t>
      </w:r>
    </w:p>
    <w:p w14:paraId="4D067F45" w14:textId="77777777" w:rsidR="003F2A9A" w:rsidRDefault="00E921A1" w:rsidP="00E07592">
      <w:pPr>
        <w:spacing w:after="0" w:line="360" w:lineRule="auto"/>
      </w:pPr>
      <w:r w:rsidRPr="00B7238F">
        <w:t xml:space="preserve">Quando as aplicações foram realizadas 48 hs antes da inoculação o menor valor de número de lesões.cm </w:t>
      </w:r>
      <w:r w:rsidRPr="00B7238F">
        <w:rPr>
          <w:vertAlign w:val="superscript"/>
        </w:rPr>
        <w:t>-2</w:t>
      </w:r>
      <w:r w:rsidRPr="00B7238F">
        <w:t xml:space="preserve"> foi observado para Tr + Bx + Pz (0,08), o qual não diferiu de Tr + Pz (0,28), piraclostrobina + fluxapyroxada (Pr + Fl) (0,23), Pc + Bz (0,10), Az + Bz + Ci + Di (0,45), azoxistrobina + benzovindiflupyr + mancozebe (Az + Bz + Mz) (0,35) (Tabela 5). A média de controle da doença foi 89,2 %, sendo neste momento de aplicação observadas as menores diferenças entre os fungicidas (Tabela 6).</w:t>
      </w:r>
    </w:p>
    <w:p w14:paraId="0CF43C12" w14:textId="77777777" w:rsidR="003F2A9A" w:rsidRDefault="00E921A1" w:rsidP="00E07592">
      <w:pPr>
        <w:spacing w:after="0" w:line="360" w:lineRule="auto"/>
      </w:pPr>
      <w:r w:rsidRPr="00B7238F">
        <w:t>Em pulverizações realizadas 24 hs após a inoculação somente o fungicida Az + Bz apresentou controle inferior a 80 % (Tabela 6). O número médio de lesões.cm</w:t>
      </w:r>
      <w:r w:rsidRPr="00B7238F">
        <w:rPr>
          <w:vertAlign w:val="superscript"/>
        </w:rPr>
        <w:t>-2</w:t>
      </w:r>
      <w:r w:rsidRPr="00B7238F">
        <w:t xml:space="preserve"> e controle da FAS foram 2,58 (Tabela 5) e 87 % (Tabela 6) respectivamente. Os maiores valores de controle foram observados para Tr + Bx + Pz, o qual não diferiu quanto ao número de lesões.cm</w:t>
      </w:r>
      <w:r w:rsidRPr="00B7238F">
        <w:rPr>
          <w:vertAlign w:val="superscript"/>
        </w:rPr>
        <w:t>-2</w:t>
      </w:r>
      <w:r w:rsidRPr="00B7238F">
        <w:t xml:space="preserve"> em relação a Tr + Pz, Az + Bz + Ci + Di e Pc + Bz (Tabela 6).</w:t>
      </w:r>
    </w:p>
    <w:p w14:paraId="4923FD4F" w14:textId="77777777" w:rsidR="003F2A9A" w:rsidRDefault="00E921A1" w:rsidP="00E07592">
      <w:pPr>
        <w:spacing w:after="0" w:line="360" w:lineRule="auto"/>
      </w:pPr>
      <w:r w:rsidRPr="00B7238F">
        <w:t>A média de controle da FAS dos fungicidas quando aplicados 48 hs após a inoculação foi de 80,2 % (Tabela 6).  A aplicação de Pr + Fl e Az + Bz + Mz apresentaram menor número de lesões que Az + Bz e testemunha, porém estes valores foram superiores aos tratamentos com os demais fungicidas testados (Tabela 5). Os menores valores de número de lesões.cm</w:t>
      </w:r>
      <w:r w:rsidRPr="00B7238F">
        <w:rPr>
          <w:vertAlign w:val="superscript"/>
        </w:rPr>
        <w:t>-2</w:t>
      </w:r>
      <w:r w:rsidRPr="00B7238F">
        <w:t xml:space="preserve"> foram observados para Tr + Pz (0,25), o qual não diferiu de Tr + Bx + Pz (0,43), Az + Bz + Ci + Di (0,6) e Pc + Bz (0,38). O fungicida Pr + Fl + Ep (87,8 %) apresentou controle da doença superior a Pr + Fl (69,2 %) e Az + Bz + Mz (64,9 %), os dois últimos tratamentos não diferindo entre si (Tabela 5).</w:t>
      </w:r>
    </w:p>
    <w:p w14:paraId="220612B0" w14:textId="77777777" w:rsidR="003F2A9A" w:rsidRDefault="00E921A1" w:rsidP="00E07592">
      <w:pPr>
        <w:spacing w:after="0" w:line="360" w:lineRule="auto"/>
      </w:pPr>
      <w:r w:rsidRPr="00B7238F">
        <w:t>Quando as pulverizações de fungicidas foram realizadas 72 hs após a inoculação foi observado menor número de lesões.cm</w:t>
      </w:r>
      <w:r w:rsidRPr="00B7238F">
        <w:rPr>
          <w:vertAlign w:val="superscript"/>
        </w:rPr>
        <w:t>-2</w:t>
      </w:r>
      <w:r w:rsidRPr="00B7238F">
        <w:t xml:space="preserve"> para Pr + Fl + Ep (2,3) que Pr + Fl (3,23), sendo a intensidade de doença deste último inferior a detectada para</w:t>
      </w:r>
      <w:r w:rsidR="00B57F4A" w:rsidRPr="00B7238F">
        <w:t xml:space="preserve"> Az + Bz + Mz (7,78) (Tabela 5). Os maiores valores de controle da FAS foram observados para Tr + Bx + Pz (96,1%), o qual não diferiu de Tr + Pz (94,2 %), Az + Bz + Ci + Di (94,4 %) e Pc + Bz (92,4 %) (Tabela 6).</w:t>
      </w:r>
    </w:p>
    <w:p w14:paraId="253FA19C" w14:textId="77777777" w:rsidR="003F2A9A" w:rsidRDefault="00B57F4A" w:rsidP="00E07592">
      <w:pPr>
        <w:spacing w:after="0" w:line="360" w:lineRule="auto"/>
      </w:pPr>
      <w:r w:rsidRPr="00B7238F">
        <w:t xml:space="preserve">Ao avaliar a estabilidade de controle dos fungicidas aplicados em diferentes fases do processo de infecção de </w:t>
      </w:r>
      <w:r w:rsidRPr="00B7238F">
        <w:rPr>
          <w:i/>
        </w:rPr>
        <w:t>P. pachyrhizi</w:t>
      </w:r>
      <w:r w:rsidRPr="00B7238F">
        <w:t xml:space="preserve">, foi verificado entre quais momentos de aplicação um mesmo fungicida não apresenta variação no número de lesões de FAS (Tabela 5). Desta forma a aplicação de Tr + Bx + Pz, Tr + Pz, e Az + Bz + Ci + Di não diferiram quanto ao número de lesões de FAS quando aplicados entre 48 hs antes e 72 hs após a inoculação de </w:t>
      </w:r>
      <w:r w:rsidRPr="00B7238F">
        <w:rPr>
          <w:i/>
        </w:rPr>
        <w:t>P. pachyrhizi</w:t>
      </w:r>
      <w:r w:rsidRPr="00B7238F">
        <w:t xml:space="preserve"> (Tabela 5)</w:t>
      </w:r>
      <w:r w:rsidRPr="00B7238F">
        <w:rPr>
          <w:i/>
        </w:rPr>
        <w:t xml:space="preserve">. </w:t>
      </w:r>
      <w:r w:rsidRPr="00B7238F">
        <w:t>Enquanto Pc + Bz e Pr + Fl + Ep quando pulverizados entre 48 hs antes e 72 hs após a inoculação do fungo não diferiram entre si (Tabela 5).</w:t>
      </w:r>
    </w:p>
    <w:p w14:paraId="5FC54ACF" w14:textId="77777777" w:rsidR="003F2A9A" w:rsidRDefault="00B57F4A" w:rsidP="00E07592">
      <w:pPr>
        <w:spacing w:after="0" w:line="360" w:lineRule="auto"/>
      </w:pPr>
      <w:r w:rsidRPr="00B7238F">
        <w:t>O número médio de lesões.cm</w:t>
      </w:r>
      <w:r w:rsidRPr="00B7238F">
        <w:rPr>
          <w:vertAlign w:val="superscript"/>
        </w:rPr>
        <w:t>-2</w:t>
      </w:r>
      <w:r w:rsidRPr="00B7238F">
        <w:t xml:space="preserve"> quando os fungicidas foram pulverizados 120 hs após a inoculação do fungo foi 6,83 (Tabela 5), e o controle 52,9 % (Tabela 6). O número de lesões.cm</w:t>
      </w:r>
      <w:r w:rsidRPr="00B7238F">
        <w:rPr>
          <w:vertAlign w:val="superscript"/>
        </w:rPr>
        <w:t>-2</w:t>
      </w:r>
      <w:r w:rsidRPr="00B7238F">
        <w:t xml:space="preserve"> de FAS observado para Pr + Fl + Ep foi inferior a Pr + Fl, que por sua vez é inferior a Az+Bz+Mz (Tabela 5). O maior valor de controle neste momento de aplicação foi detectado para a pulverização de Tr + Bx + Pz, o qual não diferiu de Tr + Pz. Porém Tr + Pz não diferiu de Az + Bz + Ci + Di e Pc + Bz quando a eficiência de controle (Tabela 6) e intensidade da FAS (Tabela 5).</w:t>
      </w:r>
    </w:p>
    <w:p w14:paraId="6B004864" w14:textId="77777777" w:rsidR="003F2A9A" w:rsidRDefault="00B57F4A" w:rsidP="00E07592">
      <w:pPr>
        <w:spacing w:after="0" w:line="360" w:lineRule="auto"/>
      </w:pPr>
      <w:r w:rsidRPr="00B7238F">
        <w:t>Os menores números de lesões.cm</w:t>
      </w:r>
      <w:r w:rsidRPr="00B7238F">
        <w:rPr>
          <w:vertAlign w:val="superscript"/>
        </w:rPr>
        <w:t>-2</w:t>
      </w:r>
      <w:r w:rsidRPr="00B7238F">
        <w:t xml:space="preserve"> em pulverizações realizadas 168 hs após a inoculação de </w:t>
      </w:r>
      <w:r w:rsidRPr="00B7238F">
        <w:rPr>
          <w:i/>
        </w:rPr>
        <w:t xml:space="preserve">P. pachyrhizi </w:t>
      </w:r>
      <w:r w:rsidRPr="00B7238F">
        <w:t>foi detectado para os fungicidas Pc + Bz e Tr + Bx + Pz (Tabela 5). Além disto a intensidade de FAS observada para Tr + Pz, Az + Bz + Ci + Di não diferiu de Tr + Bx + Pz (Tabela 5). A média de controle da FAS neste momento foi de 41,2 % (Tabela 6), e o número de lesões.cm</w:t>
      </w:r>
      <w:r w:rsidRPr="00B7238F">
        <w:rPr>
          <w:vertAlign w:val="superscript"/>
        </w:rPr>
        <w:t xml:space="preserve">-2 </w:t>
      </w:r>
      <w:r w:rsidRPr="00B7238F">
        <w:t>8,05 (Tabela 5), entretanto Tr + Bx + Pz, Pc + Bz, Tr + Pz, Az + Bz + Ci + Di apresentaram controle superior a 65% (Tabela 6).</w:t>
      </w:r>
    </w:p>
    <w:p w14:paraId="3E6CFB05" w14:textId="77777777" w:rsidR="003F2A9A" w:rsidRDefault="00D619D6" w:rsidP="00E07592">
      <w:pPr>
        <w:spacing w:after="0" w:line="360" w:lineRule="auto"/>
      </w:pPr>
      <w:r w:rsidRPr="00B7238F">
        <w:t>A média de controle</w:t>
      </w:r>
      <w:r w:rsidR="008B605A" w:rsidRPr="00B7238F">
        <w:t xml:space="preserve"> de todos fungicidas e momentos de aplicação avaliados foi 70,7 % (Tabela 6) e o número de lesões.cm</w:t>
      </w:r>
      <w:r w:rsidR="008B605A" w:rsidRPr="00B7238F">
        <w:rPr>
          <w:vertAlign w:val="superscript"/>
        </w:rPr>
        <w:t xml:space="preserve">-2 </w:t>
      </w:r>
      <w:r w:rsidR="008B605A" w:rsidRPr="00B7238F">
        <w:t xml:space="preserve">4,53 (Tabela 5). Todos os fungicidas apresentaram intensidade da FAS média para diferentes fases do processo de infecção de </w:t>
      </w:r>
      <w:r w:rsidR="008B605A" w:rsidRPr="00B7238F">
        <w:rPr>
          <w:i/>
        </w:rPr>
        <w:t>P. pachyrhizi</w:t>
      </w:r>
      <w:r w:rsidR="008B605A" w:rsidRPr="00B7238F">
        <w:t xml:space="preserve"> inferior a testemunha (Tabela 5). A aplicação de Az + Bz obteve o menor valor de controle (23,8 %) da FAS na média dos diferentes momentos de aplicação (Tabela 6). Avaliando a média de controle da FAS nas diferentes fases do processo de infecção do fungo, o maior controle da doença foi observado para Tr + Bx + Pz (90,7%), o qual não diferiu de Pc + Bz (89,3%) e Tr + Pz (88,9%) (Tabela 6). Entretanto, Az + Bz + Ci + Di não diferiu de Pc + Bz e Tr + Pz, e quanto ao controle médio para diferentes fases do processo de infecção do patógeno (Tabela 6). Os fungicidas Pr + Fl, e Pr + Fl + Ep apresentaram controle médio da FAS superior a Az + Bz + Mz e Az + Bz, e inferior aos demais fungicidas avaliados (Tabela 6). O tratamento Az + Bz + Mz obteve </w:t>
      </w:r>
      <w:r w:rsidRPr="00B7238F">
        <w:t>média de controle</w:t>
      </w:r>
      <w:r w:rsidR="008B605A" w:rsidRPr="00B7238F">
        <w:t xml:space="preserve"> da FAS para diferentes momentos de aplicação superior a Az + Bz (Tabela 6).</w:t>
      </w:r>
    </w:p>
    <w:p w14:paraId="4F1B76A6" w14:textId="44B5BDB2" w:rsidR="003F2A9A" w:rsidRPr="00B7238F" w:rsidRDefault="008B605A" w:rsidP="00E07592">
      <w:pPr>
        <w:spacing w:after="0" w:line="360" w:lineRule="auto"/>
      </w:pPr>
      <w:r w:rsidRPr="00B7238F">
        <w:t>Ao analisar as equações de regressões foi observado que carboxamidas aplicadas isoladas apresentam redução média de 0,4 % no controle para cada hora de atraso da aplicação de fungicida após a inoculação do patógeno, e 9,7 % de redução de controle da FAS por dia de atraso da aplicação (Tabela 7).</w:t>
      </w:r>
    </w:p>
    <w:p w14:paraId="45B806B2" w14:textId="4B8BE002" w:rsidR="002C1C71" w:rsidRPr="00D74DA1" w:rsidRDefault="00B57F4A" w:rsidP="00E07592">
      <w:pPr>
        <w:spacing w:after="0" w:line="360" w:lineRule="auto"/>
      </w:pPr>
      <w:r w:rsidRPr="00B7238F">
        <w:t>As misturas de carboxamidas + estrobilurinas apresentaram em média redução de controle da doença por hora de atraso da aplicação de fungicidas de 0,23 %, e redução de controle por dia de atraso da pulverização de 5,6 %, o que demonstra maior potencial curativo de carboxamidas em mistura com estrobilurinas quando comparado a carboxamidas isoladas (Tabela 8).</w:t>
      </w:r>
    </w:p>
    <w:p w14:paraId="5B59766F" w14:textId="77777777" w:rsidR="00B57F4A" w:rsidRPr="00B7238F" w:rsidRDefault="00B57F4A" w:rsidP="00E07592">
      <w:pPr>
        <w:spacing w:after="0" w:line="360" w:lineRule="auto"/>
      </w:pPr>
      <w:r w:rsidRPr="00B7238F">
        <w:t>O controle da FAS quando aplicados no momento da inoculação foi semelhante para carboxamida (72,6 %) e carboxamida + estrobilurina (74,9 %) (Tabela 8). Carboxamidas isoladas obtiveram em média 80 % e 50 % de controle quando aplicadas -18,3 e 55,8 hs após a inoculação, respectivamente (Tabela 8). Enquanto que carboxamidas + estrobilurina obtiveram controle de 50 e 80 % quando aplicados 21,9 hs antes e 106 hs após a inoculação (Tabela 8).</w:t>
      </w:r>
    </w:p>
    <w:p w14:paraId="1221785D" w14:textId="77777777" w:rsidR="00B57F4A" w:rsidRPr="00B7238F" w:rsidRDefault="00B57F4A" w:rsidP="00E07592">
      <w:pPr>
        <w:spacing w:after="0" w:line="360" w:lineRule="auto"/>
      </w:pPr>
      <w:r w:rsidRPr="00B7238F">
        <w:tab/>
        <w:t xml:space="preserve">A eficiência de controle da FAS quando pulverizados no momento da inoculação para Pc + Bz, Pr + Fl e Az + Bz foi de 97,4, 88,5 e 38,7 %, respectivamente (Tabela 7). O fungicida Pc + Bz apresenta controle superior a 80 % mesmo quando aplicados 168 hs após a inoculação do patógeno, enquanto que Az + Bz não obtem controle superior a 50 % nem mesmo quando aplicado 48 horas antes da inoculação (Tabela 7). A aplicação de Pr + Fl apresenta controle da FAS de 80 e 50 % em pulverizações realizadas 24,7 e 112 hs após a inoculação de </w:t>
      </w:r>
      <w:r w:rsidRPr="00B7238F">
        <w:rPr>
          <w:i/>
        </w:rPr>
        <w:t xml:space="preserve">P. pachyrhizi </w:t>
      </w:r>
      <w:r w:rsidRPr="00B7238F">
        <w:t xml:space="preserve">(Tabela 7). A redução de controle da doença para cada dia de atraso da aplicação de fungicida após a inoculação foi de 5,6 %, 8,2 % e 3,0 para Az + Bz, Pr + Fl e Pc + Bz, respectivamente. </w:t>
      </w:r>
    </w:p>
    <w:p w14:paraId="018FC618" w14:textId="77777777" w:rsidR="00C07BDD" w:rsidRDefault="00B57F4A" w:rsidP="00E07592">
      <w:pPr>
        <w:spacing w:after="0" w:line="360" w:lineRule="auto"/>
      </w:pPr>
      <w:r w:rsidRPr="00B7238F">
        <w:t xml:space="preserve">Fungicidas compostos por misturas de carboxamida, estrobilurinas e triazol/triazolinthione apresentam redução média de 0,23 % no controle para cada hora de atraso da aplicação de fungicida após a inoculação do patógeno, e 5,5 % de redução de controle da FAS por dia de atraso da aplicação (Tabela 8). Estes valores são semelhantes aos encontrados para misturas de carboxamidas e estrobilurinas. Porém o número de horas após a inoculação do fungo em que misturas de carboxamida + estrobilurina + triazol/triazolinthione obtem 80 % de controle foi de 72,8 hs, bem como estes mesmos quando aplicados 168 hs após a inoculação proporcionam controle superior a 50 % (Tabela 8).  Quanto maior o número de horas após a inoculação do fungo em que os fungicidas apresentam eficiência, maior é o potencial curativo dos mesmos. Desta forma, o maior número de horas após a inoculação em que misturas de carboxamida, estrobilurina e triazol/triazolinthione obtem 50 e 80 % de controle quando comparados a misturas de carboxamida + estrobilurina, demonstram a importância de adição de inibidores da biosssintese de ergosterol para obter controle curativo de </w:t>
      </w:r>
      <w:r w:rsidRPr="00B7238F">
        <w:rPr>
          <w:i/>
        </w:rPr>
        <w:t xml:space="preserve">P. </w:t>
      </w:r>
      <w:r w:rsidRPr="00C07BDD">
        <w:rPr>
          <w:i/>
        </w:rPr>
        <w:t>pachyrhizi</w:t>
      </w:r>
      <w:r w:rsidR="00C07BDD">
        <w:t xml:space="preserve">. </w:t>
      </w:r>
    </w:p>
    <w:p w14:paraId="60F1AD8E" w14:textId="77777777" w:rsidR="00C07BDD" w:rsidRDefault="00B57F4A" w:rsidP="00E07592">
      <w:pPr>
        <w:spacing w:after="0" w:line="360" w:lineRule="auto"/>
      </w:pPr>
      <w:r w:rsidRPr="00C07BDD">
        <w:t>Entre</w:t>
      </w:r>
      <w:r w:rsidRPr="00B7238F">
        <w:t xml:space="preserve"> as misturas de carboxamida, estrobilurina e triazol/triazolinthione há diferenças no potencial curativo dos fungicidas, sendo que Tr + Bx + Pz e Az + Bz + Ci + Di apresentam redução de controle da FAS de 0,23 % para hora de atraso da aplicação após a inoculação do fungo, enquanto que Pr + Fl + Ep obteve 0,41 % de redução de controle por hora de atraso (Tabela 7). Para cada dia em que a aplicação de fungicida foi atrasada em relação a inoculação, Tr + Bx + Pz e Az + Bz + Ci + Di apresentaram redução de 3,3 e 3,4 % de controle, respectivamente (Tabela 7). Os valores observados para estes fungicidas demonstram maior potencial de controle curativo de FAS em relação a Pr + Fl + Ep, o qual reduz 9,7 % de controle para cada dia de atraso da aplicação (Tabela 7). O controle de FAS quando a aplicação ocorreu 120 hs após a aplicação, foi 57,9, 82,6 e 74,4 %, respectivamente para Pr + Fl + Ep, Tr + Bx + Pz e Az + Bz + Ci + Di (Tabela 7), o que reforça o maior potencial de controle curativo destas duas últimas misturas.</w:t>
      </w:r>
    </w:p>
    <w:p w14:paraId="05065C66" w14:textId="329C06F0" w:rsidR="008B4DF1" w:rsidRDefault="00B57F4A" w:rsidP="00E07592">
      <w:pPr>
        <w:spacing w:after="0" w:line="360" w:lineRule="auto"/>
      </w:pPr>
      <w:r w:rsidRPr="00B7238F">
        <w:t>Ao comparar a eficiência de mistura de mancozebe ou ciproconazole + difenoconazole a Az + Bz, observamos que a adição de mancozebe proporciona controle superior a 80 % (85,7%) somente quando pulverizado até 24 hs após a inoculação (Tabela 7), enquanto que a mistura de ciproconazole+difenoconazole resulta em controle superior a 90 % (94,4%) quando aplicado até 72 hs após a inoculação (Tabela 7).</w:t>
      </w:r>
    </w:p>
    <w:p w14:paraId="27D37A2E" w14:textId="77030B4D" w:rsidR="00C07BDD" w:rsidRDefault="00C07BDD" w:rsidP="00E07592">
      <w:pPr>
        <w:spacing w:after="0" w:line="360" w:lineRule="auto"/>
        <w:ind w:firstLine="0"/>
      </w:pPr>
    </w:p>
    <w:p w14:paraId="026A314B" w14:textId="6585E142" w:rsidR="00975151" w:rsidRDefault="00975151" w:rsidP="00E07592">
      <w:pPr>
        <w:pStyle w:val="Ttulo2"/>
        <w:spacing w:before="0" w:after="0" w:line="360" w:lineRule="auto"/>
      </w:pPr>
      <w:bookmarkStart w:id="246" w:name="_Toc22568267"/>
      <w:r w:rsidRPr="00B7238F">
        <w:t xml:space="preserve">5.5 </w:t>
      </w:r>
      <w:r w:rsidRPr="00C07BDD">
        <w:t>DISCUSSÃO</w:t>
      </w:r>
      <w:bookmarkEnd w:id="246"/>
    </w:p>
    <w:p w14:paraId="5C1FA047" w14:textId="77777777" w:rsidR="00E07592" w:rsidRPr="00E07592" w:rsidRDefault="00E07592" w:rsidP="00E07592">
      <w:pPr>
        <w:spacing w:after="0"/>
      </w:pPr>
    </w:p>
    <w:p w14:paraId="3C078FDB" w14:textId="02D27F61" w:rsidR="00FC36C1" w:rsidRDefault="00975151" w:rsidP="00E07592">
      <w:pPr>
        <w:pStyle w:val="Ttulo3"/>
        <w:spacing w:before="0" w:after="0" w:line="360" w:lineRule="auto"/>
      </w:pPr>
      <w:bookmarkStart w:id="247" w:name="_Toc22568268"/>
      <w:r w:rsidRPr="00FC36C1">
        <w:t xml:space="preserve">5.5.1. </w:t>
      </w:r>
      <w:r w:rsidR="00FC36C1" w:rsidRPr="00FC36C1">
        <w:t xml:space="preserve">Carboxamidas </w:t>
      </w:r>
      <w:r w:rsidR="00FC36C1">
        <w:t>i</w:t>
      </w:r>
      <w:r w:rsidR="00FC36C1" w:rsidRPr="00FC36C1">
        <w:t>soladas</w:t>
      </w:r>
      <w:bookmarkEnd w:id="247"/>
    </w:p>
    <w:p w14:paraId="606D54B3" w14:textId="77777777" w:rsidR="00FC36C1" w:rsidRPr="00FC36C1" w:rsidRDefault="00FC36C1" w:rsidP="00E07592">
      <w:pPr>
        <w:spacing w:after="0" w:line="360" w:lineRule="auto"/>
      </w:pPr>
    </w:p>
    <w:p w14:paraId="485100B1" w14:textId="77777777" w:rsidR="00FC36C1" w:rsidRDefault="00975151" w:rsidP="00E07592">
      <w:pPr>
        <w:spacing w:after="0" w:line="360" w:lineRule="auto"/>
      </w:pPr>
      <w:r w:rsidRPr="00FC36C1">
        <w:t>Embora moléculas de um mesmo grupo químico apresentem similaridade química, as mesmas apresentam diferenças estruturais que podem propiciar variação na sensibilidade de patógenos a estes fungicidas. Além disto, o fator de resistência para uma determinada alteração no sítio de ação de fungicidas pode</w:t>
      </w:r>
      <w:r w:rsidRPr="00B7238F">
        <w:t xml:space="preserve"> ser distinto para diferentes moléculas de um grupo químico, o que foi observado por Schimitz e colaboradores para mutações no CYP51 e Simões e colaboradores em mutações na subunidade C da enzima succinato desidrogenase em populações de </w:t>
      </w:r>
      <w:r w:rsidRPr="00B7238F">
        <w:rPr>
          <w:i/>
        </w:rPr>
        <w:t>P. pachyrhizi</w:t>
      </w:r>
      <w:r w:rsidRPr="00B7238F">
        <w:t xml:space="preserve"> (SCHIMITZ et al., 2013; SIMÕES et al., 2017). No caso da mutação I86F na subunidade C da enzima succinato desidrogenase, é conhecido que fungicidas do grupo químico das carboxamidas com tamanho molecular maior apresentam maior redução da sensibilidade de </w:t>
      </w:r>
      <w:r w:rsidRPr="00B7238F">
        <w:rPr>
          <w:i/>
        </w:rPr>
        <w:t>P. pachyrhizi</w:t>
      </w:r>
      <w:r w:rsidRPr="00B7238F">
        <w:t>, o que pode explicar os menores números de lesões (Tabela 2) e maior controle (Tabela 3) obtidos pelo fungicida fluxapyroxada em relação à bixafeno.</w:t>
      </w:r>
    </w:p>
    <w:p w14:paraId="5C02921C" w14:textId="77777777" w:rsidR="00FC36C1" w:rsidRDefault="00975151" w:rsidP="00E07592">
      <w:pPr>
        <w:spacing w:after="0" w:line="360" w:lineRule="auto"/>
      </w:pPr>
      <w:r w:rsidRPr="00B7238F">
        <w:t xml:space="preserve">As carboxamidas tem como mecanismo de ação inibição da enzima succinato desidrogenase, sendo as fases do processo de infecção mais afetadas a germinação de espóros (REIS, REIS &amp; CARMONA, 2016). O modo de ação destes fungicidas explica a maior eficiência quando os mesmos são aplicados preventivamente, bem como sua redução de eficiência em aplicações com maior número de horas após a inoculação de </w:t>
      </w:r>
      <w:r w:rsidRPr="00B7238F">
        <w:rPr>
          <w:i/>
        </w:rPr>
        <w:t>P. pachyrhizi</w:t>
      </w:r>
      <w:r w:rsidRPr="00B7238F">
        <w:t>.</w:t>
      </w:r>
    </w:p>
    <w:p w14:paraId="7D20E139" w14:textId="77777777" w:rsidR="00151CD5" w:rsidRDefault="00975151" w:rsidP="00E07592">
      <w:pPr>
        <w:spacing w:after="0" w:line="360" w:lineRule="auto"/>
      </w:pPr>
      <w:r w:rsidRPr="00B7238F">
        <w:t xml:space="preserve">As carboxamidas quando aplicadas nos últimos dias (M5 e M6) do processo de colonização apresentaram controle médio da FAS de 11,7% (Tabela 3), ou seja, são ineficientes no controle da doença. Porém, quando estes mesmos fungicidas foram aplicados preventivamente (48 horas antes da inoculação) a eficiência de controle foi de 88,7%, o que demonstra a importância de recomendação dos fungicidas do grupo químico das carboxamidas preventivamente ou quando há predominância de ação sobre germinação de esporos ou fases iniciais do processo de infecção do fungo. Avaliando a eficiência curativa de fungicidas aplicados em diferentes números de dias após a inoculação de </w:t>
      </w:r>
      <w:r w:rsidRPr="00B7238F">
        <w:rPr>
          <w:i/>
        </w:rPr>
        <w:t xml:space="preserve">P. pachyrhizi, </w:t>
      </w:r>
      <w:r w:rsidRPr="00B7238F">
        <w:t>Godoy &amp; Canteri (2004) observaram eficiência de controle de 93% quando azoxistrobina foi pulverizada dois dias após a inoculação e 56% para aplicações realizadas oito dias após a inoculação. O fungicida azoxistrobina tem mecanismo de ação no complexo III da cadeia respiratória, enquanto carboxamidas agem no complexo II da cadeia respiratória porém os mecanismos de ação destes dois grupos de fungicidas resultam numa menor síntese de ATP e redução da germinação de espóros, o que pode explicar a mesma tendência encontrada neste experimentos e nos resultados observados por Godoy &amp; Canteri (2004).</w:t>
      </w:r>
    </w:p>
    <w:p w14:paraId="3E8088DD" w14:textId="57DE1037" w:rsidR="00975151" w:rsidRPr="00B7238F" w:rsidRDefault="00975151" w:rsidP="00E07592">
      <w:pPr>
        <w:spacing w:after="0" w:line="360" w:lineRule="auto"/>
      </w:pPr>
      <w:r w:rsidRPr="00B7238F">
        <w:t xml:space="preserve">Os resultados demonstram haver diferença no potencial curativo de controle da FAS entre carboxamidas, sendo fluxapyroxada mais eficiente que bixafeno quando aplicado após a inoculação de </w:t>
      </w:r>
      <w:r w:rsidRPr="00B7238F">
        <w:rPr>
          <w:i/>
        </w:rPr>
        <w:t>P. pachyrhizi</w:t>
      </w:r>
      <w:r w:rsidRPr="00B7238F">
        <w:t xml:space="preserve"> (Tabela 3). A redução média de controle por dia de atraso da aplicação após a inoculação foi de 10,6 e 8,9 % (Tabela 4), respectivamente para Flux e Bix o que demonstra ação principalmente preventiva destes fungicidas. Além disto, estes resultados demonstram a necessidade de que quando carboxamidas são aplicadas em situações onde já ocorreram infecções de </w:t>
      </w:r>
      <w:r w:rsidRPr="00B7238F">
        <w:rPr>
          <w:i/>
        </w:rPr>
        <w:t>P. pachyrhizi</w:t>
      </w:r>
      <w:r w:rsidRPr="00B7238F">
        <w:t>, deve ser adicionado fungicidas com maior potencial curativo na mistura.</w:t>
      </w:r>
    </w:p>
    <w:p w14:paraId="3F290DFF" w14:textId="06E8F171" w:rsidR="00BF63DA" w:rsidRDefault="00BF63DA" w:rsidP="00E07592">
      <w:pPr>
        <w:spacing w:after="0" w:line="360" w:lineRule="auto"/>
      </w:pPr>
    </w:p>
    <w:p w14:paraId="6C71FA4B" w14:textId="47F88480" w:rsidR="00BF63DA" w:rsidRPr="00B7238F" w:rsidRDefault="00BF63DA" w:rsidP="00E07592">
      <w:pPr>
        <w:pStyle w:val="Ttulo3"/>
        <w:spacing w:line="360" w:lineRule="auto"/>
        <w:rPr>
          <w:i/>
        </w:rPr>
      </w:pPr>
      <w:bookmarkStart w:id="248" w:name="_Toc22568269"/>
      <w:r w:rsidRPr="00B7238F">
        <w:t>5.5.2</w:t>
      </w:r>
      <w:r w:rsidRPr="00B7238F">
        <w:rPr>
          <w:i/>
        </w:rPr>
        <w:t xml:space="preserve">. </w:t>
      </w:r>
      <w:r w:rsidR="00151CD5">
        <w:t>M</w:t>
      </w:r>
      <w:r w:rsidR="00151CD5" w:rsidRPr="00B7238F">
        <w:t>istura de carboxamidas</w:t>
      </w:r>
      <w:bookmarkEnd w:id="248"/>
    </w:p>
    <w:p w14:paraId="27A418BB" w14:textId="77777777" w:rsidR="00BF63DA" w:rsidRPr="00B7238F" w:rsidRDefault="00BF63DA" w:rsidP="00E07592">
      <w:pPr>
        <w:spacing w:after="0" w:line="360" w:lineRule="auto"/>
      </w:pPr>
    </w:p>
    <w:p w14:paraId="2E517B03" w14:textId="77777777" w:rsidR="00151CD5" w:rsidRDefault="00975151" w:rsidP="00E07592">
      <w:pPr>
        <w:spacing w:after="0" w:line="360" w:lineRule="auto"/>
        <w:rPr>
          <w:color w:val="000000" w:themeColor="text1"/>
        </w:rPr>
      </w:pPr>
      <w:r w:rsidRPr="00B7238F">
        <w:t xml:space="preserve">O aumento do número de horas após a inoculação de </w:t>
      </w:r>
      <w:r w:rsidRPr="00B7238F">
        <w:rPr>
          <w:i/>
        </w:rPr>
        <w:t>P. pachyrhizi</w:t>
      </w:r>
      <w:r w:rsidRPr="00B7238F">
        <w:t xml:space="preserve"> em que os fungicidas foram aplicados proporcionou incremento significativo de intensidade de FAS </w:t>
      </w:r>
      <w:r w:rsidRPr="00B7238F">
        <w:rPr>
          <w:color w:val="000000" w:themeColor="text1"/>
        </w:rPr>
        <w:t xml:space="preserve">(Tabela 5) e redução no controle do patógeno (Tabela 6), sendo que resultados semelhantes foram observados para aplicações de fungicidas do grupo dos triazóis, estrobilurinas e misturas de triazol + estrobilurina por Godoy &amp; Canteri (2004) e Twizeyimana &amp; Hartman (2017). Além disto, Angelotti e colaboradores (2014) avaliando a eficiência curativa de fungicidas no controle de </w:t>
      </w:r>
      <w:r w:rsidRPr="00B7238F">
        <w:rPr>
          <w:i/>
          <w:color w:val="000000" w:themeColor="text1"/>
        </w:rPr>
        <w:t>Phakopsora euvitis</w:t>
      </w:r>
      <w:r w:rsidRPr="00B7238F">
        <w:rPr>
          <w:color w:val="000000" w:themeColor="text1"/>
        </w:rPr>
        <w:t xml:space="preserve"> Ono também observaram redução de controle com o aumento do número de dias após a inoculação em que triazóis e estrobilurinas (isolados e em misturas) foram pulverizados.</w:t>
      </w:r>
    </w:p>
    <w:p w14:paraId="63B50D12" w14:textId="59690E2B" w:rsidR="00975151" w:rsidRPr="00B7238F" w:rsidRDefault="00975151" w:rsidP="00E07592">
      <w:pPr>
        <w:spacing w:after="0" w:line="360" w:lineRule="auto"/>
        <w:rPr>
          <w:color w:val="000000" w:themeColor="text1"/>
        </w:rPr>
      </w:pPr>
      <w:r w:rsidRPr="00B7238F">
        <w:t xml:space="preserve">A média de controle foi superior a 80% quando os fungicidas foram aplicados até 48 horas após a inoculação (Tabela 6), estes resultados são semelhantes aos encontrados por Godoy &amp; Canteri (2004). Entretanto </w:t>
      </w:r>
      <w:r w:rsidRPr="00B7238F">
        <w:rPr>
          <w:color w:val="000000" w:themeColor="text1"/>
        </w:rPr>
        <w:t xml:space="preserve">Twizeyimana &amp; Hartman (2017), encontraram valores de controle de </w:t>
      </w:r>
      <w:r w:rsidRPr="00B7238F">
        <w:rPr>
          <w:i/>
          <w:color w:val="000000" w:themeColor="text1"/>
        </w:rPr>
        <w:t>P. pachyrhizi</w:t>
      </w:r>
      <w:r w:rsidRPr="00B7238F">
        <w:rPr>
          <w:color w:val="000000" w:themeColor="text1"/>
        </w:rPr>
        <w:t xml:space="preserve"> superiores a 95% quando triazóis e estrobilurinas foram aplicados isolados ou em misturas em até 48 hs após a inoculação. Os maiores valores de controle observados por Twizeyimana &amp; Hartman (2017), podem ser explicados em virtude de nos Estados Unidos ainda não serem relatadas mutações no CYTb e CYP51 em </w:t>
      </w:r>
      <w:r w:rsidRPr="00B7238F">
        <w:rPr>
          <w:i/>
          <w:color w:val="000000" w:themeColor="text1"/>
        </w:rPr>
        <w:t>P. pachyrhizi</w:t>
      </w:r>
      <w:r w:rsidRPr="00B7238F">
        <w:rPr>
          <w:color w:val="000000" w:themeColor="text1"/>
        </w:rPr>
        <w:t>, enquanto que no Brasil mutações nestes sítios foram relatadas e estão amplamente distribuídas (SCHMITZ et al., 2013; KLOSOWISK et al., 2016).</w:t>
      </w:r>
    </w:p>
    <w:p w14:paraId="33C353C4" w14:textId="77777777" w:rsidR="00975151" w:rsidRPr="00B7238F" w:rsidRDefault="00975151" w:rsidP="00E07592">
      <w:pPr>
        <w:spacing w:after="0" w:line="360" w:lineRule="auto"/>
        <w:rPr>
          <w:color w:val="000000" w:themeColor="text1"/>
        </w:rPr>
      </w:pPr>
      <w:r w:rsidRPr="00B7238F">
        <w:t xml:space="preserve">Em aplicações de fungicidas realizadas 96 horas após a inoculação de </w:t>
      </w:r>
      <w:r w:rsidRPr="00B7238F">
        <w:rPr>
          <w:i/>
        </w:rPr>
        <w:t>P. pachyrhizi</w:t>
      </w:r>
      <w:r w:rsidRPr="00B7238F">
        <w:t xml:space="preserve"> Godoy &amp; Canteri (2004) observaram controle de 93% para azoxistrobina, 64% para tebuconazole, 69% para difenoconazole, e 85% para piraclostrobina + epoxiconazole. </w:t>
      </w:r>
      <w:r w:rsidRPr="00B7238F">
        <w:rPr>
          <w:color w:val="000000" w:themeColor="text1"/>
        </w:rPr>
        <w:t>Twizeyimana &amp; Hartman (2017)</w:t>
      </w:r>
      <w:r w:rsidRPr="00B7238F">
        <w:t xml:space="preserve"> encontraram valores de controle da FAS superiores a 90</w:t>
      </w:r>
      <w:r w:rsidRPr="00B7238F">
        <w:rPr>
          <w:color w:val="000000" w:themeColor="text1"/>
        </w:rPr>
        <w:t xml:space="preserve"> % para aplicações de azoxistrobina, azoxistrobina + propiconazole, e tebuconazole quando os fungicidas foram pulverizados 96 horas após a inoculação do patógeno.</w:t>
      </w:r>
      <w:r w:rsidRPr="00B7238F">
        <w:t xml:space="preserve"> Ao quantificar o controle da ferrugem da videira em aplicações de fungicidas realizadas 96 horas após a inoculação de </w:t>
      </w:r>
      <w:r w:rsidRPr="00B7238F">
        <w:rPr>
          <w:i/>
        </w:rPr>
        <w:t>P. euvitis</w:t>
      </w:r>
      <w:r w:rsidRPr="00B7238F">
        <w:t xml:space="preserve"> </w:t>
      </w:r>
      <w:r w:rsidRPr="00B7238F">
        <w:rPr>
          <w:color w:val="000000" w:themeColor="text1"/>
        </w:rPr>
        <w:t xml:space="preserve">Angelotti e colaboradores (2014), observaram controle igual ou superior a 99,7% para pulverizações de triazóis (tebuconazole e ciproconazole), 57,2 e 89% para azoxistrobina, e 57,2 e 39,7% para  piraclostrobina + metiram nos estudo 1 e 2, respectivamente. Reis, Zanatta &amp; Zanatta (2016) realizaram aplicações de misturas de triazóis e estrobilurinas (trifloxistrobina + ciproconazole, picoxistrobina + ciproconazole, azoxistrobina + ciproconazole, piraclostrobina + epoxiconazole) quatro dias (96 hs) após a inoculação de </w:t>
      </w:r>
      <w:r w:rsidRPr="00B7238F">
        <w:rPr>
          <w:i/>
          <w:color w:val="000000" w:themeColor="text1"/>
        </w:rPr>
        <w:t xml:space="preserve">P. pachyrhizi </w:t>
      </w:r>
      <w:r w:rsidRPr="00B7238F">
        <w:rPr>
          <w:color w:val="000000" w:themeColor="text1"/>
        </w:rPr>
        <w:t xml:space="preserve">e obtiveram controles da FAS entre 99,5 e 100%. Entretanto nos estudos realizados neste capítulo, quando os fungicidas foram pulverizados 120 horas após a inoculação foi observado controle médio de 52,9 % para os diferentes fungicidas avaliados.  </w:t>
      </w:r>
    </w:p>
    <w:p w14:paraId="67715314" w14:textId="77777777" w:rsidR="00975151" w:rsidRPr="00B7238F" w:rsidRDefault="00975151" w:rsidP="00E07592">
      <w:pPr>
        <w:spacing w:after="0" w:line="360" w:lineRule="auto"/>
      </w:pPr>
      <w:r w:rsidRPr="00B7238F">
        <w:t xml:space="preserve">Os menores valores de controle observados para Az + Bz podem serem explicados em virtude da mutação I86F apresentar maiores valores de fator de resistência para benzovindiflupir em relação a fluxapyroxada (SIMÕES et al., 2017). </w:t>
      </w:r>
    </w:p>
    <w:p w14:paraId="018D0E0C" w14:textId="77777777" w:rsidR="00975151" w:rsidRPr="00B7238F" w:rsidRDefault="00975151" w:rsidP="00E07592">
      <w:pPr>
        <w:spacing w:after="0" w:line="360" w:lineRule="auto"/>
      </w:pPr>
      <w:r w:rsidRPr="00B7238F">
        <w:t xml:space="preserve">Os fungicidas Tr + Bx + Pz, Tr + Pz, Pc + Bz, Az + Bz + Ci +Di apresentarem controle superior a 90% quando pulverizados 72 hs após a inoculação, e maior que 65% quando aplicados 168 horas após a inoculação, o que pode estar relacionado a maior eficiência de controle observada para fungicidas com presença de protioconazole em populações do patógeno no sul do Brasil (GODOY et al., 2017). Bem como as doses de ciproconazole e difenoconazole utilizadas para o tratamento Az + Bz + Ci +Di são superiores as de quando as moléculas foram lançadas e utilizadas isoladas, o que pode aumentar a eficiência do fungicida em populações de </w:t>
      </w:r>
      <w:r w:rsidRPr="00B7238F">
        <w:rPr>
          <w:i/>
        </w:rPr>
        <w:t>P. pachyrhizi</w:t>
      </w:r>
      <w:r w:rsidRPr="00B7238F">
        <w:t xml:space="preserve"> com superexpressão do CYP51. Entretanto, o fungicida Pc + Bz apresenta eficiência curativa mesmo sem a presença de inibidores da biossíntese de ergosterol, o que pode ter relação com o menor fator de resistência de picoxistrobina em populações com a mutação F129L quando comparado a azoxistrobina e piraclostrobina. Os primeiros fungicidas registrados contendo carboxamidas no Brasil foram Az + Bz e Pr + Fl, os quais foram os mais utilizados até o momento da realização da pesquisa sendo estes utilizados sem misturas de fungicidas protetores ou triazóis. Desta forma, ao mesmo tempo que a pressão de seleção foi aumentada para fungicidas inibidores da succinato desidrogenase, ela foi reduzida para inibidores da biossíntese de ergosterol, picoxistrobina e trifloxistrobina.</w:t>
      </w:r>
    </w:p>
    <w:p w14:paraId="1B60856E" w14:textId="77777777" w:rsidR="00975151" w:rsidRPr="00B7238F" w:rsidRDefault="00975151" w:rsidP="00E07592">
      <w:pPr>
        <w:spacing w:after="0" w:line="360" w:lineRule="auto"/>
      </w:pPr>
      <w:r w:rsidRPr="00B7238F">
        <w:t xml:space="preserve">A aplicação de Tr + Bx + Pz, Tr + Pz, e Az + Bz + Ci + Di não diferiu quanto ao número de lesões de FAS quando aplicados entre 48 hs antes e 72 hs após a inoculação de </w:t>
      </w:r>
      <w:r w:rsidRPr="00B7238F">
        <w:rPr>
          <w:i/>
        </w:rPr>
        <w:t>P. pachyrhizi</w:t>
      </w:r>
      <w:r w:rsidRPr="00B7238F">
        <w:t xml:space="preserve"> (Tabela 5), isto demonstra a importância da mistura de inibidores da biossíntese de ergosterol para obter eficiência de controle em um maior espectro de fases do processo de infecção do fungo</w:t>
      </w:r>
      <w:r w:rsidRPr="00B7238F">
        <w:rPr>
          <w:i/>
        </w:rPr>
        <w:t>.</w:t>
      </w:r>
      <w:r w:rsidRPr="00B7238F">
        <w:t xml:space="preserve"> Nos experimentos realizados por Angelotti e colaboradores foi observado que entre os grupos de fungicidas avaliados, os triazóis apresentam as maiores eficiências quando pulverizados após a infecção do patógeno. Em aplicações de fungicidas realizadas com a presença de inóculo onde pode ocorrer maior presença de infecções latentes, a adição de inibidores da biossíntese de ergosterol pode apresentar maiores aumentos de eficiência de controle e redução da frequência da mutação I86F que a mistura de fungicidas protetores. Entretanto o fungicida Pr + Fl + Ep não apresentou a mesma eficiência em aplicações curativas quando comparado as demais misturas de ingredientes ativos com três mecanismos de ação, o que pode estar relacionado a dose de Ep utilizada ser igual a do lançamento de produto em 2004, bem como pela menor eficiência desta molécula em relação as demais com mesmo mecanismo de ação.</w:t>
      </w:r>
    </w:p>
    <w:p w14:paraId="60EB80BC" w14:textId="77777777" w:rsidR="00975151" w:rsidRPr="00B7238F" w:rsidRDefault="00975151" w:rsidP="00E07592">
      <w:pPr>
        <w:spacing w:after="0" w:line="360" w:lineRule="auto"/>
      </w:pPr>
      <w:r w:rsidRPr="00B7238F">
        <w:t xml:space="preserve">Fungicidas protetores como Mz não apresentam sistemicidade, o que dificulta sua ação quando são pulverizados após a infecção do fungo, isto explica a observação de valores de controle superior a 80% para adição de Mz a Az + Bz somente quando aplicados até 48 hs após a inoculação de </w:t>
      </w:r>
      <w:r w:rsidRPr="00B7238F">
        <w:rPr>
          <w:i/>
        </w:rPr>
        <w:t>P. pachyrhizi.</w:t>
      </w:r>
      <w:r w:rsidRPr="00B7238F">
        <w:t xml:space="preserve"> Enquanto que a mistura de Di + Ci a Az + Bz proporcionou controle da FAS de 94,4% mesmo quando pulverizados 72 horas após a inoculação do fungo.</w:t>
      </w:r>
    </w:p>
    <w:p w14:paraId="45B6A558" w14:textId="6094CCBC" w:rsidR="00975151" w:rsidRPr="00B7238F" w:rsidRDefault="00975151" w:rsidP="00E07592">
      <w:pPr>
        <w:spacing w:after="0" w:line="360" w:lineRule="auto"/>
      </w:pPr>
      <w:r w:rsidRPr="00B7238F">
        <w:t xml:space="preserve">Apesar dos experimentos serem realizados com uma população de </w:t>
      </w:r>
      <w:r w:rsidRPr="00B7238F">
        <w:rPr>
          <w:i/>
        </w:rPr>
        <w:t>P. pachyrhizi</w:t>
      </w:r>
      <w:r w:rsidRPr="00B7238F">
        <w:t xml:space="preserve"> com 47% de frequência da mutação (valor máximo de 50%), foi possível obter eficiências de controle da FAS superior a 80 % com a aplicação de fungicidas do grupo químico das carboxamidas pulverizados em fases iniciais do processo de infecção do fungo e/ou aplicados em misturas. O manejo de resistência deve ser realizado alternando mecanismos de ação e limitando o número de aplicações de um mesmo mecanismo de ação de fungicidas, com isto a posicionamento de carboxamidas em misturas e períodos com menor densidade de inóculo de </w:t>
      </w:r>
      <w:r w:rsidRPr="00B7238F">
        <w:rPr>
          <w:i/>
        </w:rPr>
        <w:t>P. pachyrhizi</w:t>
      </w:r>
      <w:r w:rsidRPr="00B7238F">
        <w:t xml:space="preserve"> permite utilizarmos inibidores da succinato desidrogenase dentro de programas de aplicação obtendo controle da FAS e diminuindo a pressão de seleção sobre os demais mecanismos de ação de fungicidas disponíveis no mercado. </w:t>
      </w:r>
    </w:p>
    <w:p w14:paraId="3C3A1F06" w14:textId="77777777" w:rsidR="00E07592" w:rsidRDefault="00E07592" w:rsidP="00E07592">
      <w:pPr>
        <w:spacing w:after="0" w:line="360" w:lineRule="auto"/>
        <w:ind w:firstLine="0"/>
      </w:pPr>
    </w:p>
    <w:p w14:paraId="0B46E9AE" w14:textId="55265FE8" w:rsidR="00975151" w:rsidRPr="00B7238F" w:rsidRDefault="00975151" w:rsidP="00E07592">
      <w:pPr>
        <w:spacing w:after="0" w:line="360" w:lineRule="auto"/>
        <w:ind w:firstLine="0"/>
      </w:pPr>
      <w:r w:rsidRPr="00B7238F">
        <w:t>5.6</w:t>
      </w:r>
      <w:r w:rsidRPr="00B7238F">
        <w:rPr>
          <w:b/>
        </w:rPr>
        <w:t xml:space="preserve"> </w:t>
      </w:r>
      <w:r w:rsidRPr="00B7238F">
        <w:t>CONCLUSÕES</w:t>
      </w:r>
    </w:p>
    <w:p w14:paraId="3A7F7C19" w14:textId="77777777" w:rsidR="00975151" w:rsidRPr="00B7238F" w:rsidRDefault="00975151" w:rsidP="00E07592">
      <w:pPr>
        <w:spacing w:after="0" w:line="360" w:lineRule="auto"/>
      </w:pPr>
    </w:p>
    <w:p w14:paraId="7E5AFABB" w14:textId="77777777" w:rsidR="003832B8" w:rsidRDefault="00560724" w:rsidP="00E07592">
      <w:pPr>
        <w:spacing w:after="0" w:line="360" w:lineRule="auto"/>
      </w:pPr>
      <w:r w:rsidRPr="00B7238F">
        <w:t xml:space="preserve">A eficiência de controle de </w:t>
      </w:r>
      <w:r w:rsidRPr="00B7238F">
        <w:rPr>
          <w:i/>
        </w:rPr>
        <w:t>P. pachyrhizi</w:t>
      </w:r>
      <w:r w:rsidRPr="00B7238F">
        <w:t xml:space="preserve"> pelos fungicidas do grupo químico das carboxamidas fluxapyroxada e bixafeno é reduzida linearmente quando esses são pulverizados após a inoculação do fungo.</w:t>
      </w:r>
    </w:p>
    <w:p w14:paraId="6C0A6571" w14:textId="71D11D39" w:rsidR="00D93043" w:rsidRPr="00B7238F" w:rsidRDefault="00D93043" w:rsidP="00E07592">
      <w:pPr>
        <w:spacing w:after="0" w:line="360" w:lineRule="auto"/>
      </w:pPr>
      <w:r w:rsidRPr="00B7238F">
        <w:t>A adição de fungicidas do grupo químico dos triazóis a carboxamidas proporciona aumento de controle da FAS independente da fase do processo de infecção do fungo em que são pulverizados.</w:t>
      </w:r>
    </w:p>
    <w:p w14:paraId="553A5826" w14:textId="7C7346F3" w:rsidR="00975151" w:rsidRPr="00B7238F" w:rsidRDefault="00975151" w:rsidP="00E07592">
      <w:pPr>
        <w:spacing w:line="360" w:lineRule="auto"/>
      </w:pPr>
      <w:r w:rsidRPr="00B7238F">
        <w:t xml:space="preserve">Os fungicidas do grupo químico das carboxamidas proporcionam controle da doença mesmo </w:t>
      </w:r>
      <w:r w:rsidR="00D93043" w:rsidRPr="00B7238F">
        <w:t>em população</w:t>
      </w:r>
      <w:r w:rsidRPr="00B7238F">
        <w:t xml:space="preserve"> de </w:t>
      </w:r>
      <w:r w:rsidRPr="00B7238F">
        <w:rPr>
          <w:i/>
        </w:rPr>
        <w:t xml:space="preserve">P. pachyrhizi </w:t>
      </w:r>
      <w:r w:rsidRPr="00B7238F">
        <w:t>com alta frequência da mutação I86F, quando pulverizados em fases iniciais do processo de infecção do fungo e/ou aplicados em mistura.</w:t>
      </w:r>
    </w:p>
    <w:p w14:paraId="077A69CC" w14:textId="78113133" w:rsidR="00D93043" w:rsidRPr="00B7238F" w:rsidRDefault="00D93043" w:rsidP="00E07592">
      <w:pPr>
        <w:spacing w:after="0" w:line="360" w:lineRule="auto"/>
      </w:pPr>
      <w:r w:rsidRPr="00B7238F">
        <w:t>As misturas de carboxamidas e estrobilurinas azoxistrobina + benzovindiflupir, piraclostrobina + fluxapyroxada e picoxistrobina + benzovindiflupir apresentam diferença de controle da FAS em população com presença da mutação I86F.</w:t>
      </w:r>
    </w:p>
    <w:p w14:paraId="3A549135" w14:textId="135A3A47" w:rsidR="00975151" w:rsidRPr="00B7238F" w:rsidRDefault="00975151" w:rsidP="00E07592">
      <w:pPr>
        <w:spacing w:line="360" w:lineRule="auto"/>
      </w:pPr>
      <w:r w:rsidRPr="00B7238F">
        <w:t>A metodologia utilizada nestes experimentos</w:t>
      </w:r>
      <w:r w:rsidR="00D93043" w:rsidRPr="00B7238F">
        <w:t>, com análise de regressão linear para obtenção do número de horas após a inoculação do fungo em que os fungicidas proporcionam 80 e 50 % de controle da FAS</w:t>
      </w:r>
      <w:r w:rsidRPr="00B7238F">
        <w:t xml:space="preserve"> pode servir para avaliação do potencial curativo de fungicidas.</w:t>
      </w:r>
    </w:p>
    <w:p w14:paraId="5B3C244E" w14:textId="2D499902" w:rsidR="000B1931" w:rsidRPr="00B7238F" w:rsidRDefault="000B1931" w:rsidP="00E07592">
      <w:pPr>
        <w:spacing w:line="360" w:lineRule="auto"/>
      </w:pPr>
    </w:p>
    <w:p w14:paraId="7B7F9EF1" w14:textId="1660AE92" w:rsidR="00E07592" w:rsidRDefault="00E07592">
      <w:pPr>
        <w:autoSpaceDE/>
        <w:autoSpaceDN/>
        <w:adjustRightInd/>
        <w:ind w:firstLine="0"/>
        <w:jc w:val="left"/>
      </w:pPr>
      <w:r>
        <w:br w:type="page"/>
      </w:r>
    </w:p>
    <w:p w14:paraId="68CEA07B" w14:textId="35352D83" w:rsidR="00034890" w:rsidRPr="00B7238F" w:rsidRDefault="00034890" w:rsidP="003832B8">
      <w:pPr>
        <w:pStyle w:val="Ttulo1"/>
      </w:pPr>
      <w:bookmarkStart w:id="249" w:name="_Toc516580508"/>
      <w:bookmarkStart w:id="250" w:name="_Toc517105683"/>
      <w:bookmarkStart w:id="251" w:name="_Toc22568270"/>
      <w:r w:rsidRPr="00B7238F">
        <w:t>6</w:t>
      </w:r>
      <w:bookmarkEnd w:id="249"/>
      <w:bookmarkEnd w:id="250"/>
      <w:r w:rsidR="003832B8">
        <w:t xml:space="preserve"> </w:t>
      </w:r>
      <w:r w:rsidR="00B84DF3" w:rsidRPr="00B7238F">
        <w:rPr>
          <w:rFonts w:eastAsia="Times New Roman"/>
          <w:lang w:eastAsia="pt-BR"/>
        </w:rPr>
        <w:t xml:space="preserve">LEVANTAMENTO DA FREQUÊNCIA DA MUTAÇÃO I86F NA ENZIMA SUCCINATO DESIDROGENASE EM POPULAÇÕES DE </w:t>
      </w:r>
      <w:r w:rsidR="0023657E" w:rsidRPr="00B7238F">
        <w:rPr>
          <w:rFonts w:eastAsia="Times New Roman"/>
          <w:i/>
          <w:color w:val="212121"/>
          <w:lang w:val="pt-PT" w:eastAsia="pt-BR"/>
        </w:rPr>
        <w:t xml:space="preserve">Phakopsora pachyrhizi </w:t>
      </w:r>
      <w:r w:rsidR="00B84DF3" w:rsidRPr="00B7238F">
        <w:rPr>
          <w:rFonts w:eastAsia="Times New Roman"/>
          <w:lang w:eastAsia="pt-BR"/>
        </w:rPr>
        <w:t xml:space="preserve">NO ESTADO DE </w:t>
      </w:r>
      <w:r w:rsidR="00B84DF3" w:rsidRPr="003832B8">
        <w:t>SANTA</w:t>
      </w:r>
      <w:r w:rsidR="00B84DF3" w:rsidRPr="00B7238F">
        <w:rPr>
          <w:rFonts w:eastAsia="Times New Roman"/>
          <w:lang w:eastAsia="pt-BR"/>
        </w:rPr>
        <w:t xml:space="preserve"> CATARINA</w:t>
      </w:r>
      <w:bookmarkEnd w:id="251"/>
    </w:p>
    <w:p w14:paraId="59EF75C9" w14:textId="77777777" w:rsidR="00034890" w:rsidRPr="00B7238F" w:rsidRDefault="00034890" w:rsidP="00796F1B">
      <w:pPr>
        <w:spacing w:after="0" w:line="360" w:lineRule="auto"/>
      </w:pPr>
    </w:p>
    <w:p w14:paraId="52867776" w14:textId="77777777" w:rsidR="00034890" w:rsidRPr="00B7238F" w:rsidRDefault="00034890" w:rsidP="009079C5">
      <w:pPr>
        <w:pStyle w:val="Ttulo2"/>
        <w:spacing w:line="240" w:lineRule="auto"/>
      </w:pPr>
      <w:bookmarkStart w:id="252" w:name="_Toc516580509"/>
      <w:bookmarkStart w:id="253" w:name="_Toc517105684"/>
      <w:bookmarkStart w:id="254" w:name="_Toc22568271"/>
      <w:r w:rsidRPr="00B7238F">
        <w:t>6.1 RESUMO</w:t>
      </w:r>
      <w:bookmarkEnd w:id="252"/>
      <w:bookmarkEnd w:id="253"/>
      <w:bookmarkEnd w:id="254"/>
    </w:p>
    <w:p w14:paraId="3A864D5F" w14:textId="77777777" w:rsidR="003832B8" w:rsidRDefault="003832B8" w:rsidP="00796F1B">
      <w:pPr>
        <w:spacing w:line="240" w:lineRule="auto"/>
        <w:rPr>
          <w:lang w:eastAsia="pt-BR"/>
        </w:rPr>
      </w:pPr>
    </w:p>
    <w:p w14:paraId="395F64EF" w14:textId="77777777" w:rsidR="009079C5" w:rsidRDefault="00C22F9C" w:rsidP="009079C5">
      <w:pPr>
        <w:spacing w:line="240" w:lineRule="auto"/>
        <w:ind w:firstLine="0"/>
      </w:pPr>
      <w:r w:rsidRPr="00B7238F">
        <w:rPr>
          <w:lang w:eastAsia="pt-BR"/>
        </w:rPr>
        <w:t xml:space="preserve">A FAS é a principal doença da cultura da soja no Brasil, </w:t>
      </w:r>
      <w:r w:rsidR="009F2264" w:rsidRPr="00B7238F">
        <w:rPr>
          <w:lang w:eastAsia="pt-BR"/>
        </w:rPr>
        <w:t xml:space="preserve">em virtude de ocorrer em todas as regiões produtoras e por seu potencial de dano. </w:t>
      </w:r>
      <w:r w:rsidRPr="00B7238F">
        <w:rPr>
          <w:lang w:eastAsia="pt-BR"/>
        </w:rPr>
        <w:t xml:space="preserve">Após a detecção dos sintomas da doença, a aplicação de fungicidas é a única estratégia de controle que apresenta eficiência. </w:t>
      </w:r>
      <w:r w:rsidRPr="00B7238F">
        <w:rPr>
          <w:color w:val="000000" w:themeColor="text1"/>
          <w:lang w:eastAsia="pt-BR"/>
        </w:rPr>
        <w:t xml:space="preserve">Os fungicidas do grupo químico das carboxamidas são as moléculas com potencial de controle da FAS registradas mais recentemente. </w:t>
      </w:r>
      <w:r w:rsidR="009F2264" w:rsidRPr="00B7238F">
        <w:rPr>
          <w:lang w:eastAsia="pt-BR"/>
        </w:rPr>
        <w:t>N</w:t>
      </w:r>
      <w:r w:rsidRPr="00B7238F">
        <w:rPr>
          <w:color w:val="000000" w:themeColor="text1"/>
          <w:lang w:eastAsia="pt-BR"/>
        </w:rPr>
        <w:t xml:space="preserve">ão há informações sobre a variabilidade da mutação I86F na enzima succinato desidrogenase em populações de </w:t>
      </w:r>
      <w:r w:rsidRPr="00B7238F">
        <w:rPr>
          <w:i/>
          <w:color w:val="000000" w:themeColor="text1"/>
          <w:lang w:eastAsia="pt-BR"/>
        </w:rPr>
        <w:t>P. pachyrhizi</w:t>
      </w:r>
      <w:r w:rsidRPr="00B7238F">
        <w:rPr>
          <w:color w:val="000000" w:themeColor="text1"/>
          <w:lang w:eastAsia="pt-BR"/>
        </w:rPr>
        <w:t xml:space="preserve"> </w:t>
      </w:r>
      <w:r w:rsidR="009F2264" w:rsidRPr="00B7238F">
        <w:rPr>
          <w:color w:val="000000" w:themeColor="text1"/>
          <w:lang w:eastAsia="pt-BR"/>
        </w:rPr>
        <w:t>n</w:t>
      </w:r>
      <w:r w:rsidRPr="00B7238F">
        <w:rPr>
          <w:color w:val="000000" w:themeColor="text1"/>
          <w:lang w:eastAsia="pt-BR"/>
        </w:rPr>
        <w:t>o estado de Santa Catarina</w:t>
      </w:r>
      <w:r w:rsidR="009F2264" w:rsidRPr="00B7238F">
        <w:rPr>
          <w:color w:val="000000" w:themeColor="text1"/>
          <w:lang w:eastAsia="pt-BR"/>
        </w:rPr>
        <w:t>.</w:t>
      </w:r>
      <w:r w:rsidR="009F2264" w:rsidRPr="00B7238F">
        <w:rPr>
          <w:lang w:eastAsia="pt-BR"/>
        </w:rPr>
        <w:t xml:space="preserve"> </w:t>
      </w:r>
      <w:r w:rsidRPr="00B7238F">
        <w:rPr>
          <w:color w:val="000000" w:themeColor="text1"/>
        </w:rPr>
        <w:t xml:space="preserve">Os objetivos destes </w:t>
      </w:r>
      <w:r w:rsidR="009F2264" w:rsidRPr="00B7238F">
        <w:rPr>
          <w:color w:val="000000" w:themeColor="text1"/>
        </w:rPr>
        <w:t>experimentos</w:t>
      </w:r>
      <w:r w:rsidRPr="00B7238F">
        <w:rPr>
          <w:color w:val="000000" w:themeColor="text1"/>
        </w:rPr>
        <w:t xml:space="preserve"> foram </w:t>
      </w:r>
      <w:r w:rsidRPr="00B7238F">
        <w:rPr>
          <w:rFonts w:eastAsiaTheme="minorEastAsia"/>
          <w:color w:val="000000" w:themeColor="text1"/>
          <w:kern w:val="24"/>
        </w:rPr>
        <w:t xml:space="preserve">avaliar a ocorrência, distribuição e frequência da mutação I86F em populações de </w:t>
      </w:r>
      <w:r w:rsidRPr="00B7238F">
        <w:rPr>
          <w:rFonts w:eastAsiaTheme="minorEastAsia"/>
          <w:i/>
          <w:iCs/>
          <w:color w:val="000000" w:themeColor="text1"/>
          <w:kern w:val="24"/>
        </w:rPr>
        <w:t xml:space="preserve">P. pachyrhizi </w:t>
      </w:r>
      <w:r w:rsidRPr="00B7238F">
        <w:rPr>
          <w:rFonts w:eastAsiaTheme="minorEastAsia"/>
          <w:color w:val="000000" w:themeColor="text1"/>
          <w:kern w:val="24"/>
        </w:rPr>
        <w:t>oriundas de diferentes regiões e altitudes no estado de Santa Catarina.</w:t>
      </w:r>
      <w:r w:rsidR="009F2264" w:rsidRPr="00B7238F">
        <w:rPr>
          <w:lang w:eastAsia="pt-BR"/>
        </w:rPr>
        <w:t xml:space="preserve"> </w:t>
      </w:r>
      <w:r w:rsidRPr="00B7238F">
        <w:rPr>
          <w:color w:val="000000" w:themeColor="text1"/>
        </w:rPr>
        <w:t xml:space="preserve">Populações de </w:t>
      </w:r>
      <w:r w:rsidRPr="00B7238F">
        <w:rPr>
          <w:i/>
          <w:color w:val="000000" w:themeColor="text1"/>
        </w:rPr>
        <w:t>P. pachyrhizi</w:t>
      </w:r>
      <w:r w:rsidRPr="00B7238F">
        <w:rPr>
          <w:color w:val="000000" w:themeColor="text1"/>
        </w:rPr>
        <w:t xml:space="preserve"> foram coletadas de folhas de soja </w:t>
      </w:r>
      <w:r w:rsidRPr="00B7238F">
        <w:rPr>
          <w:bCs/>
          <w:color w:val="000000" w:themeColor="text1"/>
        </w:rPr>
        <w:t>naturalmente infectadas</w:t>
      </w:r>
      <w:r w:rsidRPr="00B7238F">
        <w:rPr>
          <w:i/>
          <w:color w:val="000000" w:themeColor="text1"/>
        </w:rPr>
        <w:t>,</w:t>
      </w:r>
      <w:r w:rsidRPr="00B7238F">
        <w:rPr>
          <w:color w:val="000000" w:themeColor="text1"/>
        </w:rPr>
        <w:t xml:space="preserve"> provenientes de diferentes regiões e altitudes no estado de Santa Catarina, durantes a safra de 2017/18. As amostras foram divididas de acordo com a altitude do ponto de coleta em altitude entre 401 e 600 m, 601 a 800 m, e superior a 800 m.  Além disto, também foram divididas de acordo com as regiões de coleta, sendo estas alto vale do Itajaí, planalto catarinense, oeste, e extremo oeste. As amostragens foram realizadas entre os estádios fenológicos R5/R7, sendo coletados cinquenta folíolos infectados por repetição. Foi extraído o DNA do inóculo proveniente das amostras de campo</w:t>
      </w:r>
      <w:r w:rsidR="009F2264" w:rsidRPr="00B7238F">
        <w:rPr>
          <w:color w:val="000000" w:themeColor="text1"/>
        </w:rPr>
        <w:t>, e quantificado a frequência da mutação I86F</w:t>
      </w:r>
      <w:r w:rsidRPr="00B7238F">
        <w:rPr>
          <w:color w:val="000000" w:themeColor="text1"/>
        </w:rPr>
        <w:t xml:space="preserve"> na subunidade </w:t>
      </w:r>
      <w:r w:rsidR="009F2264" w:rsidRPr="00B7238F">
        <w:rPr>
          <w:color w:val="000000" w:themeColor="text1"/>
        </w:rPr>
        <w:t>da enzima succinato desidrogenase.</w:t>
      </w:r>
      <w:r w:rsidR="006D1EA3" w:rsidRPr="00B7238F">
        <w:rPr>
          <w:lang w:eastAsia="pt-BR"/>
        </w:rPr>
        <w:t xml:space="preserve"> Em </w:t>
      </w:r>
      <w:r w:rsidR="009F2264" w:rsidRPr="00B7238F">
        <w:rPr>
          <w:rFonts w:eastAsiaTheme="majorEastAsia"/>
          <w:lang w:eastAsia="pt-BR"/>
        </w:rPr>
        <w:t>92,1 % das</w:t>
      </w:r>
      <w:r w:rsidR="006D1EA3" w:rsidRPr="00B7238F">
        <w:rPr>
          <w:rFonts w:eastAsiaTheme="majorEastAsia"/>
          <w:lang w:eastAsia="pt-BR"/>
        </w:rPr>
        <w:t xml:space="preserve"> populações de </w:t>
      </w:r>
      <w:r w:rsidR="006D1EA3" w:rsidRPr="00B7238F">
        <w:rPr>
          <w:rFonts w:eastAsiaTheme="majorEastAsia"/>
          <w:i/>
          <w:lang w:eastAsia="pt-BR"/>
        </w:rPr>
        <w:t>P. pachyrhizi</w:t>
      </w:r>
      <w:r w:rsidR="006D1EA3" w:rsidRPr="00B7238F">
        <w:rPr>
          <w:rFonts w:eastAsiaTheme="majorEastAsia"/>
          <w:lang w:eastAsia="pt-BR"/>
        </w:rPr>
        <w:t xml:space="preserve"> avaliadas</w:t>
      </w:r>
      <w:r w:rsidR="009F2264" w:rsidRPr="00B7238F">
        <w:rPr>
          <w:rFonts w:eastAsiaTheme="majorEastAsia"/>
          <w:lang w:eastAsia="pt-BR"/>
        </w:rPr>
        <w:t xml:space="preserve"> foi detectada a mutação</w:t>
      </w:r>
      <w:r w:rsidR="006D1EA3" w:rsidRPr="00B7238F">
        <w:rPr>
          <w:rFonts w:eastAsiaTheme="majorEastAsia"/>
          <w:lang w:eastAsia="pt-BR"/>
        </w:rPr>
        <w:t>,</w:t>
      </w:r>
      <w:r w:rsidR="009F2264" w:rsidRPr="00B7238F">
        <w:rPr>
          <w:rFonts w:eastAsiaTheme="majorEastAsia"/>
          <w:lang w:eastAsia="pt-BR"/>
        </w:rPr>
        <w:t xml:space="preserve"> com média de 12,1 % de frequência. Porém, 59,4 % das populações do patógeno apresentam valores iguais ou inferiores a 10 % de frequência da mutação.</w:t>
      </w:r>
      <w:r w:rsidR="006D1EA3" w:rsidRPr="00B7238F">
        <w:rPr>
          <w:rFonts w:eastAsiaTheme="majorEastAsia"/>
          <w:lang w:eastAsia="pt-BR"/>
        </w:rPr>
        <w:t xml:space="preserve"> A</w:t>
      </w:r>
      <w:r w:rsidR="009F2264" w:rsidRPr="00B7238F">
        <w:rPr>
          <w:rFonts w:eastAsiaTheme="majorEastAsia"/>
          <w:lang w:eastAsia="pt-BR"/>
        </w:rPr>
        <w:t>s populações com frequência da mutação superior a 3</w:t>
      </w:r>
      <w:r w:rsidR="006D1EA3" w:rsidRPr="00B7238F">
        <w:rPr>
          <w:rFonts w:eastAsiaTheme="majorEastAsia"/>
          <w:lang w:eastAsia="pt-BR"/>
        </w:rPr>
        <w:t>0</w:t>
      </w:r>
      <w:r w:rsidR="009F2264" w:rsidRPr="00B7238F">
        <w:rPr>
          <w:rFonts w:eastAsiaTheme="majorEastAsia"/>
          <w:lang w:eastAsia="pt-BR"/>
        </w:rPr>
        <w:t xml:space="preserve"> % representa</w:t>
      </w:r>
      <w:r w:rsidR="006D1EA3" w:rsidRPr="00B7238F">
        <w:rPr>
          <w:rFonts w:eastAsiaTheme="majorEastAsia"/>
          <w:lang w:eastAsia="pt-BR"/>
        </w:rPr>
        <w:t>ra</w:t>
      </w:r>
      <w:r w:rsidR="009F2264" w:rsidRPr="00B7238F">
        <w:rPr>
          <w:rFonts w:eastAsiaTheme="majorEastAsia"/>
          <w:lang w:eastAsia="pt-BR"/>
        </w:rPr>
        <w:t>m 5,5 % das populações amostradas.</w:t>
      </w:r>
      <w:r w:rsidR="006D1EA3" w:rsidRPr="00B7238F">
        <w:rPr>
          <w:lang w:eastAsia="pt-BR"/>
        </w:rPr>
        <w:t xml:space="preserve"> </w:t>
      </w:r>
      <w:r w:rsidR="006D1EA3" w:rsidRPr="00B7238F">
        <w:rPr>
          <w:rFonts w:eastAsiaTheme="majorEastAsia"/>
          <w:lang w:eastAsia="pt-BR"/>
        </w:rPr>
        <w:t>A</w:t>
      </w:r>
      <w:r w:rsidR="009F2264" w:rsidRPr="00B7238F">
        <w:rPr>
          <w:rFonts w:eastAsiaTheme="majorEastAsia"/>
          <w:lang w:eastAsia="pt-BR"/>
        </w:rPr>
        <w:t xml:space="preserve"> média </w:t>
      </w:r>
      <w:r w:rsidR="006D1EA3" w:rsidRPr="00B7238F">
        <w:rPr>
          <w:rFonts w:eastAsiaTheme="majorEastAsia"/>
          <w:lang w:eastAsia="pt-BR"/>
        </w:rPr>
        <w:t>d</w:t>
      </w:r>
      <w:r w:rsidR="009F2264" w:rsidRPr="00B7238F">
        <w:rPr>
          <w:rFonts w:eastAsiaTheme="majorEastAsia"/>
          <w:lang w:eastAsia="pt-BR"/>
        </w:rPr>
        <w:t>a frequência da mutação I86F foi de nove, quatorze e dezoito por cento para populações do fungo coletadas em altitudes superior a 800 m, entre 601 e 800 m, e 401 a 600 m, respectivamente.</w:t>
      </w:r>
      <w:r w:rsidR="006D1EA3" w:rsidRPr="00B7238F">
        <w:rPr>
          <w:lang w:eastAsia="pt-BR"/>
        </w:rPr>
        <w:t xml:space="preserve"> </w:t>
      </w:r>
      <w:r w:rsidR="009F2264" w:rsidRPr="00B7238F">
        <w:t>A mutação I86F está presente</w:t>
      </w:r>
      <w:r w:rsidR="006D1EA3" w:rsidRPr="00B7238F">
        <w:t xml:space="preserve"> em todas regiões onde foram avaliadas</w:t>
      </w:r>
      <w:r w:rsidR="009F2264" w:rsidRPr="00B7238F">
        <w:t xml:space="preserve"> populações de </w:t>
      </w:r>
      <w:r w:rsidR="009F2264" w:rsidRPr="00B7238F">
        <w:rPr>
          <w:i/>
        </w:rPr>
        <w:t>P. pachyrhizi</w:t>
      </w:r>
      <w:r w:rsidR="009F2264" w:rsidRPr="00B7238F">
        <w:t xml:space="preserve"> </w:t>
      </w:r>
      <w:r w:rsidR="006D1EA3" w:rsidRPr="00B7238F">
        <w:t xml:space="preserve">no </w:t>
      </w:r>
      <w:r w:rsidR="009F2264" w:rsidRPr="00B7238F">
        <w:t>estado</w:t>
      </w:r>
      <w:r w:rsidR="006D1EA3" w:rsidRPr="00B7238F">
        <w:t xml:space="preserve"> de</w:t>
      </w:r>
      <w:r w:rsidR="009F2264" w:rsidRPr="00B7238F">
        <w:t xml:space="preserve"> Santa Catarina.</w:t>
      </w:r>
      <w:r w:rsidR="006D1EA3" w:rsidRPr="00B7238F">
        <w:rPr>
          <w:lang w:eastAsia="pt-BR"/>
        </w:rPr>
        <w:t xml:space="preserve"> </w:t>
      </w:r>
      <w:r w:rsidR="009F2264" w:rsidRPr="00B7238F">
        <w:t xml:space="preserve">Os dados obtidos neste levantamento servirão como base para o monitoramento desta mutação em populações de </w:t>
      </w:r>
      <w:r w:rsidR="009F2264" w:rsidRPr="00B7238F">
        <w:rPr>
          <w:i/>
        </w:rPr>
        <w:t>P. pachyrhizi</w:t>
      </w:r>
      <w:r w:rsidR="009F2264" w:rsidRPr="00B7238F">
        <w:t xml:space="preserve"> nos próximos anos agrícolas.</w:t>
      </w:r>
    </w:p>
    <w:p w14:paraId="108A6381" w14:textId="1DFE21B2" w:rsidR="00034890" w:rsidRPr="00B7238F" w:rsidRDefault="00C54672" w:rsidP="009079C5">
      <w:pPr>
        <w:spacing w:line="240" w:lineRule="auto"/>
        <w:ind w:firstLine="0"/>
      </w:pPr>
      <w:r w:rsidRPr="00B7238F">
        <w:rPr>
          <w:b/>
        </w:rPr>
        <w:t xml:space="preserve">Palavras </w:t>
      </w:r>
      <w:r w:rsidR="00034890" w:rsidRPr="00B7238F">
        <w:rPr>
          <w:b/>
        </w:rPr>
        <w:t>chave</w:t>
      </w:r>
      <w:r w:rsidR="00034890" w:rsidRPr="00B7238F">
        <w:t xml:space="preserve">: </w:t>
      </w:r>
      <w:r w:rsidR="00B84DF3" w:rsidRPr="00B7238F">
        <w:rPr>
          <w:lang w:eastAsia="pt-BR"/>
        </w:rPr>
        <w:t xml:space="preserve">Fungicidas. Carboxamidas. </w:t>
      </w:r>
      <w:r w:rsidR="005F6ED6" w:rsidRPr="00B7238F">
        <w:rPr>
          <w:lang w:eastAsia="pt-BR"/>
        </w:rPr>
        <w:t>R</w:t>
      </w:r>
      <w:r w:rsidR="00B84DF3" w:rsidRPr="00B7238F">
        <w:rPr>
          <w:lang w:eastAsia="pt-BR"/>
        </w:rPr>
        <w:t xml:space="preserve">edução de sensibilidade. Resistência. </w:t>
      </w:r>
      <w:r w:rsidR="00516869" w:rsidRPr="00B7238F">
        <w:rPr>
          <w:lang w:eastAsia="pt-BR"/>
        </w:rPr>
        <w:t>F</w:t>
      </w:r>
      <w:r w:rsidR="00B84DF3" w:rsidRPr="00B7238F">
        <w:rPr>
          <w:lang w:eastAsia="pt-BR"/>
        </w:rPr>
        <w:t>errugem asiática da soja.</w:t>
      </w:r>
    </w:p>
    <w:p w14:paraId="444D4E77" w14:textId="0F9888A9" w:rsidR="00C57F18" w:rsidRPr="00B7238F" w:rsidRDefault="00C57F18" w:rsidP="0005468C"/>
    <w:p w14:paraId="7B0E81A4" w14:textId="143F2698" w:rsidR="00B84DF3" w:rsidRDefault="00B84DF3" w:rsidP="0005468C"/>
    <w:p w14:paraId="55B849BF" w14:textId="662F88C3" w:rsidR="00796F1B" w:rsidRDefault="00796F1B">
      <w:pPr>
        <w:autoSpaceDE/>
        <w:autoSpaceDN/>
        <w:adjustRightInd/>
        <w:ind w:firstLine="0"/>
        <w:jc w:val="left"/>
      </w:pPr>
      <w:r>
        <w:br w:type="page"/>
      </w:r>
    </w:p>
    <w:p w14:paraId="3AABA9CA" w14:textId="77777777" w:rsidR="00034890" w:rsidRPr="00B7238F" w:rsidRDefault="00034890" w:rsidP="00796F1B">
      <w:pPr>
        <w:pStyle w:val="Ttulo2"/>
        <w:spacing w:before="0" w:after="0" w:line="360" w:lineRule="auto"/>
      </w:pPr>
      <w:bookmarkStart w:id="255" w:name="_Toc516580510"/>
      <w:bookmarkStart w:id="256" w:name="_Toc517105685"/>
      <w:bookmarkStart w:id="257" w:name="_Toc22568272"/>
      <w:r w:rsidRPr="00B7238F">
        <w:t>6.2 INTRODUÇÃO</w:t>
      </w:r>
      <w:bookmarkEnd w:id="255"/>
      <w:bookmarkEnd w:id="256"/>
      <w:bookmarkEnd w:id="257"/>
    </w:p>
    <w:p w14:paraId="31973B82" w14:textId="77777777" w:rsidR="009079C5" w:rsidRDefault="009079C5" w:rsidP="00796F1B">
      <w:pPr>
        <w:spacing w:after="0" w:line="360" w:lineRule="auto"/>
        <w:rPr>
          <w:lang w:eastAsia="pt-BR"/>
        </w:rPr>
      </w:pPr>
    </w:p>
    <w:p w14:paraId="3C3EE8D1" w14:textId="2AE5165A" w:rsidR="002322A6" w:rsidRPr="00B7238F" w:rsidRDefault="002322A6" w:rsidP="00796F1B">
      <w:pPr>
        <w:spacing w:after="0" w:line="360" w:lineRule="auto"/>
        <w:rPr>
          <w:lang w:eastAsia="pt-BR"/>
        </w:rPr>
      </w:pPr>
      <w:r w:rsidRPr="00B7238F">
        <w:rPr>
          <w:lang w:eastAsia="pt-BR"/>
        </w:rPr>
        <w:t xml:space="preserve">A FAS é a principal doença da cultura da soja no Brasil, com estimativas de dano variando de </w:t>
      </w:r>
      <w:r w:rsidRPr="00B7238F">
        <w:rPr>
          <w:color w:val="000000"/>
          <w:lang w:eastAsia="pt-BR"/>
        </w:rPr>
        <w:t>10 a 100% (</w:t>
      </w:r>
      <w:bookmarkStart w:id="258" w:name="_Hlk12610309"/>
      <w:r w:rsidRPr="00B7238F">
        <w:rPr>
          <w:color w:val="000000"/>
          <w:lang w:eastAsia="pt-BR"/>
        </w:rPr>
        <w:t>YORINORI &amp; MOREL, 2002; HIKISHIMA et al., 2010</w:t>
      </w:r>
      <w:bookmarkEnd w:id="258"/>
      <w:r w:rsidRPr="00B7238F">
        <w:rPr>
          <w:color w:val="000000"/>
          <w:lang w:eastAsia="pt-BR"/>
        </w:rPr>
        <w:t xml:space="preserve">). </w:t>
      </w:r>
      <w:r w:rsidRPr="00B7238F">
        <w:rPr>
          <w:lang w:eastAsia="pt-BR"/>
        </w:rPr>
        <w:t>Quando ocorrem epidemias da doença, pode haver rápido amarelecimento e desfolha precoce das plantas, prejudicando a formação de vagens e grãos, e consequentemente reduzindo a produtividade (</w:t>
      </w:r>
      <w:bookmarkStart w:id="259" w:name="_Hlk12610338"/>
      <w:r w:rsidRPr="00B7238F">
        <w:rPr>
          <w:lang w:eastAsia="pt-BR"/>
        </w:rPr>
        <w:t>YANG et al., 1991; KUMUDINI et al., 2008</w:t>
      </w:r>
      <w:bookmarkEnd w:id="259"/>
      <w:r w:rsidRPr="00B7238F">
        <w:rPr>
          <w:lang w:eastAsia="pt-BR"/>
        </w:rPr>
        <w:t xml:space="preserve">). </w:t>
      </w:r>
    </w:p>
    <w:p w14:paraId="54766899" w14:textId="77777777" w:rsidR="002322A6" w:rsidRPr="00B7238F" w:rsidRDefault="002322A6" w:rsidP="00796F1B">
      <w:pPr>
        <w:spacing w:after="0" w:line="360" w:lineRule="auto"/>
        <w:rPr>
          <w:lang w:eastAsia="pt-BR"/>
        </w:rPr>
      </w:pPr>
      <w:r w:rsidRPr="00B7238F">
        <w:rPr>
          <w:lang w:eastAsia="pt-BR"/>
        </w:rPr>
        <w:t>O controle químico é a única estratégia possível de ser utilizada após a detecção dos primeiros sintomas. Porém quando a utilização de fungicidas se torna a única estratégia ou a mais utilizada, pode ocorrer o aumento do número de pulverizações e consequentemente maior pressão de seleção sobre o patógeno. O aumento da pressão de seleção de um ou mais mecanismos de ação de fungicidas, pode levar a maior frequência de indivíduos mutantes e consequentemente menor sensibilidade média da população do patógeno aos principais fungicidas disponíveis no mercado.</w:t>
      </w:r>
    </w:p>
    <w:p w14:paraId="5D97AB25" w14:textId="77777777" w:rsidR="002322A6" w:rsidRPr="00B7238F" w:rsidRDefault="002322A6" w:rsidP="00796F1B">
      <w:pPr>
        <w:spacing w:after="0" w:line="360" w:lineRule="auto"/>
        <w:rPr>
          <w:color w:val="000000" w:themeColor="text1"/>
          <w:lang w:eastAsia="pt-BR"/>
        </w:rPr>
      </w:pPr>
      <w:r w:rsidRPr="00B7238F">
        <w:rPr>
          <w:lang w:eastAsia="pt-BR"/>
        </w:rPr>
        <w:t xml:space="preserve">Os fungicidas inibidores da enzima succinato desidrogenase (SDHI’s), agem no complexo II da cadeia respiratória dos fungos inibindo a respiração mitocondrial. Isto ocorre através da ligação a SDH não permitindo a transferência de elétrons e consequentemente a produção de ATP, ocasionando deficiência energética e morte do fungo </w:t>
      </w:r>
      <w:r w:rsidRPr="00B7238F">
        <w:rPr>
          <w:color w:val="000000" w:themeColor="text1"/>
          <w:lang w:eastAsia="pt-BR"/>
        </w:rPr>
        <w:t>(</w:t>
      </w:r>
      <w:bookmarkStart w:id="260" w:name="_Hlk12610381"/>
      <w:r w:rsidRPr="00B7238F">
        <w:rPr>
          <w:color w:val="000000" w:themeColor="text1"/>
          <w:lang w:eastAsia="pt-BR"/>
        </w:rPr>
        <w:t>SIEROTZKI &amp; SCALLIET, 2013</w:t>
      </w:r>
      <w:bookmarkEnd w:id="260"/>
      <w:r w:rsidRPr="00B7238F">
        <w:rPr>
          <w:color w:val="000000" w:themeColor="text1"/>
          <w:lang w:eastAsia="pt-BR"/>
        </w:rPr>
        <w:t>). As principais moléculas com este mecanismo de ação, pertencem ao grupo químico das carboxamidas.</w:t>
      </w:r>
    </w:p>
    <w:p w14:paraId="1E8D840F" w14:textId="77777777" w:rsidR="002322A6" w:rsidRPr="00B7238F" w:rsidRDefault="002322A6" w:rsidP="00796F1B">
      <w:pPr>
        <w:spacing w:after="0" w:line="360" w:lineRule="auto"/>
        <w:rPr>
          <w:lang w:eastAsia="pt-BR"/>
        </w:rPr>
      </w:pPr>
      <w:r w:rsidRPr="00B7238F">
        <w:rPr>
          <w:lang w:eastAsia="pt-BR"/>
        </w:rPr>
        <w:t>Os fungicidas do grupo químico das carboxamidas foram registrados no Brasil para o controle da FAS em 2013, sendo os produtos comerciais formulados por misturas de carboxamidas e estrobilurinas (IQe’s). Entre o lançamento e a safra 2015/16 misturas de carboxamidas e estrobilurinas apresentavam os maiores valores de controle da doença nos ensaios do consórcio em rede (</w:t>
      </w:r>
      <w:bookmarkStart w:id="261" w:name="_Hlk12610433"/>
      <w:r w:rsidRPr="00B7238F">
        <w:rPr>
          <w:lang w:eastAsia="pt-BR"/>
        </w:rPr>
        <w:t>GODOY et al. 2016a; GODOY et al. 2016b</w:t>
      </w:r>
      <w:bookmarkEnd w:id="261"/>
      <w:r w:rsidRPr="00B7238F">
        <w:rPr>
          <w:lang w:eastAsia="pt-BR"/>
        </w:rPr>
        <w:t xml:space="preserve">). </w:t>
      </w:r>
    </w:p>
    <w:p w14:paraId="360FF038" w14:textId="77777777" w:rsidR="002322A6" w:rsidRPr="00B7238F" w:rsidRDefault="002322A6" w:rsidP="00796F1B">
      <w:pPr>
        <w:spacing w:after="0" w:line="360" w:lineRule="auto"/>
        <w:rPr>
          <w:lang w:eastAsia="pt-BR"/>
        </w:rPr>
      </w:pPr>
      <w:r w:rsidRPr="00B7238F">
        <w:rPr>
          <w:lang w:eastAsia="pt-BR"/>
        </w:rPr>
        <w:t xml:space="preserve">Em populações de </w:t>
      </w:r>
      <w:r w:rsidRPr="00B7238F">
        <w:rPr>
          <w:i/>
          <w:lang w:eastAsia="pt-BR"/>
        </w:rPr>
        <w:t xml:space="preserve">P. pachyrhizi </w:t>
      </w:r>
      <w:r w:rsidRPr="00B7238F">
        <w:rPr>
          <w:lang w:eastAsia="pt-BR"/>
        </w:rPr>
        <w:t>coletadas na safra 2015/16 em monitoramento realizado pelo FRAC Brasil, foi detectado a presença da mutação I86F na subunidade C da enzima succinato desidrogenase, a qual confere menor sensibilidade do patógeno</w:t>
      </w:r>
      <w:r w:rsidRPr="00B7238F">
        <w:rPr>
          <w:i/>
          <w:lang w:eastAsia="pt-BR"/>
        </w:rPr>
        <w:t xml:space="preserve"> </w:t>
      </w:r>
      <w:r w:rsidRPr="00B7238F">
        <w:rPr>
          <w:lang w:eastAsia="pt-BR"/>
        </w:rPr>
        <w:t>a carboxamidas (</w:t>
      </w:r>
      <w:bookmarkStart w:id="262" w:name="_Hlk12610465"/>
      <w:r w:rsidRPr="00B7238F">
        <w:rPr>
          <w:lang w:eastAsia="pt-BR"/>
        </w:rPr>
        <w:t>SIMÔES et al., 2017</w:t>
      </w:r>
      <w:bookmarkEnd w:id="262"/>
      <w:r w:rsidRPr="00B7238F">
        <w:rPr>
          <w:lang w:eastAsia="pt-BR"/>
        </w:rPr>
        <w:t>). Além disso, nos ensaios do consórcio em rede foi observada a redução de eficiência dos fungicidas do grupo químico das carboxamidas principalmente na região sul do Brasil (</w:t>
      </w:r>
      <w:bookmarkStart w:id="263" w:name="_Hlk12610538"/>
      <w:r w:rsidRPr="00B7238F">
        <w:rPr>
          <w:lang w:eastAsia="pt-BR"/>
        </w:rPr>
        <w:t>GODOY et al., 2017</w:t>
      </w:r>
      <w:bookmarkEnd w:id="263"/>
      <w:r w:rsidRPr="00B7238F">
        <w:rPr>
          <w:lang w:eastAsia="pt-BR"/>
        </w:rPr>
        <w:t xml:space="preserve">). A redução de sensibilidade de </w:t>
      </w:r>
      <w:r w:rsidRPr="00B7238F">
        <w:rPr>
          <w:i/>
          <w:lang w:eastAsia="pt-BR"/>
        </w:rPr>
        <w:t xml:space="preserve">P. pachyrhizi </w:t>
      </w:r>
      <w:r w:rsidRPr="00B7238F">
        <w:rPr>
          <w:lang w:eastAsia="pt-BR"/>
        </w:rPr>
        <w:t>a carboxamidas, pode representar a perda de moléculas com potencial de controle e importância para o manejo de resistência do patógeno.</w:t>
      </w:r>
    </w:p>
    <w:p w14:paraId="1C7F53BC" w14:textId="77777777" w:rsidR="002322A6" w:rsidRPr="00B7238F" w:rsidRDefault="002322A6" w:rsidP="00796F1B">
      <w:pPr>
        <w:spacing w:after="0" w:line="360" w:lineRule="auto"/>
        <w:rPr>
          <w:lang w:eastAsia="pt-BR"/>
        </w:rPr>
      </w:pPr>
      <w:r w:rsidRPr="00B7238F">
        <w:rPr>
          <w:lang w:eastAsia="pt-BR"/>
        </w:rPr>
        <w:t xml:space="preserve">Contudo, não há informações sobre a variabilidade da mutação I86F na enzima succinato desidrogenase em populações de </w:t>
      </w:r>
      <w:r w:rsidRPr="00B7238F">
        <w:rPr>
          <w:i/>
          <w:lang w:eastAsia="pt-BR"/>
        </w:rPr>
        <w:t>P. pachyrhizi</w:t>
      </w:r>
      <w:r w:rsidRPr="00B7238F">
        <w:rPr>
          <w:lang w:eastAsia="pt-BR"/>
        </w:rPr>
        <w:t xml:space="preserve"> provenientes de diferentes locais da região sul do Brasil. No estado de Santa Catarina, a mutação não foi reportada até o momento em periódicos científicos, bem como não há informações sobre a sua variabilidade em regiões com diferentes condições climáticas e/ou altitudes.</w:t>
      </w:r>
    </w:p>
    <w:p w14:paraId="5BBC2066" w14:textId="77777777" w:rsidR="002322A6" w:rsidRPr="00B7238F" w:rsidRDefault="002322A6" w:rsidP="00796F1B">
      <w:pPr>
        <w:spacing w:after="0" w:line="360" w:lineRule="auto"/>
        <w:rPr>
          <w:lang w:eastAsia="pt-BR"/>
        </w:rPr>
      </w:pPr>
      <w:r w:rsidRPr="00B7238F">
        <w:rPr>
          <w:lang w:eastAsia="pt-BR"/>
        </w:rPr>
        <w:t xml:space="preserve">Neste sentido, o conhecimento da variabilidade da frequência da mutação I86F na enzima succinato desidrogenase em diferentes populações de </w:t>
      </w:r>
      <w:r w:rsidRPr="00B7238F">
        <w:rPr>
          <w:i/>
          <w:lang w:eastAsia="pt-BR"/>
        </w:rPr>
        <w:t>P. pachyrhizi</w:t>
      </w:r>
      <w:r w:rsidRPr="00B7238F">
        <w:rPr>
          <w:lang w:eastAsia="pt-BR"/>
        </w:rPr>
        <w:t xml:space="preserve"> no estado de Santa Catarina, seria uma importante contribuição para compreensão da variabilidade da mutação entre regiões e/ou locais com distintas altitudes.</w:t>
      </w:r>
    </w:p>
    <w:p w14:paraId="5B33BF5F" w14:textId="4F1673D5" w:rsidR="002322A6" w:rsidRPr="00B7238F" w:rsidRDefault="002322A6" w:rsidP="00796F1B">
      <w:pPr>
        <w:spacing w:after="0" w:line="360" w:lineRule="auto"/>
        <w:rPr>
          <w:rFonts w:eastAsia="Times New Roman"/>
          <w:lang w:eastAsia="pt-BR"/>
        </w:rPr>
      </w:pPr>
      <w:r w:rsidRPr="00B7238F">
        <w:t xml:space="preserve">Os objetivos destes estudos foram avaliar a ocorrência, distribuição e frequência da mutação I86F em populações de </w:t>
      </w:r>
      <w:r w:rsidRPr="00B7238F">
        <w:rPr>
          <w:i/>
          <w:iCs/>
        </w:rPr>
        <w:t xml:space="preserve">P. pachyrhizi </w:t>
      </w:r>
      <w:r w:rsidRPr="00B7238F">
        <w:t>oriundas de diferentes regiões e altitudes no estado de Santa Catarina.</w:t>
      </w:r>
    </w:p>
    <w:p w14:paraId="75E87150" w14:textId="77777777" w:rsidR="001D48B0" w:rsidRPr="00B7238F" w:rsidRDefault="001D48B0" w:rsidP="00796F1B">
      <w:pPr>
        <w:spacing w:after="0" w:line="360" w:lineRule="auto"/>
      </w:pPr>
    </w:p>
    <w:p w14:paraId="48498058" w14:textId="5221A646" w:rsidR="00034890" w:rsidRPr="00B7238F" w:rsidRDefault="00034890" w:rsidP="00796F1B">
      <w:pPr>
        <w:pStyle w:val="Ttulo2"/>
        <w:spacing w:before="0" w:after="0" w:line="360" w:lineRule="auto"/>
      </w:pPr>
      <w:bookmarkStart w:id="264" w:name="_Toc516580511"/>
      <w:bookmarkStart w:id="265" w:name="_Toc517105686"/>
      <w:bookmarkStart w:id="266" w:name="_Toc22568273"/>
      <w:r w:rsidRPr="00B7238F">
        <w:t>6.3 MATERIAL E MÉTODOS</w:t>
      </w:r>
      <w:bookmarkEnd w:id="264"/>
      <w:bookmarkEnd w:id="265"/>
      <w:bookmarkEnd w:id="266"/>
      <w:r w:rsidR="00BA6F9B" w:rsidRPr="00B7238F">
        <w:t xml:space="preserve"> </w:t>
      </w:r>
    </w:p>
    <w:p w14:paraId="6FF4B4DA" w14:textId="19CAFED7" w:rsidR="001D48B0" w:rsidRPr="00B7238F" w:rsidRDefault="001D48B0" w:rsidP="00796F1B">
      <w:pPr>
        <w:spacing w:after="0" w:line="360" w:lineRule="auto"/>
      </w:pPr>
    </w:p>
    <w:p w14:paraId="3E207C19" w14:textId="1CE57248" w:rsidR="001D48B0" w:rsidRPr="00B7238F" w:rsidRDefault="001D48B0" w:rsidP="00796F1B">
      <w:pPr>
        <w:spacing w:after="0" w:line="360" w:lineRule="auto"/>
      </w:pPr>
      <w:r w:rsidRPr="00B7238F">
        <w:t xml:space="preserve">Populações de </w:t>
      </w:r>
      <w:r w:rsidRPr="00B7238F">
        <w:rPr>
          <w:i/>
        </w:rPr>
        <w:t>P. pachyrhizi</w:t>
      </w:r>
      <w:r w:rsidRPr="00B7238F">
        <w:t xml:space="preserve"> foram coletadas de folhas de soja </w:t>
      </w:r>
      <w:r w:rsidRPr="00B7238F">
        <w:rPr>
          <w:bCs/>
        </w:rPr>
        <w:t>naturalmente infectadas</w:t>
      </w:r>
      <w:r w:rsidRPr="00B7238F">
        <w:rPr>
          <w:i/>
        </w:rPr>
        <w:t>,</w:t>
      </w:r>
      <w:r w:rsidRPr="00B7238F">
        <w:t xml:space="preserve"> provenientes de diferentes</w:t>
      </w:r>
      <w:r w:rsidR="005F5B69" w:rsidRPr="00B7238F">
        <w:t xml:space="preserve"> regiões e</w:t>
      </w:r>
      <w:r w:rsidRPr="00B7238F">
        <w:t xml:space="preserve"> altitudes no estado de Santa Catarina, durantes a safra de 2017/18. As amostras foram divididas de acordo com a altitude do ponto de coleta em altitude entre 401 e 600 m, 601 a 800 m, e superior a 800 m.  Além disto, também foram divididas de acordo com as regiões de coleta, sendo estas alto vale do Itajaí, planalto catarinense, oeste, e extremo oeste.</w:t>
      </w:r>
      <w:r w:rsidR="000B74B3" w:rsidRPr="00B7238F">
        <w:t xml:space="preserve"> Foi definida como região extremo oeste, os pontos coletad</w:t>
      </w:r>
      <w:r w:rsidR="00292CCD" w:rsidRPr="00B7238F">
        <w:t>o</w:t>
      </w:r>
      <w:r w:rsidR="000B74B3" w:rsidRPr="00B7238F">
        <w:t xml:space="preserve">s entre os </w:t>
      </w:r>
      <w:r w:rsidR="00292CCD" w:rsidRPr="00B7238F">
        <w:t>municípios de Chapecó e Xanxerê e a divisão do estado com a Argentina, em virtude terem sido observadas plantas guaxas de soja com sintomas da FAS dentro desta região no período de entresafra o que consequentemente propicia que possa haver inóculo mais cedo nesta região.</w:t>
      </w:r>
    </w:p>
    <w:p w14:paraId="7F45B002" w14:textId="3F8DA124" w:rsidR="001D48B0" w:rsidRPr="00B7238F" w:rsidRDefault="001D48B0" w:rsidP="00796F1B">
      <w:pPr>
        <w:spacing w:after="0" w:line="360" w:lineRule="auto"/>
      </w:pPr>
      <w:r w:rsidRPr="00B7238F">
        <w:t xml:space="preserve">As populações do fungo foram coletadas de lavouras cultivadas na época recomendada pelo zoneamento agrícola. </w:t>
      </w:r>
      <w:r w:rsidR="002B60C4" w:rsidRPr="00B7238F">
        <w:t>A</w:t>
      </w:r>
      <w:r w:rsidRPr="00B7238F">
        <w:t xml:space="preserve">s repetições </w:t>
      </w:r>
      <w:r w:rsidR="005F5B69" w:rsidRPr="00B7238F">
        <w:t xml:space="preserve">foram </w:t>
      </w:r>
      <w:r w:rsidRPr="00B7238F">
        <w:t>constituídas por populações do fungo oriundas de diferentes lavouras comerciais.</w:t>
      </w:r>
    </w:p>
    <w:p w14:paraId="2F7E3044" w14:textId="2B16EE15" w:rsidR="001D48B0" w:rsidRPr="00B7238F" w:rsidRDefault="001D48B0" w:rsidP="00796F1B">
      <w:pPr>
        <w:spacing w:after="0" w:line="360" w:lineRule="auto"/>
      </w:pPr>
      <w:r w:rsidRPr="00B7238F">
        <w:t>As amostragens foram realizadas entre os estádios fenológicos R5/R7, sendo coletados cinquenta folíolos infectados por repetição. Cada repetição foi identificada com a data de coleta, localização geográfica, altitude e estádio fenológico. As folhas infectadas foram armazenadas, exsicata</w:t>
      </w:r>
      <w:r w:rsidR="00451B2C" w:rsidRPr="00B7238F">
        <w:t>das</w:t>
      </w:r>
      <w:r w:rsidRPr="00B7238F">
        <w:t xml:space="preserve">s e enviadas para o laboratório de pesquisa da BASF, no município de Santo Antônio de Posse. </w:t>
      </w:r>
    </w:p>
    <w:p w14:paraId="7A63E608" w14:textId="77777777" w:rsidR="009079C5" w:rsidRDefault="001D48B0" w:rsidP="00796F1B">
      <w:pPr>
        <w:spacing w:after="0" w:line="360" w:lineRule="auto"/>
      </w:pPr>
      <w:r w:rsidRPr="00B7238F">
        <w:t>Para extração de DNA foram recortados aproximadamente vinte e cinco discos de um cm</w:t>
      </w:r>
      <w:r w:rsidRPr="00B7238F">
        <w:rPr>
          <w:vertAlign w:val="superscript"/>
        </w:rPr>
        <w:t>2</w:t>
      </w:r>
      <w:r w:rsidRPr="00B7238F">
        <w:t xml:space="preserve"> de limbo foliar de soja com presença de urédias e uredosporos de </w:t>
      </w:r>
      <w:r w:rsidRPr="00B7238F">
        <w:rPr>
          <w:i/>
        </w:rPr>
        <w:t>P. pachyrhizi</w:t>
      </w:r>
      <w:r w:rsidRPr="00B7238F">
        <w:t xml:space="preserve">. Foi extraído o DNA do inóculo proveniente das amostras de campo conforme metodologia descrita por </w:t>
      </w:r>
      <w:bookmarkStart w:id="267" w:name="_Hlk12610572"/>
      <w:r w:rsidRPr="00B7238F">
        <w:t>Schimitz et al. (201</w:t>
      </w:r>
      <w:r w:rsidR="0030619B" w:rsidRPr="00B7238F">
        <w:t>3</w:t>
      </w:r>
      <w:r w:rsidRPr="00B7238F">
        <w:t>)</w:t>
      </w:r>
      <w:bookmarkEnd w:id="267"/>
      <w:r w:rsidRPr="00B7238F">
        <w:t>. A análise quantitativa genética da mutação I86F na subunidade SDHc, foi realizada através de PCR em tempo real pela metodologia desenvolvida e descrita por Simões et al. (2017).</w:t>
      </w:r>
    </w:p>
    <w:p w14:paraId="2B246E55" w14:textId="77777777" w:rsidR="009079C5" w:rsidRDefault="001D48B0" w:rsidP="00796F1B">
      <w:pPr>
        <w:spacing w:after="0" w:line="360" w:lineRule="auto"/>
      </w:pPr>
      <w:r w:rsidRPr="00B7238F">
        <w:t>Foram obtidos resultados da porcentagem de isolados com a mutação</w:t>
      </w:r>
      <w:r w:rsidR="00292CCD" w:rsidRPr="00B7238F">
        <w:t xml:space="preserve"> </w:t>
      </w:r>
      <w:r w:rsidRPr="00B7238F">
        <w:t>I86F, e frequência de mutação nos isolados mutantes provenientes do estado de Santa Catarina.</w:t>
      </w:r>
    </w:p>
    <w:p w14:paraId="72943DC2" w14:textId="30D9B5E9" w:rsidR="001D48B0" w:rsidRPr="00B7238F" w:rsidRDefault="001D48B0" w:rsidP="00796F1B">
      <w:pPr>
        <w:spacing w:after="0" w:line="360" w:lineRule="auto"/>
      </w:pPr>
      <w:r w:rsidRPr="00B7238F">
        <w:t xml:space="preserve">A unidade experimental foi constituída pela amostra de uma população de uredósporos de </w:t>
      </w:r>
      <w:r w:rsidRPr="00B7238F">
        <w:rPr>
          <w:i/>
        </w:rPr>
        <w:t>P. pachyrhizi</w:t>
      </w:r>
      <w:r w:rsidRPr="00B7238F">
        <w:t xml:space="preserve"> proveniente de lavoura comercial de soja. Os dados foram avaliados através de análise descritiva da porcentagem de populações com presença da mutação, variação e média da frequência da mutação para as diferentes regiões e altitudes.</w:t>
      </w:r>
    </w:p>
    <w:p w14:paraId="22F641E8" w14:textId="77777777" w:rsidR="0020581E" w:rsidRPr="00B7238F" w:rsidRDefault="0020581E" w:rsidP="00796F1B">
      <w:pPr>
        <w:spacing w:after="0" w:line="360" w:lineRule="auto"/>
      </w:pPr>
      <w:bookmarkStart w:id="268" w:name="_Toc516580516"/>
      <w:bookmarkStart w:id="269" w:name="_Toc517105691"/>
    </w:p>
    <w:p w14:paraId="6ED115D6" w14:textId="5C4B1CB3" w:rsidR="000A4A7C" w:rsidRPr="00B7238F" w:rsidRDefault="000A4A7C" w:rsidP="00796F1B">
      <w:pPr>
        <w:pStyle w:val="Ttulo2"/>
        <w:spacing w:before="0" w:after="0" w:line="360" w:lineRule="auto"/>
      </w:pPr>
      <w:bookmarkStart w:id="270" w:name="_Toc22568274"/>
      <w:r w:rsidRPr="00B7238F">
        <w:t>6.4 RESULTADOS</w:t>
      </w:r>
      <w:bookmarkEnd w:id="268"/>
      <w:bookmarkEnd w:id="269"/>
      <w:bookmarkEnd w:id="270"/>
    </w:p>
    <w:p w14:paraId="5C67B495" w14:textId="55A03998" w:rsidR="00F0455F" w:rsidRPr="00B7238F" w:rsidRDefault="00F0455F" w:rsidP="00796F1B">
      <w:pPr>
        <w:spacing w:after="0" w:line="360" w:lineRule="auto"/>
      </w:pPr>
    </w:p>
    <w:p w14:paraId="4F7FEFD3" w14:textId="2C10A35F" w:rsidR="001D48B0" w:rsidRPr="00B7238F" w:rsidRDefault="001D48B0" w:rsidP="00796F1B">
      <w:pPr>
        <w:spacing w:after="0" w:line="360" w:lineRule="auto"/>
        <w:rPr>
          <w:b/>
          <w:color w:val="000000" w:themeColor="text1"/>
        </w:rPr>
      </w:pPr>
      <w:r w:rsidRPr="00B7238F">
        <w:rPr>
          <w:lang w:eastAsia="pt-BR"/>
        </w:rPr>
        <w:t>Foram coletadas 6</w:t>
      </w:r>
      <w:r w:rsidR="00C516F0" w:rsidRPr="00B7238F">
        <w:rPr>
          <w:lang w:eastAsia="pt-BR"/>
        </w:rPr>
        <w:t>5</w:t>
      </w:r>
      <w:r w:rsidRPr="00B7238F">
        <w:rPr>
          <w:lang w:eastAsia="pt-BR"/>
        </w:rPr>
        <w:t xml:space="preserve"> amostras no total, porém somente 38 destas amplificaram, nas quais foi possível a quantificação da frequência da mutação I86F (Tabela 9).</w:t>
      </w:r>
    </w:p>
    <w:p w14:paraId="5E362947" w14:textId="77777777" w:rsidR="001D48B0" w:rsidRPr="00B7238F" w:rsidRDefault="001D48B0" w:rsidP="0005468C">
      <w:pPr>
        <w:rPr>
          <w:lang w:eastAsia="pt-BR"/>
        </w:rPr>
        <w:sectPr w:rsidR="001D48B0" w:rsidRPr="00B7238F" w:rsidSect="000C3F08">
          <w:headerReference w:type="even" r:id="rId12"/>
          <w:headerReference w:type="default" r:id="rId13"/>
          <w:pgSz w:w="11906" w:h="16838" w:code="9"/>
          <w:pgMar w:top="1701" w:right="1134" w:bottom="1134" w:left="1701" w:header="709" w:footer="709" w:gutter="0"/>
          <w:cols w:space="708"/>
          <w:docGrid w:linePitch="360"/>
        </w:sectPr>
      </w:pPr>
    </w:p>
    <w:p w14:paraId="2D2AB3B9" w14:textId="6366C285" w:rsidR="008E2D4D" w:rsidRDefault="008E2D4D" w:rsidP="008E2D4D">
      <w:pPr>
        <w:pStyle w:val="Legenda"/>
        <w:keepNext/>
      </w:pPr>
      <w:bookmarkStart w:id="271" w:name="_Toc16173045"/>
      <w:r>
        <w:t xml:space="preserve">Tabela </w:t>
      </w:r>
      <w:r w:rsidR="00D00510">
        <w:fldChar w:fldCharType="begin"/>
      </w:r>
      <w:r w:rsidR="00D00510">
        <w:instrText xml:space="preserve"> SEQ Tabela \* ARABIC </w:instrText>
      </w:r>
      <w:r w:rsidR="00D00510">
        <w:fldChar w:fldCharType="separate"/>
      </w:r>
      <w:r w:rsidR="002D15F8">
        <w:rPr>
          <w:noProof/>
        </w:rPr>
        <w:t>9</w:t>
      </w:r>
      <w:r w:rsidR="00D00510">
        <w:rPr>
          <w:noProof/>
        </w:rPr>
        <w:fldChar w:fldCharType="end"/>
      </w:r>
      <w:r>
        <w:t xml:space="preserve">. </w:t>
      </w:r>
      <w:r w:rsidRPr="00272A64">
        <w:t xml:space="preserve">Lista de locais de coleta de amostras de folhas de soja infectadas por </w:t>
      </w:r>
      <w:r w:rsidRPr="001C6ED3">
        <w:rPr>
          <w:i/>
        </w:rPr>
        <w:t>P. pachyrhzi</w:t>
      </w:r>
      <w:r w:rsidRPr="00272A64">
        <w:t xml:space="preserve"> no estado de Santa Catarina.</w:t>
      </w:r>
      <w:bookmarkEnd w:id="271"/>
    </w:p>
    <w:tbl>
      <w:tblPr>
        <w:tblW w:w="13231" w:type="dxa"/>
        <w:tblInd w:w="36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34"/>
        <w:gridCol w:w="1581"/>
        <w:gridCol w:w="141"/>
        <w:gridCol w:w="1560"/>
        <w:gridCol w:w="1134"/>
        <w:gridCol w:w="1869"/>
        <w:gridCol w:w="1276"/>
        <w:gridCol w:w="1701"/>
        <w:gridCol w:w="1276"/>
        <w:gridCol w:w="1559"/>
      </w:tblGrid>
      <w:tr w:rsidR="00362172" w:rsidRPr="00362172" w14:paraId="591F285C" w14:textId="77777777" w:rsidTr="00D74DA1">
        <w:trPr>
          <w:trHeight w:val="315"/>
        </w:trPr>
        <w:tc>
          <w:tcPr>
            <w:tcW w:w="1134" w:type="dxa"/>
            <w:tcBorders>
              <w:top w:val="single" w:sz="4" w:space="0" w:color="auto"/>
              <w:bottom w:val="single" w:sz="4" w:space="0" w:color="auto"/>
            </w:tcBorders>
            <w:shd w:val="clear" w:color="auto" w:fill="FFFFFF" w:themeFill="background1"/>
            <w:noWrap/>
            <w:vAlign w:val="center"/>
            <w:hideMark/>
          </w:tcPr>
          <w:p w14:paraId="333C65C2" w14:textId="77777777" w:rsidR="00362172" w:rsidRPr="00362172" w:rsidRDefault="00362172" w:rsidP="00362172">
            <w:pPr>
              <w:autoSpaceDE/>
              <w:autoSpaceDN/>
              <w:adjustRightInd/>
              <w:spacing w:after="0" w:line="240" w:lineRule="auto"/>
              <w:ind w:left="-9" w:firstLine="0"/>
              <w:jc w:val="center"/>
              <w:rPr>
                <w:rFonts w:eastAsia="Times New Roman"/>
                <w:b/>
                <w:bCs/>
                <w:color w:val="000000"/>
                <w:szCs w:val="20"/>
                <w:lang w:eastAsia="pt-BR"/>
              </w:rPr>
            </w:pPr>
            <w:r w:rsidRPr="00362172">
              <w:rPr>
                <w:rFonts w:eastAsia="Times New Roman"/>
                <w:b/>
                <w:bCs/>
                <w:color w:val="000000"/>
                <w:szCs w:val="20"/>
                <w:lang w:eastAsia="pt-BR"/>
              </w:rPr>
              <w:t>Amostra</w:t>
            </w:r>
          </w:p>
        </w:tc>
        <w:tc>
          <w:tcPr>
            <w:tcW w:w="1722" w:type="dxa"/>
            <w:gridSpan w:val="2"/>
            <w:tcBorders>
              <w:top w:val="single" w:sz="4" w:space="0" w:color="auto"/>
              <w:bottom w:val="single" w:sz="4" w:space="0" w:color="auto"/>
            </w:tcBorders>
            <w:shd w:val="clear" w:color="auto" w:fill="FFFFFF" w:themeFill="background1"/>
            <w:noWrap/>
            <w:vAlign w:val="center"/>
            <w:hideMark/>
          </w:tcPr>
          <w:p w14:paraId="2F1896A6"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Latitude</w:t>
            </w:r>
          </w:p>
        </w:tc>
        <w:tc>
          <w:tcPr>
            <w:tcW w:w="1560" w:type="dxa"/>
            <w:tcBorders>
              <w:top w:val="single" w:sz="4" w:space="0" w:color="auto"/>
              <w:bottom w:val="single" w:sz="4" w:space="0" w:color="auto"/>
            </w:tcBorders>
            <w:shd w:val="clear" w:color="auto" w:fill="FFFFFF" w:themeFill="background1"/>
            <w:noWrap/>
            <w:vAlign w:val="center"/>
            <w:hideMark/>
          </w:tcPr>
          <w:p w14:paraId="5D58299B"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Longitude</w:t>
            </w:r>
          </w:p>
        </w:tc>
        <w:tc>
          <w:tcPr>
            <w:tcW w:w="1134" w:type="dxa"/>
            <w:tcBorders>
              <w:top w:val="single" w:sz="4" w:space="0" w:color="auto"/>
              <w:bottom w:val="single" w:sz="4" w:space="0" w:color="auto"/>
            </w:tcBorders>
            <w:shd w:val="clear" w:color="auto" w:fill="FFFFFF" w:themeFill="background1"/>
            <w:noWrap/>
            <w:vAlign w:val="center"/>
            <w:hideMark/>
          </w:tcPr>
          <w:p w14:paraId="1A410E35"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Altitude (m)</w:t>
            </w:r>
          </w:p>
        </w:tc>
        <w:tc>
          <w:tcPr>
            <w:tcW w:w="1869" w:type="dxa"/>
            <w:tcBorders>
              <w:top w:val="single" w:sz="4" w:space="0" w:color="auto"/>
              <w:bottom w:val="single" w:sz="4" w:space="0" w:color="auto"/>
            </w:tcBorders>
            <w:shd w:val="clear" w:color="auto" w:fill="FFFFFF" w:themeFill="background1"/>
            <w:noWrap/>
            <w:vAlign w:val="center"/>
            <w:hideMark/>
          </w:tcPr>
          <w:p w14:paraId="4CCAB423"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Município</w:t>
            </w:r>
          </w:p>
        </w:tc>
        <w:tc>
          <w:tcPr>
            <w:tcW w:w="1276" w:type="dxa"/>
            <w:tcBorders>
              <w:top w:val="single" w:sz="4" w:space="0" w:color="auto"/>
              <w:bottom w:val="single" w:sz="4" w:space="0" w:color="auto"/>
            </w:tcBorders>
            <w:shd w:val="clear" w:color="auto" w:fill="FFFFFF" w:themeFill="background1"/>
            <w:noWrap/>
            <w:vAlign w:val="center"/>
            <w:hideMark/>
          </w:tcPr>
          <w:p w14:paraId="176D74FD"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Data coleta</w:t>
            </w:r>
          </w:p>
        </w:tc>
        <w:tc>
          <w:tcPr>
            <w:tcW w:w="1701" w:type="dxa"/>
            <w:tcBorders>
              <w:top w:val="single" w:sz="4" w:space="0" w:color="auto"/>
              <w:bottom w:val="single" w:sz="4" w:space="0" w:color="auto"/>
            </w:tcBorders>
            <w:shd w:val="clear" w:color="auto" w:fill="FFFFFF" w:themeFill="background1"/>
            <w:noWrap/>
            <w:vAlign w:val="center"/>
            <w:hideMark/>
          </w:tcPr>
          <w:p w14:paraId="5D2DD251"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Cultivar</w:t>
            </w:r>
          </w:p>
        </w:tc>
        <w:tc>
          <w:tcPr>
            <w:tcW w:w="1276" w:type="dxa"/>
            <w:tcBorders>
              <w:top w:val="single" w:sz="4" w:space="0" w:color="auto"/>
              <w:bottom w:val="single" w:sz="4" w:space="0" w:color="auto"/>
            </w:tcBorders>
            <w:shd w:val="clear" w:color="auto" w:fill="FFFFFF" w:themeFill="background1"/>
            <w:noWrap/>
            <w:vAlign w:val="center"/>
            <w:hideMark/>
          </w:tcPr>
          <w:p w14:paraId="41EA6769"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Estádio fenológico</w:t>
            </w:r>
          </w:p>
        </w:tc>
        <w:tc>
          <w:tcPr>
            <w:tcW w:w="1559" w:type="dxa"/>
            <w:tcBorders>
              <w:top w:val="single" w:sz="4" w:space="0" w:color="auto"/>
              <w:bottom w:val="single" w:sz="4" w:space="0" w:color="auto"/>
            </w:tcBorders>
            <w:shd w:val="clear" w:color="auto" w:fill="FFFFFF" w:themeFill="background1"/>
            <w:vAlign w:val="center"/>
          </w:tcPr>
          <w:p w14:paraId="588DF5E5"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Resultado da extração</w:t>
            </w:r>
          </w:p>
        </w:tc>
      </w:tr>
      <w:tr w:rsidR="00362172" w:rsidRPr="00362172" w14:paraId="749145FF" w14:textId="77777777" w:rsidTr="00D74DA1">
        <w:trPr>
          <w:trHeight w:val="300"/>
        </w:trPr>
        <w:tc>
          <w:tcPr>
            <w:tcW w:w="1134" w:type="dxa"/>
            <w:tcBorders>
              <w:top w:val="single" w:sz="4" w:space="0" w:color="auto"/>
            </w:tcBorders>
            <w:shd w:val="clear" w:color="auto" w:fill="FFFFFF" w:themeFill="background1"/>
            <w:noWrap/>
            <w:vAlign w:val="center"/>
            <w:hideMark/>
          </w:tcPr>
          <w:p w14:paraId="1B5C26E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w:t>
            </w:r>
          </w:p>
        </w:tc>
        <w:tc>
          <w:tcPr>
            <w:tcW w:w="1581" w:type="dxa"/>
            <w:tcBorders>
              <w:top w:val="single" w:sz="4" w:space="0" w:color="auto"/>
            </w:tcBorders>
            <w:shd w:val="clear" w:color="auto" w:fill="FFFFFF" w:themeFill="background1"/>
            <w:noWrap/>
            <w:vAlign w:val="center"/>
            <w:hideMark/>
          </w:tcPr>
          <w:p w14:paraId="394DC28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27°10'41.20"S</w:t>
            </w:r>
          </w:p>
        </w:tc>
        <w:tc>
          <w:tcPr>
            <w:tcW w:w="1701" w:type="dxa"/>
            <w:gridSpan w:val="2"/>
            <w:tcBorders>
              <w:top w:val="single" w:sz="4" w:space="0" w:color="auto"/>
            </w:tcBorders>
            <w:shd w:val="clear" w:color="auto" w:fill="FFFFFF" w:themeFill="background1"/>
            <w:noWrap/>
            <w:vAlign w:val="center"/>
            <w:hideMark/>
          </w:tcPr>
          <w:p w14:paraId="772BFDD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53°44'4.89"O</w:t>
            </w:r>
          </w:p>
        </w:tc>
        <w:tc>
          <w:tcPr>
            <w:tcW w:w="1134" w:type="dxa"/>
            <w:tcBorders>
              <w:top w:val="single" w:sz="4" w:space="0" w:color="auto"/>
            </w:tcBorders>
            <w:shd w:val="clear" w:color="auto" w:fill="FFFFFF" w:themeFill="background1"/>
            <w:noWrap/>
            <w:vAlign w:val="center"/>
            <w:hideMark/>
          </w:tcPr>
          <w:p w14:paraId="6DB5402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335</w:t>
            </w:r>
          </w:p>
        </w:tc>
        <w:tc>
          <w:tcPr>
            <w:tcW w:w="1869" w:type="dxa"/>
            <w:tcBorders>
              <w:top w:val="single" w:sz="4" w:space="0" w:color="auto"/>
            </w:tcBorders>
            <w:shd w:val="clear" w:color="auto" w:fill="FFFFFF" w:themeFill="background1"/>
            <w:noWrap/>
            <w:vAlign w:val="center"/>
            <w:hideMark/>
          </w:tcPr>
          <w:p w14:paraId="5D6ACA2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Itapiranga</w:t>
            </w:r>
          </w:p>
        </w:tc>
        <w:tc>
          <w:tcPr>
            <w:tcW w:w="1276" w:type="dxa"/>
            <w:tcBorders>
              <w:top w:val="single" w:sz="4" w:space="0" w:color="auto"/>
            </w:tcBorders>
            <w:shd w:val="clear" w:color="auto" w:fill="FFFFFF" w:themeFill="background1"/>
            <w:noWrap/>
            <w:vAlign w:val="center"/>
            <w:hideMark/>
          </w:tcPr>
          <w:p w14:paraId="64D9CD4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04/03/2018</w:t>
            </w:r>
          </w:p>
        </w:tc>
        <w:tc>
          <w:tcPr>
            <w:tcW w:w="1701" w:type="dxa"/>
            <w:tcBorders>
              <w:top w:val="single" w:sz="4" w:space="0" w:color="auto"/>
            </w:tcBorders>
            <w:shd w:val="clear" w:color="auto" w:fill="FFFFFF" w:themeFill="background1"/>
            <w:noWrap/>
            <w:vAlign w:val="center"/>
            <w:hideMark/>
          </w:tcPr>
          <w:p w14:paraId="12A4DC7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NA5909RR</w:t>
            </w:r>
          </w:p>
        </w:tc>
        <w:tc>
          <w:tcPr>
            <w:tcW w:w="1276" w:type="dxa"/>
            <w:tcBorders>
              <w:top w:val="single" w:sz="4" w:space="0" w:color="auto"/>
            </w:tcBorders>
            <w:shd w:val="clear" w:color="auto" w:fill="FFFFFF" w:themeFill="background1"/>
            <w:noWrap/>
            <w:vAlign w:val="center"/>
            <w:hideMark/>
          </w:tcPr>
          <w:p w14:paraId="59AB43A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tcBorders>
              <w:top w:val="single" w:sz="4" w:space="0" w:color="auto"/>
            </w:tcBorders>
            <w:shd w:val="clear" w:color="auto" w:fill="FFFFFF" w:themeFill="background1"/>
            <w:vAlign w:val="center"/>
          </w:tcPr>
          <w:p w14:paraId="1A4F703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334722D1" w14:textId="77777777" w:rsidTr="00D74DA1">
        <w:trPr>
          <w:trHeight w:val="300"/>
        </w:trPr>
        <w:tc>
          <w:tcPr>
            <w:tcW w:w="1134" w:type="dxa"/>
            <w:shd w:val="clear" w:color="auto" w:fill="FFFFFF" w:themeFill="background1"/>
            <w:noWrap/>
            <w:vAlign w:val="center"/>
            <w:hideMark/>
          </w:tcPr>
          <w:p w14:paraId="04373B2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w:t>
            </w:r>
          </w:p>
        </w:tc>
        <w:tc>
          <w:tcPr>
            <w:tcW w:w="1581" w:type="dxa"/>
            <w:shd w:val="clear" w:color="auto" w:fill="FFFFFF" w:themeFill="background1"/>
            <w:noWrap/>
            <w:vAlign w:val="center"/>
            <w:hideMark/>
          </w:tcPr>
          <w:p w14:paraId="55E60AC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27°30'43.00"S</w:t>
            </w:r>
          </w:p>
        </w:tc>
        <w:tc>
          <w:tcPr>
            <w:tcW w:w="1701" w:type="dxa"/>
            <w:gridSpan w:val="2"/>
            <w:shd w:val="clear" w:color="auto" w:fill="FFFFFF" w:themeFill="background1"/>
            <w:noWrap/>
            <w:vAlign w:val="center"/>
            <w:hideMark/>
          </w:tcPr>
          <w:p w14:paraId="753887E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49°41'9.30"O</w:t>
            </w:r>
          </w:p>
        </w:tc>
        <w:tc>
          <w:tcPr>
            <w:tcW w:w="1134" w:type="dxa"/>
            <w:shd w:val="clear" w:color="auto" w:fill="FFFFFF" w:themeFill="background1"/>
            <w:noWrap/>
            <w:vAlign w:val="center"/>
            <w:hideMark/>
          </w:tcPr>
          <w:p w14:paraId="14C27C5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406</w:t>
            </w:r>
          </w:p>
        </w:tc>
        <w:tc>
          <w:tcPr>
            <w:tcW w:w="1869" w:type="dxa"/>
            <w:shd w:val="clear" w:color="auto" w:fill="FFFFFF" w:themeFill="background1"/>
            <w:noWrap/>
            <w:vAlign w:val="center"/>
            <w:hideMark/>
          </w:tcPr>
          <w:p w14:paraId="0427E95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Petrolândia</w:t>
            </w:r>
          </w:p>
        </w:tc>
        <w:tc>
          <w:tcPr>
            <w:tcW w:w="1276" w:type="dxa"/>
            <w:shd w:val="clear" w:color="auto" w:fill="FFFFFF" w:themeFill="background1"/>
            <w:noWrap/>
            <w:vAlign w:val="center"/>
            <w:hideMark/>
          </w:tcPr>
          <w:p w14:paraId="0A2FBE7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701" w:type="dxa"/>
            <w:shd w:val="clear" w:color="auto" w:fill="FFFFFF" w:themeFill="background1"/>
            <w:noWrap/>
            <w:vAlign w:val="center"/>
            <w:hideMark/>
          </w:tcPr>
          <w:p w14:paraId="64AAD1D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Alvo RR</w:t>
            </w:r>
          </w:p>
        </w:tc>
        <w:tc>
          <w:tcPr>
            <w:tcW w:w="1276" w:type="dxa"/>
            <w:shd w:val="clear" w:color="auto" w:fill="FFFFFF" w:themeFill="background1"/>
            <w:noWrap/>
            <w:vAlign w:val="center"/>
            <w:hideMark/>
          </w:tcPr>
          <w:p w14:paraId="0841138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4397D80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05D33FA2" w14:textId="77777777" w:rsidTr="00D74DA1">
        <w:trPr>
          <w:trHeight w:val="300"/>
        </w:trPr>
        <w:tc>
          <w:tcPr>
            <w:tcW w:w="1134" w:type="dxa"/>
            <w:shd w:val="clear" w:color="auto" w:fill="FFFFFF" w:themeFill="background1"/>
            <w:noWrap/>
            <w:vAlign w:val="center"/>
            <w:hideMark/>
          </w:tcPr>
          <w:p w14:paraId="4B0F6E1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w:t>
            </w:r>
          </w:p>
        </w:tc>
        <w:tc>
          <w:tcPr>
            <w:tcW w:w="1581" w:type="dxa"/>
            <w:shd w:val="clear" w:color="auto" w:fill="FFFFFF" w:themeFill="background1"/>
            <w:noWrap/>
            <w:vAlign w:val="center"/>
            <w:hideMark/>
          </w:tcPr>
          <w:p w14:paraId="29FF2AB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26°49'51.65"S</w:t>
            </w:r>
          </w:p>
        </w:tc>
        <w:tc>
          <w:tcPr>
            <w:tcW w:w="1701" w:type="dxa"/>
            <w:gridSpan w:val="2"/>
            <w:shd w:val="clear" w:color="auto" w:fill="FFFFFF" w:themeFill="background1"/>
            <w:noWrap/>
            <w:vAlign w:val="center"/>
            <w:hideMark/>
          </w:tcPr>
          <w:p w14:paraId="3D17925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 7'57.48"O</w:t>
            </w:r>
          </w:p>
        </w:tc>
        <w:tc>
          <w:tcPr>
            <w:tcW w:w="1134" w:type="dxa"/>
            <w:shd w:val="clear" w:color="auto" w:fill="FFFFFF" w:themeFill="background1"/>
            <w:noWrap/>
            <w:vAlign w:val="center"/>
            <w:hideMark/>
          </w:tcPr>
          <w:p w14:paraId="4C54F85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453</w:t>
            </w:r>
          </w:p>
        </w:tc>
        <w:tc>
          <w:tcPr>
            <w:tcW w:w="1869" w:type="dxa"/>
            <w:shd w:val="clear" w:color="auto" w:fill="FFFFFF" w:themeFill="background1"/>
            <w:noWrap/>
            <w:vAlign w:val="center"/>
            <w:hideMark/>
          </w:tcPr>
          <w:p w14:paraId="72C8871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Cunha Porã</w:t>
            </w:r>
          </w:p>
        </w:tc>
        <w:tc>
          <w:tcPr>
            <w:tcW w:w="1276" w:type="dxa"/>
            <w:shd w:val="clear" w:color="auto" w:fill="FFFFFF" w:themeFill="background1"/>
            <w:noWrap/>
            <w:vAlign w:val="center"/>
            <w:hideMark/>
          </w:tcPr>
          <w:p w14:paraId="11F4250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701" w:type="dxa"/>
            <w:shd w:val="clear" w:color="auto" w:fill="FFFFFF" w:themeFill="background1"/>
            <w:noWrap/>
            <w:vAlign w:val="center"/>
            <w:hideMark/>
          </w:tcPr>
          <w:p w14:paraId="5E3D27B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6B29EE8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42B0705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45574763" w14:textId="77777777" w:rsidTr="00D74DA1">
        <w:trPr>
          <w:trHeight w:val="300"/>
        </w:trPr>
        <w:tc>
          <w:tcPr>
            <w:tcW w:w="1134" w:type="dxa"/>
            <w:shd w:val="clear" w:color="auto" w:fill="FFFFFF" w:themeFill="background1"/>
            <w:noWrap/>
            <w:vAlign w:val="center"/>
            <w:hideMark/>
          </w:tcPr>
          <w:p w14:paraId="143CE4E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w:t>
            </w:r>
          </w:p>
        </w:tc>
        <w:tc>
          <w:tcPr>
            <w:tcW w:w="1581" w:type="dxa"/>
            <w:shd w:val="clear" w:color="auto" w:fill="FFFFFF" w:themeFill="background1"/>
            <w:noWrap/>
            <w:vAlign w:val="center"/>
            <w:hideMark/>
          </w:tcPr>
          <w:p w14:paraId="7F26041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27°24'48.92"S</w:t>
            </w:r>
          </w:p>
        </w:tc>
        <w:tc>
          <w:tcPr>
            <w:tcW w:w="1701" w:type="dxa"/>
            <w:gridSpan w:val="2"/>
            <w:shd w:val="clear" w:color="auto" w:fill="FFFFFF" w:themeFill="background1"/>
            <w:noWrap/>
            <w:vAlign w:val="center"/>
            <w:hideMark/>
          </w:tcPr>
          <w:p w14:paraId="70791EC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49°38'56.32"O</w:t>
            </w:r>
          </w:p>
        </w:tc>
        <w:tc>
          <w:tcPr>
            <w:tcW w:w="1134" w:type="dxa"/>
            <w:shd w:val="clear" w:color="auto" w:fill="FFFFFF" w:themeFill="background1"/>
            <w:noWrap/>
            <w:vAlign w:val="center"/>
            <w:hideMark/>
          </w:tcPr>
          <w:p w14:paraId="719ED2D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468</w:t>
            </w:r>
          </w:p>
        </w:tc>
        <w:tc>
          <w:tcPr>
            <w:tcW w:w="1869" w:type="dxa"/>
            <w:shd w:val="clear" w:color="auto" w:fill="FFFFFF" w:themeFill="background1"/>
            <w:noWrap/>
            <w:vAlign w:val="center"/>
            <w:hideMark/>
          </w:tcPr>
          <w:p w14:paraId="750C845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Ituporanga</w:t>
            </w:r>
          </w:p>
        </w:tc>
        <w:tc>
          <w:tcPr>
            <w:tcW w:w="1276" w:type="dxa"/>
            <w:shd w:val="clear" w:color="auto" w:fill="FFFFFF" w:themeFill="background1"/>
            <w:noWrap/>
            <w:vAlign w:val="center"/>
            <w:hideMark/>
          </w:tcPr>
          <w:p w14:paraId="7C3EA50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701" w:type="dxa"/>
            <w:shd w:val="clear" w:color="auto" w:fill="FFFFFF" w:themeFill="background1"/>
            <w:noWrap/>
            <w:vAlign w:val="center"/>
            <w:hideMark/>
          </w:tcPr>
          <w:p w14:paraId="0A4E9F4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BS1558 IPRO</w:t>
            </w:r>
          </w:p>
        </w:tc>
        <w:tc>
          <w:tcPr>
            <w:tcW w:w="1276" w:type="dxa"/>
            <w:shd w:val="clear" w:color="auto" w:fill="FFFFFF" w:themeFill="background1"/>
            <w:noWrap/>
            <w:vAlign w:val="center"/>
            <w:hideMark/>
          </w:tcPr>
          <w:p w14:paraId="0541C35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46EE76F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629ED816" w14:textId="77777777" w:rsidTr="00D74DA1">
        <w:trPr>
          <w:trHeight w:val="300"/>
        </w:trPr>
        <w:tc>
          <w:tcPr>
            <w:tcW w:w="1134" w:type="dxa"/>
            <w:shd w:val="clear" w:color="auto" w:fill="FFFFFF" w:themeFill="background1"/>
            <w:noWrap/>
            <w:vAlign w:val="center"/>
            <w:hideMark/>
          </w:tcPr>
          <w:p w14:paraId="405A706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w:t>
            </w:r>
          </w:p>
        </w:tc>
        <w:tc>
          <w:tcPr>
            <w:tcW w:w="1581" w:type="dxa"/>
            <w:shd w:val="clear" w:color="auto" w:fill="FFFFFF" w:themeFill="background1"/>
            <w:noWrap/>
            <w:vAlign w:val="center"/>
            <w:hideMark/>
          </w:tcPr>
          <w:p w14:paraId="6896747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26°47'57.51"S</w:t>
            </w:r>
          </w:p>
        </w:tc>
        <w:tc>
          <w:tcPr>
            <w:tcW w:w="1701" w:type="dxa"/>
            <w:gridSpan w:val="2"/>
            <w:shd w:val="clear" w:color="auto" w:fill="FFFFFF" w:themeFill="background1"/>
            <w:noWrap/>
            <w:vAlign w:val="center"/>
            <w:hideMark/>
          </w:tcPr>
          <w:p w14:paraId="6EFF8FD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53°18'26.13"O</w:t>
            </w:r>
          </w:p>
        </w:tc>
        <w:tc>
          <w:tcPr>
            <w:tcW w:w="1134" w:type="dxa"/>
            <w:shd w:val="clear" w:color="auto" w:fill="FFFFFF" w:themeFill="background1"/>
            <w:noWrap/>
            <w:vAlign w:val="center"/>
            <w:hideMark/>
          </w:tcPr>
          <w:p w14:paraId="5D3D057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485</w:t>
            </w:r>
          </w:p>
        </w:tc>
        <w:tc>
          <w:tcPr>
            <w:tcW w:w="1869" w:type="dxa"/>
            <w:shd w:val="clear" w:color="auto" w:fill="FFFFFF" w:themeFill="background1"/>
            <w:noWrap/>
            <w:vAlign w:val="center"/>
            <w:hideMark/>
          </w:tcPr>
          <w:p w14:paraId="090682A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Iraceminha</w:t>
            </w:r>
          </w:p>
        </w:tc>
        <w:tc>
          <w:tcPr>
            <w:tcW w:w="1276" w:type="dxa"/>
            <w:shd w:val="clear" w:color="auto" w:fill="FFFFFF" w:themeFill="background1"/>
            <w:noWrap/>
            <w:vAlign w:val="center"/>
            <w:hideMark/>
          </w:tcPr>
          <w:p w14:paraId="59CF799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701" w:type="dxa"/>
            <w:shd w:val="clear" w:color="auto" w:fill="FFFFFF" w:themeFill="background1"/>
            <w:noWrap/>
            <w:vAlign w:val="center"/>
            <w:hideMark/>
          </w:tcPr>
          <w:p w14:paraId="07787AC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340B3E3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R5.3</w:t>
            </w:r>
          </w:p>
        </w:tc>
        <w:tc>
          <w:tcPr>
            <w:tcW w:w="1559" w:type="dxa"/>
            <w:shd w:val="clear" w:color="auto" w:fill="FFFFFF" w:themeFill="background1"/>
            <w:vAlign w:val="center"/>
          </w:tcPr>
          <w:p w14:paraId="2E5DE17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590D5861" w14:textId="77777777" w:rsidTr="00D74DA1">
        <w:trPr>
          <w:trHeight w:val="300"/>
        </w:trPr>
        <w:tc>
          <w:tcPr>
            <w:tcW w:w="1134" w:type="dxa"/>
            <w:shd w:val="clear" w:color="auto" w:fill="FFFFFF" w:themeFill="background1"/>
            <w:noWrap/>
            <w:vAlign w:val="center"/>
            <w:hideMark/>
          </w:tcPr>
          <w:p w14:paraId="02D49FA2" w14:textId="77777777" w:rsidR="00362172" w:rsidRPr="00362172" w:rsidRDefault="00362172" w:rsidP="00362172">
            <w:pPr>
              <w:autoSpaceDE/>
              <w:autoSpaceDN/>
              <w:adjustRightInd/>
              <w:spacing w:after="0" w:line="240" w:lineRule="auto"/>
              <w:ind w:left="-68" w:firstLine="0"/>
              <w:jc w:val="center"/>
              <w:rPr>
                <w:rFonts w:eastAsia="Times New Roman"/>
                <w:color w:val="000000"/>
                <w:sz w:val="20"/>
                <w:szCs w:val="20"/>
                <w:lang w:eastAsia="pt-BR"/>
              </w:rPr>
            </w:pPr>
            <w:r w:rsidRPr="00362172">
              <w:rPr>
                <w:rFonts w:eastAsia="Times New Roman"/>
                <w:color w:val="000000"/>
                <w:sz w:val="20"/>
                <w:szCs w:val="20"/>
                <w:lang w:eastAsia="pt-BR"/>
              </w:rPr>
              <w:t>6</w:t>
            </w:r>
          </w:p>
        </w:tc>
        <w:tc>
          <w:tcPr>
            <w:tcW w:w="1581" w:type="dxa"/>
            <w:shd w:val="clear" w:color="auto" w:fill="FFFFFF" w:themeFill="background1"/>
            <w:noWrap/>
            <w:vAlign w:val="center"/>
            <w:hideMark/>
          </w:tcPr>
          <w:p w14:paraId="31FCC2F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26°49'48.26"S</w:t>
            </w:r>
          </w:p>
        </w:tc>
        <w:tc>
          <w:tcPr>
            <w:tcW w:w="1701" w:type="dxa"/>
            <w:gridSpan w:val="2"/>
            <w:shd w:val="clear" w:color="auto" w:fill="FFFFFF" w:themeFill="background1"/>
            <w:noWrap/>
            <w:vAlign w:val="center"/>
            <w:hideMark/>
          </w:tcPr>
          <w:p w14:paraId="48CFA77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 4'25.01"O</w:t>
            </w:r>
          </w:p>
        </w:tc>
        <w:tc>
          <w:tcPr>
            <w:tcW w:w="1134" w:type="dxa"/>
            <w:shd w:val="clear" w:color="auto" w:fill="FFFFFF" w:themeFill="background1"/>
            <w:noWrap/>
            <w:vAlign w:val="center"/>
            <w:hideMark/>
          </w:tcPr>
          <w:p w14:paraId="615954A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496</w:t>
            </w:r>
          </w:p>
        </w:tc>
        <w:tc>
          <w:tcPr>
            <w:tcW w:w="1869" w:type="dxa"/>
            <w:shd w:val="clear" w:color="auto" w:fill="FFFFFF" w:themeFill="background1"/>
            <w:noWrap/>
            <w:vAlign w:val="center"/>
            <w:hideMark/>
          </w:tcPr>
          <w:p w14:paraId="3B1085B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Cunha Porã</w:t>
            </w:r>
          </w:p>
        </w:tc>
        <w:tc>
          <w:tcPr>
            <w:tcW w:w="1276" w:type="dxa"/>
            <w:shd w:val="clear" w:color="auto" w:fill="FFFFFF" w:themeFill="background1"/>
            <w:noWrap/>
            <w:vAlign w:val="center"/>
            <w:hideMark/>
          </w:tcPr>
          <w:p w14:paraId="03E7C16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701" w:type="dxa"/>
            <w:shd w:val="clear" w:color="auto" w:fill="FFFFFF" w:themeFill="background1"/>
            <w:noWrap/>
            <w:vAlign w:val="center"/>
            <w:hideMark/>
          </w:tcPr>
          <w:p w14:paraId="6CF2B40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35F0575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605286E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3010FFEE" w14:textId="77777777" w:rsidTr="00D74DA1">
        <w:trPr>
          <w:trHeight w:val="300"/>
        </w:trPr>
        <w:tc>
          <w:tcPr>
            <w:tcW w:w="1134" w:type="dxa"/>
            <w:shd w:val="clear" w:color="auto" w:fill="FFFFFF" w:themeFill="background1"/>
            <w:noWrap/>
            <w:vAlign w:val="center"/>
            <w:hideMark/>
          </w:tcPr>
          <w:p w14:paraId="700457A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w:t>
            </w:r>
          </w:p>
        </w:tc>
        <w:tc>
          <w:tcPr>
            <w:tcW w:w="1581" w:type="dxa"/>
            <w:shd w:val="clear" w:color="auto" w:fill="FFFFFF" w:themeFill="background1"/>
            <w:noWrap/>
            <w:vAlign w:val="center"/>
            <w:hideMark/>
          </w:tcPr>
          <w:p w14:paraId="71A2A5E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26°52'40.81"S</w:t>
            </w:r>
          </w:p>
        </w:tc>
        <w:tc>
          <w:tcPr>
            <w:tcW w:w="1701" w:type="dxa"/>
            <w:gridSpan w:val="2"/>
            <w:shd w:val="clear" w:color="auto" w:fill="FFFFFF" w:themeFill="background1"/>
            <w:noWrap/>
            <w:vAlign w:val="center"/>
            <w:hideMark/>
          </w:tcPr>
          <w:p w14:paraId="07C2CC9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52°57'10.25"O</w:t>
            </w:r>
          </w:p>
        </w:tc>
        <w:tc>
          <w:tcPr>
            <w:tcW w:w="1134" w:type="dxa"/>
            <w:shd w:val="clear" w:color="auto" w:fill="FFFFFF" w:themeFill="background1"/>
            <w:noWrap/>
            <w:vAlign w:val="center"/>
            <w:hideMark/>
          </w:tcPr>
          <w:p w14:paraId="573039B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519</w:t>
            </w:r>
          </w:p>
        </w:tc>
        <w:tc>
          <w:tcPr>
            <w:tcW w:w="1869" w:type="dxa"/>
            <w:shd w:val="clear" w:color="auto" w:fill="FFFFFF" w:themeFill="background1"/>
            <w:noWrap/>
            <w:vAlign w:val="center"/>
            <w:hideMark/>
          </w:tcPr>
          <w:p w14:paraId="7023E2E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Pinhalzinho</w:t>
            </w:r>
          </w:p>
        </w:tc>
        <w:tc>
          <w:tcPr>
            <w:tcW w:w="1276" w:type="dxa"/>
            <w:shd w:val="clear" w:color="auto" w:fill="FFFFFF" w:themeFill="background1"/>
            <w:noWrap/>
            <w:vAlign w:val="center"/>
            <w:hideMark/>
          </w:tcPr>
          <w:p w14:paraId="2BC55AB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701" w:type="dxa"/>
            <w:shd w:val="clear" w:color="auto" w:fill="FFFFFF" w:themeFill="background1"/>
            <w:noWrap/>
            <w:vAlign w:val="center"/>
            <w:hideMark/>
          </w:tcPr>
          <w:p w14:paraId="4D35F65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2A3976D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R5.5</w:t>
            </w:r>
          </w:p>
        </w:tc>
        <w:tc>
          <w:tcPr>
            <w:tcW w:w="1559" w:type="dxa"/>
            <w:shd w:val="clear" w:color="auto" w:fill="FFFFFF" w:themeFill="background1"/>
            <w:vAlign w:val="center"/>
          </w:tcPr>
          <w:p w14:paraId="79904E1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40BED2FB" w14:textId="77777777" w:rsidTr="00D74DA1">
        <w:trPr>
          <w:trHeight w:val="300"/>
        </w:trPr>
        <w:tc>
          <w:tcPr>
            <w:tcW w:w="1134" w:type="dxa"/>
            <w:shd w:val="clear" w:color="auto" w:fill="FFFFFF" w:themeFill="background1"/>
            <w:noWrap/>
            <w:vAlign w:val="center"/>
            <w:hideMark/>
          </w:tcPr>
          <w:p w14:paraId="1737283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w:t>
            </w:r>
          </w:p>
        </w:tc>
        <w:tc>
          <w:tcPr>
            <w:tcW w:w="1581" w:type="dxa"/>
            <w:shd w:val="clear" w:color="auto" w:fill="FFFFFF" w:themeFill="background1"/>
            <w:noWrap/>
            <w:vAlign w:val="center"/>
            <w:hideMark/>
          </w:tcPr>
          <w:p w14:paraId="3A0E051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26°49'1.70"S</w:t>
            </w:r>
          </w:p>
        </w:tc>
        <w:tc>
          <w:tcPr>
            <w:tcW w:w="1701" w:type="dxa"/>
            <w:gridSpan w:val="2"/>
            <w:shd w:val="clear" w:color="auto" w:fill="FFFFFF" w:themeFill="background1"/>
            <w:noWrap/>
            <w:vAlign w:val="center"/>
            <w:hideMark/>
          </w:tcPr>
          <w:p w14:paraId="46E6380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 9'39.31"O</w:t>
            </w:r>
          </w:p>
        </w:tc>
        <w:tc>
          <w:tcPr>
            <w:tcW w:w="1134" w:type="dxa"/>
            <w:shd w:val="clear" w:color="auto" w:fill="FFFFFF" w:themeFill="background1"/>
            <w:noWrap/>
            <w:vAlign w:val="center"/>
            <w:hideMark/>
          </w:tcPr>
          <w:p w14:paraId="08FFEA8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528</w:t>
            </w:r>
          </w:p>
        </w:tc>
        <w:tc>
          <w:tcPr>
            <w:tcW w:w="1869" w:type="dxa"/>
            <w:shd w:val="clear" w:color="auto" w:fill="FFFFFF" w:themeFill="background1"/>
            <w:noWrap/>
            <w:vAlign w:val="center"/>
            <w:hideMark/>
          </w:tcPr>
          <w:p w14:paraId="5CD577F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Cunha Porã</w:t>
            </w:r>
          </w:p>
        </w:tc>
        <w:tc>
          <w:tcPr>
            <w:tcW w:w="1276" w:type="dxa"/>
            <w:shd w:val="clear" w:color="auto" w:fill="FFFFFF" w:themeFill="background1"/>
            <w:noWrap/>
            <w:vAlign w:val="center"/>
            <w:hideMark/>
          </w:tcPr>
          <w:p w14:paraId="0469062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701" w:type="dxa"/>
            <w:shd w:val="clear" w:color="auto" w:fill="FFFFFF" w:themeFill="background1"/>
            <w:noWrap/>
            <w:vAlign w:val="center"/>
            <w:hideMark/>
          </w:tcPr>
          <w:p w14:paraId="4C1E709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46D344C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3203396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24B13184" w14:textId="77777777" w:rsidTr="00D74DA1">
        <w:trPr>
          <w:trHeight w:val="300"/>
        </w:trPr>
        <w:tc>
          <w:tcPr>
            <w:tcW w:w="1134" w:type="dxa"/>
            <w:shd w:val="clear" w:color="auto" w:fill="FFFFFF" w:themeFill="background1"/>
            <w:noWrap/>
            <w:vAlign w:val="center"/>
            <w:hideMark/>
          </w:tcPr>
          <w:p w14:paraId="73B0AC7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w:t>
            </w:r>
          </w:p>
        </w:tc>
        <w:tc>
          <w:tcPr>
            <w:tcW w:w="1581" w:type="dxa"/>
            <w:shd w:val="clear" w:color="auto" w:fill="FFFFFF" w:themeFill="background1"/>
            <w:noWrap/>
            <w:vAlign w:val="center"/>
            <w:hideMark/>
          </w:tcPr>
          <w:p w14:paraId="5BD6384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 8'6.13"S</w:t>
            </w:r>
          </w:p>
        </w:tc>
        <w:tc>
          <w:tcPr>
            <w:tcW w:w="1701" w:type="dxa"/>
            <w:gridSpan w:val="2"/>
            <w:shd w:val="clear" w:color="auto" w:fill="FFFFFF" w:themeFill="background1"/>
            <w:noWrap/>
            <w:vAlign w:val="center"/>
            <w:hideMark/>
          </w:tcPr>
          <w:p w14:paraId="443A328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52°33'6.72"O</w:t>
            </w:r>
          </w:p>
        </w:tc>
        <w:tc>
          <w:tcPr>
            <w:tcW w:w="1134" w:type="dxa"/>
            <w:shd w:val="clear" w:color="auto" w:fill="FFFFFF" w:themeFill="background1"/>
            <w:noWrap/>
            <w:vAlign w:val="center"/>
            <w:hideMark/>
          </w:tcPr>
          <w:p w14:paraId="07B1D92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530</w:t>
            </w:r>
          </w:p>
        </w:tc>
        <w:tc>
          <w:tcPr>
            <w:tcW w:w="1869" w:type="dxa"/>
            <w:shd w:val="clear" w:color="auto" w:fill="FFFFFF" w:themeFill="background1"/>
            <w:noWrap/>
            <w:vAlign w:val="center"/>
            <w:hideMark/>
          </w:tcPr>
          <w:p w14:paraId="4CE4CB7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Chapecó</w:t>
            </w:r>
          </w:p>
        </w:tc>
        <w:tc>
          <w:tcPr>
            <w:tcW w:w="1276" w:type="dxa"/>
            <w:shd w:val="clear" w:color="auto" w:fill="FFFFFF" w:themeFill="background1"/>
            <w:noWrap/>
            <w:vAlign w:val="center"/>
            <w:hideMark/>
          </w:tcPr>
          <w:p w14:paraId="005F733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20/03/2018</w:t>
            </w:r>
          </w:p>
        </w:tc>
        <w:tc>
          <w:tcPr>
            <w:tcW w:w="1701" w:type="dxa"/>
            <w:shd w:val="clear" w:color="auto" w:fill="FFFFFF" w:themeFill="background1"/>
            <w:noWrap/>
            <w:vAlign w:val="center"/>
            <w:hideMark/>
          </w:tcPr>
          <w:p w14:paraId="68D3178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AS3570 IPRO</w:t>
            </w:r>
          </w:p>
        </w:tc>
        <w:tc>
          <w:tcPr>
            <w:tcW w:w="1276" w:type="dxa"/>
            <w:shd w:val="clear" w:color="auto" w:fill="FFFFFF" w:themeFill="background1"/>
            <w:noWrap/>
            <w:vAlign w:val="center"/>
            <w:hideMark/>
          </w:tcPr>
          <w:p w14:paraId="0539C7F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vAlign w:val="center"/>
          </w:tcPr>
          <w:p w14:paraId="14B952F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582F702E" w14:textId="77777777" w:rsidTr="00D74DA1">
        <w:trPr>
          <w:trHeight w:val="300"/>
        </w:trPr>
        <w:tc>
          <w:tcPr>
            <w:tcW w:w="1134" w:type="dxa"/>
            <w:shd w:val="clear" w:color="auto" w:fill="FFFFFF" w:themeFill="background1"/>
            <w:noWrap/>
            <w:vAlign w:val="center"/>
            <w:hideMark/>
          </w:tcPr>
          <w:p w14:paraId="3CC54F9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10</w:t>
            </w:r>
          </w:p>
        </w:tc>
        <w:tc>
          <w:tcPr>
            <w:tcW w:w="1581" w:type="dxa"/>
            <w:shd w:val="clear" w:color="auto" w:fill="FFFFFF" w:themeFill="background1"/>
            <w:noWrap/>
            <w:vAlign w:val="center"/>
            <w:hideMark/>
          </w:tcPr>
          <w:p w14:paraId="788C693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27°25'7.60"S</w:t>
            </w:r>
          </w:p>
        </w:tc>
        <w:tc>
          <w:tcPr>
            <w:tcW w:w="1701" w:type="dxa"/>
            <w:gridSpan w:val="2"/>
            <w:shd w:val="clear" w:color="auto" w:fill="FFFFFF" w:themeFill="background1"/>
            <w:noWrap/>
            <w:vAlign w:val="center"/>
            <w:hideMark/>
          </w:tcPr>
          <w:p w14:paraId="3DAD56B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49°43'10.80"O</w:t>
            </w:r>
          </w:p>
        </w:tc>
        <w:tc>
          <w:tcPr>
            <w:tcW w:w="1134" w:type="dxa"/>
            <w:shd w:val="clear" w:color="auto" w:fill="FFFFFF" w:themeFill="background1"/>
            <w:noWrap/>
            <w:vAlign w:val="center"/>
            <w:hideMark/>
          </w:tcPr>
          <w:p w14:paraId="3DE5A94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533</w:t>
            </w:r>
          </w:p>
        </w:tc>
        <w:tc>
          <w:tcPr>
            <w:tcW w:w="1869" w:type="dxa"/>
            <w:shd w:val="clear" w:color="auto" w:fill="FFFFFF" w:themeFill="background1"/>
            <w:noWrap/>
            <w:vAlign w:val="center"/>
            <w:hideMark/>
          </w:tcPr>
          <w:p w14:paraId="2E9C55C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Atalanta</w:t>
            </w:r>
          </w:p>
        </w:tc>
        <w:tc>
          <w:tcPr>
            <w:tcW w:w="1276" w:type="dxa"/>
            <w:shd w:val="clear" w:color="auto" w:fill="FFFFFF" w:themeFill="background1"/>
            <w:noWrap/>
            <w:vAlign w:val="center"/>
            <w:hideMark/>
          </w:tcPr>
          <w:p w14:paraId="3E944BC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701" w:type="dxa"/>
            <w:shd w:val="clear" w:color="auto" w:fill="FFFFFF" w:themeFill="background1"/>
            <w:noWrap/>
            <w:vAlign w:val="center"/>
            <w:hideMark/>
          </w:tcPr>
          <w:p w14:paraId="5A2ADA0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Alvo RR</w:t>
            </w:r>
          </w:p>
        </w:tc>
        <w:tc>
          <w:tcPr>
            <w:tcW w:w="1276" w:type="dxa"/>
            <w:shd w:val="clear" w:color="auto" w:fill="FFFFFF" w:themeFill="background1"/>
            <w:noWrap/>
            <w:vAlign w:val="center"/>
            <w:hideMark/>
          </w:tcPr>
          <w:p w14:paraId="38FAC06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06B4911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450C5701" w14:textId="77777777" w:rsidTr="00D74DA1">
        <w:trPr>
          <w:trHeight w:val="300"/>
        </w:trPr>
        <w:tc>
          <w:tcPr>
            <w:tcW w:w="1134" w:type="dxa"/>
            <w:shd w:val="clear" w:color="auto" w:fill="FFFFFF" w:themeFill="background1"/>
            <w:noWrap/>
            <w:vAlign w:val="center"/>
            <w:hideMark/>
          </w:tcPr>
          <w:p w14:paraId="2EEF777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11</w:t>
            </w:r>
          </w:p>
        </w:tc>
        <w:tc>
          <w:tcPr>
            <w:tcW w:w="1581" w:type="dxa"/>
            <w:shd w:val="clear" w:color="auto" w:fill="FFFFFF" w:themeFill="background1"/>
            <w:noWrap/>
            <w:vAlign w:val="center"/>
            <w:hideMark/>
          </w:tcPr>
          <w:p w14:paraId="33C6F98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27°30'59.30"S</w:t>
            </w:r>
          </w:p>
        </w:tc>
        <w:tc>
          <w:tcPr>
            <w:tcW w:w="1701" w:type="dxa"/>
            <w:gridSpan w:val="2"/>
            <w:shd w:val="clear" w:color="auto" w:fill="FFFFFF" w:themeFill="background1"/>
            <w:noWrap/>
            <w:vAlign w:val="center"/>
            <w:hideMark/>
          </w:tcPr>
          <w:p w14:paraId="735EAB9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49°30'38.70"O</w:t>
            </w:r>
          </w:p>
        </w:tc>
        <w:tc>
          <w:tcPr>
            <w:tcW w:w="1134" w:type="dxa"/>
            <w:shd w:val="clear" w:color="auto" w:fill="FFFFFF" w:themeFill="background1"/>
            <w:noWrap/>
            <w:vAlign w:val="center"/>
            <w:hideMark/>
          </w:tcPr>
          <w:p w14:paraId="11E8D47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534</w:t>
            </w:r>
          </w:p>
        </w:tc>
        <w:tc>
          <w:tcPr>
            <w:tcW w:w="1869" w:type="dxa"/>
            <w:shd w:val="clear" w:color="auto" w:fill="FFFFFF" w:themeFill="background1"/>
            <w:noWrap/>
            <w:vAlign w:val="center"/>
            <w:hideMark/>
          </w:tcPr>
          <w:p w14:paraId="2C2C67C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Ituporanga</w:t>
            </w:r>
          </w:p>
        </w:tc>
        <w:tc>
          <w:tcPr>
            <w:tcW w:w="1276" w:type="dxa"/>
            <w:shd w:val="clear" w:color="auto" w:fill="FFFFFF" w:themeFill="background1"/>
            <w:noWrap/>
            <w:vAlign w:val="center"/>
            <w:hideMark/>
          </w:tcPr>
          <w:p w14:paraId="3E96D34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701" w:type="dxa"/>
            <w:shd w:val="clear" w:color="auto" w:fill="FFFFFF" w:themeFill="background1"/>
            <w:noWrap/>
            <w:vAlign w:val="center"/>
            <w:hideMark/>
          </w:tcPr>
          <w:p w14:paraId="3B34204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59C7740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53BAEC6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74936A9B" w14:textId="77777777" w:rsidTr="00D74DA1">
        <w:trPr>
          <w:trHeight w:val="300"/>
        </w:trPr>
        <w:tc>
          <w:tcPr>
            <w:tcW w:w="1134" w:type="dxa"/>
            <w:shd w:val="clear" w:color="auto" w:fill="FFFFFF" w:themeFill="background1"/>
            <w:noWrap/>
            <w:vAlign w:val="center"/>
            <w:hideMark/>
          </w:tcPr>
          <w:p w14:paraId="0572998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w:t>
            </w:r>
          </w:p>
        </w:tc>
        <w:tc>
          <w:tcPr>
            <w:tcW w:w="1581" w:type="dxa"/>
            <w:shd w:val="clear" w:color="auto" w:fill="FFFFFF" w:themeFill="background1"/>
            <w:noWrap/>
            <w:vAlign w:val="center"/>
            <w:hideMark/>
          </w:tcPr>
          <w:p w14:paraId="1879AE6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27°28'6.80"S</w:t>
            </w:r>
          </w:p>
        </w:tc>
        <w:tc>
          <w:tcPr>
            <w:tcW w:w="1701" w:type="dxa"/>
            <w:gridSpan w:val="2"/>
            <w:shd w:val="clear" w:color="auto" w:fill="FFFFFF" w:themeFill="background1"/>
            <w:noWrap/>
            <w:vAlign w:val="center"/>
            <w:hideMark/>
          </w:tcPr>
          <w:p w14:paraId="0F24B31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49°42'39.90"O</w:t>
            </w:r>
          </w:p>
        </w:tc>
        <w:tc>
          <w:tcPr>
            <w:tcW w:w="1134" w:type="dxa"/>
            <w:shd w:val="clear" w:color="auto" w:fill="FFFFFF" w:themeFill="background1"/>
            <w:noWrap/>
            <w:vAlign w:val="center"/>
            <w:hideMark/>
          </w:tcPr>
          <w:p w14:paraId="0DF7FF2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541</w:t>
            </w:r>
          </w:p>
        </w:tc>
        <w:tc>
          <w:tcPr>
            <w:tcW w:w="1869" w:type="dxa"/>
            <w:shd w:val="clear" w:color="auto" w:fill="FFFFFF" w:themeFill="background1"/>
            <w:noWrap/>
            <w:vAlign w:val="center"/>
            <w:hideMark/>
          </w:tcPr>
          <w:p w14:paraId="7E046E0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Petrolândia</w:t>
            </w:r>
          </w:p>
        </w:tc>
        <w:tc>
          <w:tcPr>
            <w:tcW w:w="1276" w:type="dxa"/>
            <w:shd w:val="clear" w:color="auto" w:fill="FFFFFF" w:themeFill="background1"/>
            <w:noWrap/>
            <w:vAlign w:val="center"/>
            <w:hideMark/>
          </w:tcPr>
          <w:p w14:paraId="0AFE143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701" w:type="dxa"/>
            <w:shd w:val="clear" w:color="auto" w:fill="FFFFFF" w:themeFill="background1"/>
            <w:noWrap/>
            <w:vAlign w:val="center"/>
            <w:hideMark/>
          </w:tcPr>
          <w:p w14:paraId="5059ECE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Alvo RR</w:t>
            </w:r>
          </w:p>
        </w:tc>
        <w:tc>
          <w:tcPr>
            <w:tcW w:w="1276" w:type="dxa"/>
            <w:shd w:val="clear" w:color="auto" w:fill="FFFFFF" w:themeFill="background1"/>
            <w:noWrap/>
            <w:vAlign w:val="center"/>
            <w:hideMark/>
          </w:tcPr>
          <w:p w14:paraId="24E3185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372A809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2609A5BD" w14:textId="77777777" w:rsidTr="00D74DA1">
        <w:trPr>
          <w:trHeight w:val="300"/>
        </w:trPr>
        <w:tc>
          <w:tcPr>
            <w:tcW w:w="1134" w:type="dxa"/>
            <w:shd w:val="clear" w:color="auto" w:fill="FFFFFF" w:themeFill="background1"/>
            <w:noWrap/>
            <w:vAlign w:val="center"/>
            <w:hideMark/>
          </w:tcPr>
          <w:p w14:paraId="566DA90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13</w:t>
            </w:r>
          </w:p>
        </w:tc>
        <w:tc>
          <w:tcPr>
            <w:tcW w:w="1581" w:type="dxa"/>
            <w:shd w:val="clear" w:color="auto" w:fill="FFFFFF" w:themeFill="background1"/>
            <w:noWrap/>
            <w:vAlign w:val="center"/>
            <w:hideMark/>
          </w:tcPr>
          <w:p w14:paraId="47FA60F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27°23'14.89"S</w:t>
            </w:r>
          </w:p>
        </w:tc>
        <w:tc>
          <w:tcPr>
            <w:tcW w:w="1701" w:type="dxa"/>
            <w:gridSpan w:val="2"/>
            <w:shd w:val="clear" w:color="auto" w:fill="FFFFFF" w:themeFill="background1"/>
            <w:noWrap/>
            <w:vAlign w:val="center"/>
            <w:hideMark/>
          </w:tcPr>
          <w:p w14:paraId="6B669B0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49°42'3.10"O</w:t>
            </w:r>
          </w:p>
        </w:tc>
        <w:tc>
          <w:tcPr>
            <w:tcW w:w="1134" w:type="dxa"/>
            <w:shd w:val="clear" w:color="auto" w:fill="FFFFFF" w:themeFill="background1"/>
            <w:noWrap/>
            <w:vAlign w:val="center"/>
            <w:hideMark/>
          </w:tcPr>
          <w:p w14:paraId="5A56375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565</w:t>
            </w:r>
          </w:p>
        </w:tc>
        <w:tc>
          <w:tcPr>
            <w:tcW w:w="1869" w:type="dxa"/>
            <w:shd w:val="clear" w:color="auto" w:fill="FFFFFF" w:themeFill="background1"/>
            <w:noWrap/>
            <w:vAlign w:val="center"/>
            <w:hideMark/>
          </w:tcPr>
          <w:p w14:paraId="38957EF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Ituporanga</w:t>
            </w:r>
          </w:p>
        </w:tc>
        <w:tc>
          <w:tcPr>
            <w:tcW w:w="1276" w:type="dxa"/>
            <w:shd w:val="clear" w:color="auto" w:fill="FFFFFF" w:themeFill="background1"/>
            <w:noWrap/>
            <w:vAlign w:val="center"/>
            <w:hideMark/>
          </w:tcPr>
          <w:p w14:paraId="5A3571D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701" w:type="dxa"/>
            <w:shd w:val="clear" w:color="auto" w:fill="FFFFFF" w:themeFill="background1"/>
            <w:noWrap/>
            <w:vAlign w:val="center"/>
            <w:hideMark/>
          </w:tcPr>
          <w:p w14:paraId="4F5D65A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Alvo RR</w:t>
            </w:r>
          </w:p>
        </w:tc>
        <w:tc>
          <w:tcPr>
            <w:tcW w:w="1276" w:type="dxa"/>
            <w:shd w:val="clear" w:color="auto" w:fill="FFFFFF" w:themeFill="background1"/>
            <w:noWrap/>
            <w:vAlign w:val="center"/>
            <w:hideMark/>
          </w:tcPr>
          <w:p w14:paraId="4D12818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59FEFBA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386B268C" w14:textId="77777777" w:rsidTr="00D74DA1">
        <w:trPr>
          <w:trHeight w:val="300"/>
        </w:trPr>
        <w:tc>
          <w:tcPr>
            <w:tcW w:w="1134" w:type="dxa"/>
            <w:shd w:val="clear" w:color="auto" w:fill="FFFFFF" w:themeFill="background1"/>
            <w:noWrap/>
            <w:vAlign w:val="center"/>
            <w:hideMark/>
          </w:tcPr>
          <w:p w14:paraId="5B281C9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14</w:t>
            </w:r>
          </w:p>
        </w:tc>
        <w:tc>
          <w:tcPr>
            <w:tcW w:w="1581" w:type="dxa"/>
            <w:shd w:val="clear" w:color="auto" w:fill="FFFFFF" w:themeFill="background1"/>
            <w:noWrap/>
            <w:vAlign w:val="center"/>
            <w:hideMark/>
          </w:tcPr>
          <w:p w14:paraId="2CDE0AB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27°25'16.74"S</w:t>
            </w:r>
          </w:p>
        </w:tc>
        <w:tc>
          <w:tcPr>
            <w:tcW w:w="1701" w:type="dxa"/>
            <w:gridSpan w:val="2"/>
            <w:shd w:val="clear" w:color="auto" w:fill="FFFFFF" w:themeFill="background1"/>
            <w:noWrap/>
            <w:vAlign w:val="center"/>
            <w:hideMark/>
          </w:tcPr>
          <w:p w14:paraId="5D4E3FA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49°42'28.55"O</w:t>
            </w:r>
          </w:p>
        </w:tc>
        <w:tc>
          <w:tcPr>
            <w:tcW w:w="1134" w:type="dxa"/>
            <w:shd w:val="clear" w:color="auto" w:fill="FFFFFF" w:themeFill="background1"/>
            <w:noWrap/>
            <w:vAlign w:val="center"/>
            <w:hideMark/>
          </w:tcPr>
          <w:p w14:paraId="1DEE0CA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574</w:t>
            </w:r>
          </w:p>
        </w:tc>
        <w:tc>
          <w:tcPr>
            <w:tcW w:w="1869" w:type="dxa"/>
            <w:shd w:val="clear" w:color="auto" w:fill="FFFFFF" w:themeFill="background1"/>
            <w:noWrap/>
            <w:vAlign w:val="center"/>
            <w:hideMark/>
          </w:tcPr>
          <w:p w14:paraId="5068CBC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Atalanta</w:t>
            </w:r>
          </w:p>
        </w:tc>
        <w:tc>
          <w:tcPr>
            <w:tcW w:w="1276" w:type="dxa"/>
            <w:shd w:val="clear" w:color="auto" w:fill="FFFFFF" w:themeFill="background1"/>
            <w:noWrap/>
            <w:vAlign w:val="center"/>
            <w:hideMark/>
          </w:tcPr>
          <w:p w14:paraId="5F5E21A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701" w:type="dxa"/>
            <w:shd w:val="clear" w:color="auto" w:fill="FFFFFF" w:themeFill="background1"/>
            <w:noWrap/>
            <w:vAlign w:val="center"/>
            <w:hideMark/>
          </w:tcPr>
          <w:p w14:paraId="393CE7E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Alvo RR</w:t>
            </w:r>
          </w:p>
        </w:tc>
        <w:tc>
          <w:tcPr>
            <w:tcW w:w="1276" w:type="dxa"/>
            <w:shd w:val="clear" w:color="auto" w:fill="FFFFFF" w:themeFill="background1"/>
            <w:noWrap/>
            <w:vAlign w:val="center"/>
            <w:hideMark/>
          </w:tcPr>
          <w:p w14:paraId="7098FDD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384E8C5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4BB5DE77" w14:textId="77777777" w:rsidTr="00D74DA1">
        <w:trPr>
          <w:trHeight w:val="300"/>
        </w:trPr>
        <w:tc>
          <w:tcPr>
            <w:tcW w:w="1134" w:type="dxa"/>
            <w:shd w:val="clear" w:color="auto" w:fill="FFFFFF" w:themeFill="background1"/>
            <w:noWrap/>
            <w:vAlign w:val="center"/>
            <w:hideMark/>
          </w:tcPr>
          <w:p w14:paraId="01B2982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15</w:t>
            </w:r>
          </w:p>
        </w:tc>
        <w:tc>
          <w:tcPr>
            <w:tcW w:w="1581" w:type="dxa"/>
            <w:shd w:val="clear" w:color="auto" w:fill="FFFFFF" w:themeFill="background1"/>
            <w:noWrap/>
            <w:vAlign w:val="center"/>
            <w:hideMark/>
          </w:tcPr>
          <w:p w14:paraId="3B8330E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26°36'54.19"S</w:t>
            </w:r>
          </w:p>
        </w:tc>
        <w:tc>
          <w:tcPr>
            <w:tcW w:w="1701" w:type="dxa"/>
            <w:gridSpan w:val="2"/>
            <w:shd w:val="clear" w:color="auto" w:fill="FFFFFF" w:themeFill="background1"/>
            <w:noWrap/>
            <w:vAlign w:val="center"/>
            <w:hideMark/>
          </w:tcPr>
          <w:p w14:paraId="32F91FD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52°32'58.06"O</w:t>
            </w:r>
          </w:p>
        </w:tc>
        <w:tc>
          <w:tcPr>
            <w:tcW w:w="1134" w:type="dxa"/>
            <w:shd w:val="clear" w:color="auto" w:fill="FFFFFF" w:themeFill="background1"/>
            <w:noWrap/>
            <w:vAlign w:val="center"/>
            <w:hideMark/>
          </w:tcPr>
          <w:p w14:paraId="1A472B8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586</w:t>
            </w:r>
          </w:p>
        </w:tc>
        <w:tc>
          <w:tcPr>
            <w:tcW w:w="1869" w:type="dxa"/>
            <w:shd w:val="clear" w:color="auto" w:fill="FFFFFF" w:themeFill="background1"/>
            <w:noWrap/>
            <w:vAlign w:val="center"/>
            <w:hideMark/>
          </w:tcPr>
          <w:p w14:paraId="375D011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Ipuaçú</w:t>
            </w:r>
          </w:p>
        </w:tc>
        <w:tc>
          <w:tcPr>
            <w:tcW w:w="1276" w:type="dxa"/>
            <w:shd w:val="clear" w:color="auto" w:fill="FFFFFF" w:themeFill="background1"/>
            <w:noWrap/>
            <w:vAlign w:val="center"/>
            <w:hideMark/>
          </w:tcPr>
          <w:p w14:paraId="06002B5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30/01/2018</w:t>
            </w:r>
          </w:p>
        </w:tc>
        <w:tc>
          <w:tcPr>
            <w:tcW w:w="1701" w:type="dxa"/>
            <w:shd w:val="clear" w:color="auto" w:fill="FFFFFF" w:themeFill="background1"/>
            <w:noWrap/>
            <w:vAlign w:val="center"/>
            <w:hideMark/>
          </w:tcPr>
          <w:p w14:paraId="4F8BB43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P95R51 RR</w:t>
            </w:r>
          </w:p>
        </w:tc>
        <w:tc>
          <w:tcPr>
            <w:tcW w:w="1276" w:type="dxa"/>
            <w:shd w:val="clear" w:color="auto" w:fill="FFFFFF" w:themeFill="background1"/>
            <w:noWrap/>
            <w:vAlign w:val="center"/>
            <w:hideMark/>
          </w:tcPr>
          <w:p w14:paraId="3D8CCB3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vAlign w:val="center"/>
          </w:tcPr>
          <w:p w14:paraId="5D5CC9C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7FD5907E" w14:textId="77777777" w:rsidTr="00D74DA1">
        <w:trPr>
          <w:trHeight w:val="300"/>
        </w:trPr>
        <w:tc>
          <w:tcPr>
            <w:tcW w:w="1134" w:type="dxa"/>
            <w:shd w:val="clear" w:color="auto" w:fill="FFFFFF" w:themeFill="background1"/>
            <w:noWrap/>
            <w:vAlign w:val="center"/>
            <w:hideMark/>
          </w:tcPr>
          <w:p w14:paraId="1B2448C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16</w:t>
            </w:r>
          </w:p>
        </w:tc>
        <w:tc>
          <w:tcPr>
            <w:tcW w:w="1581" w:type="dxa"/>
            <w:shd w:val="clear" w:color="auto" w:fill="FFFFFF" w:themeFill="background1"/>
            <w:noWrap/>
            <w:vAlign w:val="center"/>
            <w:hideMark/>
          </w:tcPr>
          <w:p w14:paraId="5A08FA6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26°28'12.04"S</w:t>
            </w:r>
          </w:p>
        </w:tc>
        <w:tc>
          <w:tcPr>
            <w:tcW w:w="1701" w:type="dxa"/>
            <w:gridSpan w:val="2"/>
            <w:shd w:val="clear" w:color="auto" w:fill="FFFFFF" w:themeFill="background1"/>
            <w:noWrap/>
            <w:vAlign w:val="center"/>
            <w:hideMark/>
          </w:tcPr>
          <w:p w14:paraId="257BCBF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 1'50.27"O</w:t>
            </w:r>
          </w:p>
        </w:tc>
        <w:tc>
          <w:tcPr>
            <w:tcW w:w="1134" w:type="dxa"/>
            <w:shd w:val="clear" w:color="auto" w:fill="FFFFFF" w:themeFill="background1"/>
            <w:noWrap/>
            <w:vAlign w:val="center"/>
            <w:hideMark/>
          </w:tcPr>
          <w:p w14:paraId="194B93B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622</w:t>
            </w:r>
          </w:p>
        </w:tc>
        <w:tc>
          <w:tcPr>
            <w:tcW w:w="1869" w:type="dxa"/>
            <w:shd w:val="clear" w:color="auto" w:fill="FFFFFF" w:themeFill="background1"/>
            <w:noWrap/>
            <w:vAlign w:val="center"/>
            <w:hideMark/>
          </w:tcPr>
          <w:p w14:paraId="036E07E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São Bernardino</w:t>
            </w:r>
          </w:p>
        </w:tc>
        <w:tc>
          <w:tcPr>
            <w:tcW w:w="1276" w:type="dxa"/>
            <w:shd w:val="clear" w:color="auto" w:fill="FFFFFF" w:themeFill="background1"/>
            <w:noWrap/>
            <w:vAlign w:val="center"/>
            <w:hideMark/>
          </w:tcPr>
          <w:p w14:paraId="2F31120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17/02/2018</w:t>
            </w:r>
          </w:p>
        </w:tc>
        <w:tc>
          <w:tcPr>
            <w:tcW w:w="1701" w:type="dxa"/>
            <w:shd w:val="clear" w:color="auto" w:fill="FFFFFF" w:themeFill="background1"/>
            <w:noWrap/>
            <w:vAlign w:val="center"/>
            <w:hideMark/>
          </w:tcPr>
          <w:p w14:paraId="088CDDA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Raio IPRO</w:t>
            </w:r>
          </w:p>
        </w:tc>
        <w:tc>
          <w:tcPr>
            <w:tcW w:w="1276" w:type="dxa"/>
            <w:shd w:val="clear" w:color="auto" w:fill="FFFFFF" w:themeFill="background1"/>
            <w:noWrap/>
            <w:vAlign w:val="center"/>
            <w:hideMark/>
          </w:tcPr>
          <w:p w14:paraId="1F20EE7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R5.4</w:t>
            </w:r>
          </w:p>
        </w:tc>
        <w:tc>
          <w:tcPr>
            <w:tcW w:w="1559" w:type="dxa"/>
            <w:shd w:val="clear" w:color="auto" w:fill="FFFFFF" w:themeFill="background1"/>
            <w:vAlign w:val="center"/>
          </w:tcPr>
          <w:p w14:paraId="4D6A3DE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11E0D3E0" w14:textId="77777777" w:rsidTr="00D74DA1">
        <w:trPr>
          <w:trHeight w:val="74"/>
        </w:trPr>
        <w:tc>
          <w:tcPr>
            <w:tcW w:w="1134" w:type="dxa"/>
            <w:shd w:val="clear" w:color="auto" w:fill="FFFFFF" w:themeFill="background1"/>
            <w:noWrap/>
            <w:vAlign w:val="center"/>
            <w:hideMark/>
          </w:tcPr>
          <w:p w14:paraId="3F15403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17</w:t>
            </w:r>
          </w:p>
        </w:tc>
        <w:tc>
          <w:tcPr>
            <w:tcW w:w="1581" w:type="dxa"/>
            <w:shd w:val="clear" w:color="auto" w:fill="FFFFFF" w:themeFill="background1"/>
            <w:noWrap/>
            <w:vAlign w:val="center"/>
            <w:hideMark/>
          </w:tcPr>
          <w:p w14:paraId="2D4D3CF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26°38'7.00"S</w:t>
            </w:r>
          </w:p>
        </w:tc>
        <w:tc>
          <w:tcPr>
            <w:tcW w:w="1701" w:type="dxa"/>
            <w:gridSpan w:val="2"/>
            <w:shd w:val="clear" w:color="auto" w:fill="FFFFFF" w:themeFill="background1"/>
            <w:noWrap/>
            <w:vAlign w:val="center"/>
            <w:hideMark/>
          </w:tcPr>
          <w:p w14:paraId="0729D34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52°29'9.00"O</w:t>
            </w:r>
          </w:p>
        </w:tc>
        <w:tc>
          <w:tcPr>
            <w:tcW w:w="1134" w:type="dxa"/>
            <w:shd w:val="clear" w:color="auto" w:fill="FFFFFF" w:themeFill="background1"/>
            <w:noWrap/>
            <w:vAlign w:val="center"/>
            <w:hideMark/>
          </w:tcPr>
          <w:p w14:paraId="6A9A75E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622</w:t>
            </w:r>
          </w:p>
        </w:tc>
        <w:tc>
          <w:tcPr>
            <w:tcW w:w="1869" w:type="dxa"/>
            <w:shd w:val="clear" w:color="auto" w:fill="FFFFFF" w:themeFill="background1"/>
            <w:noWrap/>
            <w:vAlign w:val="center"/>
            <w:hideMark/>
          </w:tcPr>
          <w:p w14:paraId="42A9DA1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Ipuaçú</w:t>
            </w:r>
          </w:p>
        </w:tc>
        <w:tc>
          <w:tcPr>
            <w:tcW w:w="1276" w:type="dxa"/>
            <w:shd w:val="clear" w:color="auto" w:fill="FFFFFF" w:themeFill="background1"/>
            <w:noWrap/>
            <w:vAlign w:val="center"/>
            <w:hideMark/>
          </w:tcPr>
          <w:p w14:paraId="0921510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12/05/2018</w:t>
            </w:r>
          </w:p>
        </w:tc>
        <w:tc>
          <w:tcPr>
            <w:tcW w:w="1701" w:type="dxa"/>
            <w:shd w:val="clear" w:color="auto" w:fill="FFFFFF" w:themeFill="background1"/>
            <w:noWrap/>
            <w:vAlign w:val="center"/>
            <w:hideMark/>
          </w:tcPr>
          <w:p w14:paraId="5E2EE9E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P95R51 RR</w:t>
            </w:r>
          </w:p>
        </w:tc>
        <w:tc>
          <w:tcPr>
            <w:tcW w:w="1276" w:type="dxa"/>
            <w:shd w:val="clear" w:color="auto" w:fill="FFFFFF" w:themeFill="background1"/>
            <w:noWrap/>
            <w:vAlign w:val="center"/>
            <w:hideMark/>
          </w:tcPr>
          <w:p w14:paraId="48D0847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02765D2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1558559D" w14:textId="77777777" w:rsidTr="00D74DA1">
        <w:trPr>
          <w:trHeight w:val="300"/>
        </w:trPr>
        <w:tc>
          <w:tcPr>
            <w:tcW w:w="1134" w:type="dxa"/>
            <w:shd w:val="clear" w:color="auto" w:fill="FFFFFF" w:themeFill="background1"/>
            <w:noWrap/>
            <w:vAlign w:val="center"/>
            <w:hideMark/>
          </w:tcPr>
          <w:p w14:paraId="792CF40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18</w:t>
            </w:r>
          </w:p>
        </w:tc>
        <w:tc>
          <w:tcPr>
            <w:tcW w:w="1581" w:type="dxa"/>
            <w:shd w:val="clear" w:color="auto" w:fill="FFFFFF" w:themeFill="background1"/>
            <w:noWrap/>
            <w:vAlign w:val="center"/>
            <w:hideMark/>
          </w:tcPr>
          <w:p w14:paraId="4C9A44C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26°39'11.00"S</w:t>
            </w:r>
          </w:p>
        </w:tc>
        <w:tc>
          <w:tcPr>
            <w:tcW w:w="1701" w:type="dxa"/>
            <w:gridSpan w:val="2"/>
            <w:shd w:val="clear" w:color="auto" w:fill="FFFFFF" w:themeFill="background1"/>
            <w:noWrap/>
            <w:vAlign w:val="center"/>
            <w:hideMark/>
          </w:tcPr>
          <w:p w14:paraId="554D3B9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52°30'53.00"O</w:t>
            </w:r>
          </w:p>
        </w:tc>
        <w:tc>
          <w:tcPr>
            <w:tcW w:w="1134" w:type="dxa"/>
            <w:shd w:val="clear" w:color="auto" w:fill="FFFFFF" w:themeFill="background1"/>
            <w:noWrap/>
            <w:vAlign w:val="center"/>
            <w:hideMark/>
          </w:tcPr>
          <w:p w14:paraId="0EF3092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632</w:t>
            </w:r>
          </w:p>
        </w:tc>
        <w:tc>
          <w:tcPr>
            <w:tcW w:w="1869" w:type="dxa"/>
            <w:shd w:val="clear" w:color="auto" w:fill="FFFFFF" w:themeFill="background1"/>
            <w:noWrap/>
            <w:vAlign w:val="center"/>
            <w:hideMark/>
          </w:tcPr>
          <w:p w14:paraId="1CB246E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Ipuaçú</w:t>
            </w:r>
          </w:p>
        </w:tc>
        <w:tc>
          <w:tcPr>
            <w:tcW w:w="1276" w:type="dxa"/>
            <w:shd w:val="clear" w:color="auto" w:fill="FFFFFF" w:themeFill="background1"/>
            <w:noWrap/>
            <w:vAlign w:val="center"/>
            <w:hideMark/>
          </w:tcPr>
          <w:p w14:paraId="7E57C95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12/05/2018</w:t>
            </w:r>
          </w:p>
        </w:tc>
        <w:tc>
          <w:tcPr>
            <w:tcW w:w="1701" w:type="dxa"/>
            <w:shd w:val="clear" w:color="auto" w:fill="FFFFFF" w:themeFill="background1"/>
            <w:noWrap/>
            <w:vAlign w:val="center"/>
            <w:hideMark/>
          </w:tcPr>
          <w:p w14:paraId="08D2EC6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TMG7062 RR</w:t>
            </w:r>
          </w:p>
        </w:tc>
        <w:tc>
          <w:tcPr>
            <w:tcW w:w="1276" w:type="dxa"/>
            <w:shd w:val="clear" w:color="auto" w:fill="FFFFFF" w:themeFill="background1"/>
            <w:noWrap/>
            <w:vAlign w:val="center"/>
            <w:hideMark/>
          </w:tcPr>
          <w:p w14:paraId="1EC3623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489BA01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614B8B79" w14:textId="77777777" w:rsidTr="00D74DA1">
        <w:trPr>
          <w:trHeight w:val="300"/>
        </w:trPr>
        <w:tc>
          <w:tcPr>
            <w:tcW w:w="1134" w:type="dxa"/>
            <w:shd w:val="clear" w:color="auto" w:fill="FFFFFF" w:themeFill="background1"/>
            <w:noWrap/>
            <w:vAlign w:val="center"/>
            <w:hideMark/>
          </w:tcPr>
          <w:p w14:paraId="78D92CA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19</w:t>
            </w:r>
          </w:p>
        </w:tc>
        <w:tc>
          <w:tcPr>
            <w:tcW w:w="1581" w:type="dxa"/>
            <w:shd w:val="clear" w:color="auto" w:fill="FFFFFF" w:themeFill="background1"/>
            <w:noWrap/>
            <w:vAlign w:val="center"/>
            <w:hideMark/>
          </w:tcPr>
          <w:p w14:paraId="3E9384A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26°49'47.09"S</w:t>
            </w:r>
          </w:p>
        </w:tc>
        <w:tc>
          <w:tcPr>
            <w:tcW w:w="1701" w:type="dxa"/>
            <w:gridSpan w:val="2"/>
            <w:shd w:val="clear" w:color="auto" w:fill="FFFFFF" w:themeFill="background1"/>
            <w:noWrap/>
            <w:vAlign w:val="center"/>
            <w:hideMark/>
          </w:tcPr>
          <w:p w14:paraId="3C5496C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52°31'4.23"O</w:t>
            </w:r>
          </w:p>
        </w:tc>
        <w:tc>
          <w:tcPr>
            <w:tcW w:w="1134" w:type="dxa"/>
            <w:shd w:val="clear" w:color="auto" w:fill="FFFFFF" w:themeFill="background1"/>
            <w:noWrap/>
            <w:vAlign w:val="center"/>
            <w:hideMark/>
          </w:tcPr>
          <w:p w14:paraId="1428BB7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637</w:t>
            </w:r>
          </w:p>
        </w:tc>
        <w:tc>
          <w:tcPr>
            <w:tcW w:w="1869" w:type="dxa"/>
            <w:shd w:val="clear" w:color="auto" w:fill="FFFFFF" w:themeFill="background1"/>
            <w:noWrap/>
            <w:vAlign w:val="center"/>
            <w:hideMark/>
          </w:tcPr>
          <w:p w14:paraId="79AC8B0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Xanxerê</w:t>
            </w:r>
          </w:p>
        </w:tc>
        <w:tc>
          <w:tcPr>
            <w:tcW w:w="1276" w:type="dxa"/>
            <w:shd w:val="clear" w:color="auto" w:fill="FFFFFF" w:themeFill="background1"/>
            <w:noWrap/>
            <w:vAlign w:val="center"/>
            <w:hideMark/>
          </w:tcPr>
          <w:p w14:paraId="6B5ECB0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20/03/2018</w:t>
            </w:r>
          </w:p>
        </w:tc>
        <w:tc>
          <w:tcPr>
            <w:tcW w:w="1701" w:type="dxa"/>
            <w:shd w:val="clear" w:color="auto" w:fill="FFFFFF" w:themeFill="background1"/>
            <w:noWrap/>
            <w:vAlign w:val="center"/>
            <w:hideMark/>
          </w:tcPr>
          <w:p w14:paraId="2EA0E2C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6D28CE8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R5.4</w:t>
            </w:r>
          </w:p>
        </w:tc>
        <w:tc>
          <w:tcPr>
            <w:tcW w:w="1559" w:type="dxa"/>
            <w:shd w:val="clear" w:color="auto" w:fill="FFFFFF" w:themeFill="background1"/>
            <w:vAlign w:val="center"/>
          </w:tcPr>
          <w:p w14:paraId="5187C98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1E4583D8" w14:textId="77777777" w:rsidTr="00D74DA1">
        <w:trPr>
          <w:trHeight w:val="300"/>
        </w:trPr>
        <w:tc>
          <w:tcPr>
            <w:tcW w:w="1134" w:type="dxa"/>
            <w:shd w:val="clear" w:color="auto" w:fill="FFFFFF" w:themeFill="background1"/>
            <w:noWrap/>
            <w:vAlign w:val="center"/>
            <w:hideMark/>
          </w:tcPr>
          <w:p w14:paraId="2A3280B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20</w:t>
            </w:r>
          </w:p>
        </w:tc>
        <w:tc>
          <w:tcPr>
            <w:tcW w:w="1581" w:type="dxa"/>
            <w:shd w:val="clear" w:color="auto" w:fill="FFFFFF" w:themeFill="background1"/>
            <w:noWrap/>
            <w:vAlign w:val="center"/>
            <w:hideMark/>
          </w:tcPr>
          <w:p w14:paraId="6E80CB9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26°43'51.52"S</w:t>
            </w:r>
          </w:p>
        </w:tc>
        <w:tc>
          <w:tcPr>
            <w:tcW w:w="1701" w:type="dxa"/>
            <w:gridSpan w:val="2"/>
            <w:shd w:val="clear" w:color="auto" w:fill="FFFFFF" w:themeFill="background1"/>
            <w:noWrap/>
            <w:vAlign w:val="center"/>
            <w:hideMark/>
          </w:tcPr>
          <w:p w14:paraId="5E0E406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52°23'9.44"O</w:t>
            </w:r>
          </w:p>
        </w:tc>
        <w:tc>
          <w:tcPr>
            <w:tcW w:w="1134" w:type="dxa"/>
            <w:shd w:val="clear" w:color="auto" w:fill="FFFFFF" w:themeFill="background1"/>
            <w:noWrap/>
            <w:vAlign w:val="center"/>
            <w:hideMark/>
          </w:tcPr>
          <w:p w14:paraId="63C9C19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668</w:t>
            </w:r>
          </w:p>
        </w:tc>
        <w:tc>
          <w:tcPr>
            <w:tcW w:w="1869" w:type="dxa"/>
            <w:shd w:val="clear" w:color="auto" w:fill="FFFFFF" w:themeFill="background1"/>
            <w:noWrap/>
            <w:vAlign w:val="center"/>
            <w:hideMark/>
          </w:tcPr>
          <w:p w14:paraId="4E15196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Bom jesus</w:t>
            </w:r>
          </w:p>
        </w:tc>
        <w:tc>
          <w:tcPr>
            <w:tcW w:w="1276" w:type="dxa"/>
            <w:shd w:val="clear" w:color="auto" w:fill="FFFFFF" w:themeFill="background1"/>
            <w:noWrap/>
            <w:vAlign w:val="center"/>
            <w:hideMark/>
          </w:tcPr>
          <w:p w14:paraId="1A7C197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701" w:type="dxa"/>
            <w:shd w:val="clear" w:color="auto" w:fill="FFFFFF" w:themeFill="background1"/>
            <w:noWrap/>
            <w:vAlign w:val="center"/>
            <w:hideMark/>
          </w:tcPr>
          <w:p w14:paraId="25EA125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1FCF911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78FD08B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07FAE338" w14:textId="77777777" w:rsidTr="00D74DA1">
        <w:tblPrEx>
          <w:tblBorders>
            <w:top w:val="none" w:sz="0" w:space="0" w:color="auto"/>
            <w:bottom w:val="none" w:sz="0" w:space="0" w:color="auto"/>
          </w:tblBorders>
        </w:tblPrEx>
        <w:trPr>
          <w:trHeight w:val="300"/>
        </w:trPr>
        <w:tc>
          <w:tcPr>
            <w:tcW w:w="1134" w:type="dxa"/>
            <w:shd w:val="clear" w:color="auto" w:fill="FFFFFF" w:themeFill="background1"/>
            <w:noWrap/>
            <w:vAlign w:val="center"/>
            <w:hideMark/>
          </w:tcPr>
          <w:p w14:paraId="6BDFC41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w:t>
            </w:r>
          </w:p>
        </w:tc>
        <w:tc>
          <w:tcPr>
            <w:tcW w:w="1581" w:type="dxa"/>
            <w:shd w:val="clear" w:color="auto" w:fill="FFFFFF" w:themeFill="background1"/>
            <w:noWrap/>
            <w:vAlign w:val="center"/>
            <w:hideMark/>
          </w:tcPr>
          <w:p w14:paraId="0271AEC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26°40'8.09"S</w:t>
            </w:r>
          </w:p>
        </w:tc>
        <w:tc>
          <w:tcPr>
            <w:tcW w:w="1701" w:type="dxa"/>
            <w:gridSpan w:val="2"/>
            <w:shd w:val="clear" w:color="auto" w:fill="FFFFFF" w:themeFill="background1"/>
            <w:noWrap/>
            <w:vAlign w:val="center"/>
            <w:hideMark/>
          </w:tcPr>
          <w:p w14:paraId="5E4A994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53°31'17.40"O</w:t>
            </w:r>
          </w:p>
        </w:tc>
        <w:tc>
          <w:tcPr>
            <w:tcW w:w="1134" w:type="dxa"/>
            <w:shd w:val="clear" w:color="auto" w:fill="FFFFFF" w:themeFill="background1"/>
            <w:noWrap/>
            <w:vAlign w:val="center"/>
            <w:hideMark/>
          </w:tcPr>
          <w:p w14:paraId="6EE801B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675</w:t>
            </w:r>
          </w:p>
        </w:tc>
        <w:tc>
          <w:tcPr>
            <w:tcW w:w="1869" w:type="dxa"/>
            <w:shd w:val="clear" w:color="auto" w:fill="FFFFFF" w:themeFill="background1"/>
            <w:noWrap/>
            <w:vAlign w:val="center"/>
            <w:hideMark/>
          </w:tcPr>
          <w:p w14:paraId="55973CD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Guaraciaba</w:t>
            </w:r>
          </w:p>
        </w:tc>
        <w:tc>
          <w:tcPr>
            <w:tcW w:w="1276" w:type="dxa"/>
            <w:shd w:val="clear" w:color="auto" w:fill="FFFFFF" w:themeFill="background1"/>
            <w:noWrap/>
            <w:vAlign w:val="center"/>
            <w:hideMark/>
          </w:tcPr>
          <w:p w14:paraId="2606297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701" w:type="dxa"/>
            <w:shd w:val="clear" w:color="auto" w:fill="FFFFFF" w:themeFill="background1"/>
            <w:noWrap/>
            <w:vAlign w:val="center"/>
            <w:hideMark/>
          </w:tcPr>
          <w:p w14:paraId="5571DC3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P95R95 IPRO</w:t>
            </w:r>
          </w:p>
        </w:tc>
        <w:tc>
          <w:tcPr>
            <w:tcW w:w="1276" w:type="dxa"/>
            <w:shd w:val="clear" w:color="auto" w:fill="FFFFFF" w:themeFill="background1"/>
            <w:noWrap/>
            <w:vAlign w:val="center"/>
            <w:hideMark/>
          </w:tcPr>
          <w:p w14:paraId="0C1A6BA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R5.4</w:t>
            </w:r>
          </w:p>
        </w:tc>
        <w:tc>
          <w:tcPr>
            <w:tcW w:w="1559" w:type="dxa"/>
            <w:shd w:val="clear" w:color="auto" w:fill="FFFFFF" w:themeFill="background1"/>
            <w:vAlign w:val="center"/>
          </w:tcPr>
          <w:p w14:paraId="6CA16DB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58F89D66" w14:textId="77777777" w:rsidTr="00D74DA1">
        <w:tblPrEx>
          <w:tblBorders>
            <w:top w:val="none" w:sz="0" w:space="0" w:color="auto"/>
            <w:bottom w:val="none" w:sz="0" w:space="0" w:color="auto"/>
          </w:tblBorders>
        </w:tblPrEx>
        <w:trPr>
          <w:trHeight w:val="300"/>
        </w:trPr>
        <w:tc>
          <w:tcPr>
            <w:tcW w:w="1134" w:type="dxa"/>
            <w:shd w:val="clear" w:color="auto" w:fill="FFFFFF" w:themeFill="background1"/>
            <w:noWrap/>
            <w:vAlign w:val="center"/>
            <w:hideMark/>
          </w:tcPr>
          <w:p w14:paraId="3EEB97D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22</w:t>
            </w:r>
          </w:p>
        </w:tc>
        <w:tc>
          <w:tcPr>
            <w:tcW w:w="1581" w:type="dxa"/>
            <w:shd w:val="clear" w:color="auto" w:fill="FFFFFF" w:themeFill="background1"/>
            <w:noWrap/>
            <w:vAlign w:val="center"/>
            <w:hideMark/>
          </w:tcPr>
          <w:p w14:paraId="6F2BD07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27°43'41.67"S</w:t>
            </w:r>
          </w:p>
        </w:tc>
        <w:tc>
          <w:tcPr>
            <w:tcW w:w="1701" w:type="dxa"/>
            <w:gridSpan w:val="2"/>
            <w:shd w:val="clear" w:color="auto" w:fill="FFFFFF" w:themeFill="background1"/>
            <w:noWrap/>
            <w:vAlign w:val="center"/>
            <w:hideMark/>
          </w:tcPr>
          <w:p w14:paraId="7EE85CA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49°21'43.41"O</w:t>
            </w:r>
          </w:p>
        </w:tc>
        <w:tc>
          <w:tcPr>
            <w:tcW w:w="1134" w:type="dxa"/>
            <w:shd w:val="clear" w:color="auto" w:fill="FFFFFF" w:themeFill="background1"/>
            <w:noWrap/>
            <w:vAlign w:val="center"/>
            <w:hideMark/>
          </w:tcPr>
          <w:p w14:paraId="3336AE1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678</w:t>
            </w:r>
          </w:p>
        </w:tc>
        <w:tc>
          <w:tcPr>
            <w:tcW w:w="1869" w:type="dxa"/>
            <w:shd w:val="clear" w:color="auto" w:fill="FFFFFF" w:themeFill="background1"/>
            <w:noWrap/>
            <w:vAlign w:val="center"/>
            <w:hideMark/>
          </w:tcPr>
          <w:p w14:paraId="53C23A5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Alfredo Wagner</w:t>
            </w:r>
          </w:p>
        </w:tc>
        <w:tc>
          <w:tcPr>
            <w:tcW w:w="1276" w:type="dxa"/>
            <w:shd w:val="clear" w:color="auto" w:fill="FFFFFF" w:themeFill="background1"/>
            <w:noWrap/>
            <w:vAlign w:val="center"/>
            <w:hideMark/>
          </w:tcPr>
          <w:p w14:paraId="5D460BF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701" w:type="dxa"/>
            <w:shd w:val="clear" w:color="auto" w:fill="FFFFFF" w:themeFill="background1"/>
            <w:noWrap/>
            <w:vAlign w:val="center"/>
            <w:hideMark/>
          </w:tcPr>
          <w:p w14:paraId="6345676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789BE8F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vAlign w:val="center"/>
          </w:tcPr>
          <w:p w14:paraId="1045988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6FDAE914" w14:textId="77777777" w:rsidTr="00D74DA1">
        <w:tblPrEx>
          <w:tblBorders>
            <w:top w:val="none" w:sz="0" w:space="0" w:color="auto"/>
            <w:bottom w:val="none" w:sz="0" w:space="0" w:color="auto"/>
          </w:tblBorders>
        </w:tblPrEx>
        <w:trPr>
          <w:trHeight w:val="300"/>
        </w:trPr>
        <w:tc>
          <w:tcPr>
            <w:tcW w:w="1134" w:type="dxa"/>
            <w:shd w:val="clear" w:color="auto" w:fill="FFFFFF" w:themeFill="background1"/>
            <w:noWrap/>
            <w:vAlign w:val="center"/>
            <w:hideMark/>
          </w:tcPr>
          <w:p w14:paraId="54BB3AA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23</w:t>
            </w:r>
          </w:p>
        </w:tc>
        <w:tc>
          <w:tcPr>
            <w:tcW w:w="1581" w:type="dxa"/>
            <w:shd w:val="clear" w:color="auto" w:fill="FFFFFF" w:themeFill="background1"/>
            <w:noWrap/>
            <w:vAlign w:val="center"/>
            <w:hideMark/>
          </w:tcPr>
          <w:p w14:paraId="2DC6086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26°27'47.070''S</w:t>
            </w:r>
          </w:p>
        </w:tc>
        <w:tc>
          <w:tcPr>
            <w:tcW w:w="1701" w:type="dxa"/>
            <w:gridSpan w:val="2"/>
            <w:shd w:val="clear" w:color="auto" w:fill="FFFFFF" w:themeFill="background1"/>
            <w:noWrap/>
            <w:vAlign w:val="center"/>
            <w:hideMark/>
          </w:tcPr>
          <w:p w14:paraId="213C912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52°41'22.956''O</w:t>
            </w:r>
          </w:p>
        </w:tc>
        <w:tc>
          <w:tcPr>
            <w:tcW w:w="1134" w:type="dxa"/>
            <w:shd w:val="clear" w:color="auto" w:fill="FFFFFF" w:themeFill="background1"/>
            <w:noWrap/>
            <w:vAlign w:val="center"/>
            <w:hideMark/>
          </w:tcPr>
          <w:p w14:paraId="2B98B70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683</w:t>
            </w:r>
          </w:p>
        </w:tc>
        <w:tc>
          <w:tcPr>
            <w:tcW w:w="1869" w:type="dxa"/>
            <w:shd w:val="clear" w:color="auto" w:fill="FFFFFF" w:themeFill="background1"/>
            <w:noWrap/>
            <w:vAlign w:val="center"/>
            <w:hideMark/>
          </w:tcPr>
          <w:p w14:paraId="1CB2035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Galvão</w:t>
            </w:r>
          </w:p>
        </w:tc>
        <w:tc>
          <w:tcPr>
            <w:tcW w:w="1276" w:type="dxa"/>
            <w:shd w:val="clear" w:color="auto" w:fill="FFFFFF" w:themeFill="background1"/>
            <w:noWrap/>
            <w:vAlign w:val="center"/>
            <w:hideMark/>
          </w:tcPr>
          <w:p w14:paraId="7437409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08/04/2018</w:t>
            </w:r>
          </w:p>
        </w:tc>
        <w:tc>
          <w:tcPr>
            <w:tcW w:w="1701" w:type="dxa"/>
            <w:shd w:val="clear" w:color="auto" w:fill="FFFFFF" w:themeFill="background1"/>
            <w:noWrap/>
            <w:vAlign w:val="center"/>
            <w:hideMark/>
          </w:tcPr>
          <w:p w14:paraId="06B5400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shd w:val="clear" w:color="auto" w:fill="FFFFFF" w:themeFill="background1"/>
            <w:noWrap/>
            <w:vAlign w:val="center"/>
            <w:hideMark/>
          </w:tcPr>
          <w:p w14:paraId="7266843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vAlign w:val="center"/>
          </w:tcPr>
          <w:p w14:paraId="61EA2D5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21A0D912" w14:textId="77777777" w:rsidTr="00D74DA1">
        <w:tblPrEx>
          <w:tblBorders>
            <w:top w:val="none" w:sz="0" w:space="0" w:color="auto"/>
            <w:bottom w:val="none" w:sz="0" w:space="0" w:color="auto"/>
          </w:tblBorders>
        </w:tblPrEx>
        <w:trPr>
          <w:trHeight w:val="300"/>
        </w:trPr>
        <w:tc>
          <w:tcPr>
            <w:tcW w:w="1134" w:type="dxa"/>
            <w:tcBorders>
              <w:bottom w:val="single" w:sz="4" w:space="0" w:color="auto"/>
            </w:tcBorders>
            <w:shd w:val="clear" w:color="auto" w:fill="FFFFFF" w:themeFill="background1"/>
            <w:noWrap/>
            <w:vAlign w:val="center"/>
            <w:hideMark/>
          </w:tcPr>
          <w:p w14:paraId="3C2C891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24</w:t>
            </w:r>
          </w:p>
        </w:tc>
        <w:tc>
          <w:tcPr>
            <w:tcW w:w="1581" w:type="dxa"/>
            <w:tcBorders>
              <w:bottom w:val="single" w:sz="4" w:space="0" w:color="auto"/>
            </w:tcBorders>
            <w:shd w:val="clear" w:color="auto" w:fill="FFFFFF" w:themeFill="background1"/>
            <w:noWrap/>
            <w:vAlign w:val="center"/>
            <w:hideMark/>
          </w:tcPr>
          <w:p w14:paraId="1395309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26°28'20.345''S</w:t>
            </w:r>
          </w:p>
        </w:tc>
        <w:tc>
          <w:tcPr>
            <w:tcW w:w="1701" w:type="dxa"/>
            <w:gridSpan w:val="2"/>
            <w:tcBorders>
              <w:bottom w:val="single" w:sz="4" w:space="0" w:color="auto"/>
            </w:tcBorders>
            <w:shd w:val="clear" w:color="auto" w:fill="FFFFFF" w:themeFill="background1"/>
            <w:noWrap/>
            <w:vAlign w:val="center"/>
            <w:hideMark/>
          </w:tcPr>
          <w:p w14:paraId="5D770CB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52°41'8.423''O</w:t>
            </w:r>
          </w:p>
        </w:tc>
        <w:tc>
          <w:tcPr>
            <w:tcW w:w="1134" w:type="dxa"/>
            <w:tcBorders>
              <w:bottom w:val="single" w:sz="4" w:space="0" w:color="auto"/>
            </w:tcBorders>
            <w:shd w:val="clear" w:color="auto" w:fill="FFFFFF" w:themeFill="background1"/>
            <w:noWrap/>
            <w:vAlign w:val="center"/>
            <w:hideMark/>
          </w:tcPr>
          <w:p w14:paraId="3B30ABB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684</w:t>
            </w:r>
          </w:p>
        </w:tc>
        <w:tc>
          <w:tcPr>
            <w:tcW w:w="1869" w:type="dxa"/>
            <w:tcBorders>
              <w:bottom w:val="single" w:sz="4" w:space="0" w:color="auto"/>
            </w:tcBorders>
            <w:shd w:val="clear" w:color="auto" w:fill="FFFFFF" w:themeFill="background1"/>
            <w:noWrap/>
            <w:vAlign w:val="center"/>
            <w:hideMark/>
          </w:tcPr>
          <w:p w14:paraId="55386B6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Galvão</w:t>
            </w:r>
          </w:p>
        </w:tc>
        <w:tc>
          <w:tcPr>
            <w:tcW w:w="1276" w:type="dxa"/>
            <w:tcBorders>
              <w:bottom w:val="single" w:sz="4" w:space="0" w:color="auto"/>
            </w:tcBorders>
            <w:shd w:val="clear" w:color="auto" w:fill="FFFFFF" w:themeFill="background1"/>
            <w:noWrap/>
            <w:vAlign w:val="center"/>
            <w:hideMark/>
          </w:tcPr>
          <w:p w14:paraId="707CA1F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08/04/2018</w:t>
            </w:r>
          </w:p>
        </w:tc>
        <w:tc>
          <w:tcPr>
            <w:tcW w:w="1701" w:type="dxa"/>
            <w:tcBorders>
              <w:bottom w:val="single" w:sz="4" w:space="0" w:color="auto"/>
            </w:tcBorders>
            <w:shd w:val="clear" w:color="auto" w:fill="FFFFFF" w:themeFill="background1"/>
            <w:noWrap/>
            <w:vAlign w:val="center"/>
            <w:hideMark/>
          </w:tcPr>
          <w:p w14:paraId="785F256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p>
        </w:tc>
        <w:tc>
          <w:tcPr>
            <w:tcW w:w="1276" w:type="dxa"/>
            <w:tcBorders>
              <w:bottom w:val="single" w:sz="4" w:space="0" w:color="auto"/>
            </w:tcBorders>
            <w:shd w:val="clear" w:color="auto" w:fill="FFFFFF" w:themeFill="background1"/>
            <w:noWrap/>
            <w:vAlign w:val="center"/>
            <w:hideMark/>
          </w:tcPr>
          <w:p w14:paraId="752AA6C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tcBorders>
              <w:bottom w:val="single" w:sz="4" w:space="0" w:color="auto"/>
            </w:tcBorders>
            <w:shd w:val="clear" w:color="auto" w:fill="FFFFFF" w:themeFill="background1"/>
            <w:vAlign w:val="center"/>
          </w:tcPr>
          <w:p w14:paraId="004CE95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bl>
    <w:p w14:paraId="32B443EF" w14:textId="77777777" w:rsidR="00362172" w:rsidRPr="00362172" w:rsidRDefault="00362172" w:rsidP="00777EAF">
      <w:pPr>
        <w:autoSpaceDE/>
        <w:autoSpaceDN/>
        <w:adjustRightInd/>
        <w:spacing w:after="0" w:line="360" w:lineRule="auto"/>
        <w:ind w:left="284" w:firstLine="0"/>
        <w:rPr>
          <w:szCs w:val="22"/>
        </w:rPr>
      </w:pPr>
      <w:r w:rsidRPr="00362172">
        <w:rPr>
          <w:color w:val="000000" w:themeColor="text1"/>
          <w:sz w:val="16"/>
          <w:szCs w:val="16"/>
        </w:rPr>
        <w:t>*Amostra com o sinal de + na coluna de extração de DNA amplificaram e foram possível a quantificação da mutação I86F; amostras não amplificadas apresentam sinal de – na coluna de extração de DNA.</w:t>
      </w:r>
    </w:p>
    <w:p w14:paraId="489EF91F" w14:textId="77777777" w:rsidR="00362172" w:rsidRPr="00362172" w:rsidRDefault="00362172" w:rsidP="00362172">
      <w:pPr>
        <w:keepNext/>
        <w:keepLines/>
        <w:autoSpaceDE/>
        <w:autoSpaceDN/>
        <w:adjustRightInd/>
        <w:spacing w:after="0" w:line="360" w:lineRule="auto"/>
        <w:ind w:firstLine="0"/>
        <w:jc w:val="left"/>
        <w:outlineLvl w:val="1"/>
        <w:rPr>
          <w:rFonts w:eastAsiaTheme="majorEastAsia"/>
          <w:lang w:eastAsia="pt-BR"/>
        </w:rPr>
        <w:sectPr w:rsidR="00362172" w:rsidRPr="00362172" w:rsidSect="001D48B0">
          <w:pgSz w:w="16838" w:h="11906" w:orient="landscape" w:code="9"/>
          <w:pgMar w:top="1701" w:right="1701" w:bottom="1134" w:left="1134" w:header="709" w:footer="709" w:gutter="0"/>
          <w:cols w:space="708"/>
          <w:docGrid w:linePitch="360"/>
        </w:sectPr>
      </w:pPr>
    </w:p>
    <w:tbl>
      <w:tblPr>
        <w:tblpPr w:leftFromText="141" w:rightFromText="141" w:vertAnchor="page" w:horzAnchor="margin" w:tblpXSpec="right" w:tblpY="1712"/>
        <w:tblW w:w="1365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34"/>
        <w:gridCol w:w="1581"/>
        <w:gridCol w:w="1547"/>
        <w:gridCol w:w="1271"/>
        <w:gridCol w:w="1984"/>
        <w:gridCol w:w="1560"/>
        <w:gridCol w:w="1842"/>
        <w:gridCol w:w="1276"/>
        <w:gridCol w:w="1559"/>
      </w:tblGrid>
      <w:tr w:rsidR="00362172" w:rsidRPr="00362172" w14:paraId="141485F6" w14:textId="77777777" w:rsidTr="00D74DA1">
        <w:trPr>
          <w:trHeight w:val="300"/>
        </w:trPr>
        <w:tc>
          <w:tcPr>
            <w:tcW w:w="1034" w:type="dxa"/>
            <w:tcBorders>
              <w:top w:val="single" w:sz="4" w:space="0" w:color="auto"/>
              <w:bottom w:val="single" w:sz="4" w:space="0" w:color="auto"/>
            </w:tcBorders>
            <w:shd w:val="clear" w:color="auto" w:fill="FFFFFF" w:themeFill="background1"/>
            <w:noWrap/>
            <w:vAlign w:val="center"/>
          </w:tcPr>
          <w:p w14:paraId="15C7F72D"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Amostra</w:t>
            </w:r>
          </w:p>
        </w:tc>
        <w:tc>
          <w:tcPr>
            <w:tcW w:w="1581" w:type="dxa"/>
            <w:tcBorders>
              <w:top w:val="single" w:sz="4" w:space="0" w:color="auto"/>
              <w:bottom w:val="single" w:sz="4" w:space="0" w:color="auto"/>
            </w:tcBorders>
            <w:shd w:val="clear" w:color="auto" w:fill="FFFFFF" w:themeFill="background1"/>
            <w:noWrap/>
            <w:vAlign w:val="center"/>
          </w:tcPr>
          <w:p w14:paraId="336235D1"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Latitude</w:t>
            </w:r>
          </w:p>
        </w:tc>
        <w:tc>
          <w:tcPr>
            <w:tcW w:w="1547" w:type="dxa"/>
            <w:tcBorders>
              <w:top w:val="single" w:sz="4" w:space="0" w:color="auto"/>
              <w:bottom w:val="single" w:sz="4" w:space="0" w:color="auto"/>
            </w:tcBorders>
            <w:shd w:val="clear" w:color="auto" w:fill="FFFFFF" w:themeFill="background1"/>
            <w:noWrap/>
            <w:vAlign w:val="center"/>
          </w:tcPr>
          <w:p w14:paraId="59B75CCE"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Longitude</w:t>
            </w:r>
          </w:p>
        </w:tc>
        <w:tc>
          <w:tcPr>
            <w:tcW w:w="1271" w:type="dxa"/>
            <w:tcBorders>
              <w:top w:val="single" w:sz="4" w:space="0" w:color="auto"/>
              <w:bottom w:val="single" w:sz="4" w:space="0" w:color="auto"/>
            </w:tcBorders>
            <w:shd w:val="clear" w:color="auto" w:fill="FFFFFF" w:themeFill="background1"/>
            <w:noWrap/>
            <w:vAlign w:val="center"/>
          </w:tcPr>
          <w:p w14:paraId="6A70286B"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Altitude (m)</w:t>
            </w:r>
          </w:p>
        </w:tc>
        <w:tc>
          <w:tcPr>
            <w:tcW w:w="1984" w:type="dxa"/>
            <w:tcBorders>
              <w:top w:val="single" w:sz="4" w:space="0" w:color="auto"/>
              <w:bottom w:val="single" w:sz="4" w:space="0" w:color="auto"/>
            </w:tcBorders>
            <w:shd w:val="clear" w:color="auto" w:fill="FFFFFF" w:themeFill="background1"/>
            <w:noWrap/>
            <w:vAlign w:val="center"/>
          </w:tcPr>
          <w:p w14:paraId="6BCB8C0D"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Município</w:t>
            </w:r>
          </w:p>
        </w:tc>
        <w:tc>
          <w:tcPr>
            <w:tcW w:w="1560" w:type="dxa"/>
            <w:tcBorders>
              <w:top w:val="single" w:sz="4" w:space="0" w:color="auto"/>
              <w:bottom w:val="single" w:sz="4" w:space="0" w:color="auto"/>
            </w:tcBorders>
            <w:shd w:val="clear" w:color="auto" w:fill="FFFFFF" w:themeFill="background1"/>
            <w:noWrap/>
            <w:vAlign w:val="center"/>
          </w:tcPr>
          <w:p w14:paraId="7AC8C03C"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Data coleta</w:t>
            </w:r>
          </w:p>
        </w:tc>
        <w:tc>
          <w:tcPr>
            <w:tcW w:w="1842" w:type="dxa"/>
            <w:tcBorders>
              <w:top w:val="single" w:sz="4" w:space="0" w:color="auto"/>
              <w:bottom w:val="single" w:sz="4" w:space="0" w:color="auto"/>
            </w:tcBorders>
            <w:shd w:val="clear" w:color="auto" w:fill="FFFFFF" w:themeFill="background1"/>
            <w:noWrap/>
            <w:vAlign w:val="center"/>
          </w:tcPr>
          <w:p w14:paraId="0283C532"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 xml:space="preserve">Cultivar </w:t>
            </w:r>
          </w:p>
        </w:tc>
        <w:tc>
          <w:tcPr>
            <w:tcW w:w="1276" w:type="dxa"/>
            <w:tcBorders>
              <w:top w:val="single" w:sz="4" w:space="0" w:color="auto"/>
              <w:bottom w:val="single" w:sz="4" w:space="0" w:color="auto"/>
            </w:tcBorders>
            <w:shd w:val="clear" w:color="auto" w:fill="FFFFFF" w:themeFill="background1"/>
            <w:noWrap/>
            <w:vAlign w:val="center"/>
          </w:tcPr>
          <w:p w14:paraId="1430CB56"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Estádio fenológico</w:t>
            </w:r>
          </w:p>
        </w:tc>
        <w:tc>
          <w:tcPr>
            <w:tcW w:w="1559" w:type="dxa"/>
            <w:tcBorders>
              <w:top w:val="single" w:sz="4" w:space="0" w:color="auto"/>
              <w:bottom w:val="single" w:sz="4" w:space="0" w:color="auto"/>
            </w:tcBorders>
            <w:shd w:val="clear" w:color="auto" w:fill="FFFFFF" w:themeFill="background1"/>
            <w:noWrap/>
            <w:vAlign w:val="center"/>
          </w:tcPr>
          <w:p w14:paraId="2EF55040"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Resultado da extração</w:t>
            </w:r>
          </w:p>
        </w:tc>
      </w:tr>
      <w:tr w:rsidR="00362172" w:rsidRPr="00362172" w14:paraId="6CA6D8AA" w14:textId="77777777" w:rsidTr="00D74DA1">
        <w:trPr>
          <w:trHeight w:val="300"/>
        </w:trPr>
        <w:tc>
          <w:tcPr>
            <w:tcW w:w="1034" w:type="dxa"/>
            <w:tcBorders>
              <w:top w:val="single" w:sz="4" w:space="0" w:color="auto"/>
            </w:tcBorders>
            <w:shd w:val="clear" w:color="auto" w:fill="FFFFFF" w:themeFill="background1"/>
            <w:noWrap/>
            <w:vAlign w:val="center"/>
            <w:hideMark/>
          </w:tcPr>
          <w:p w14:paraId="7263F89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25</w:t>
            </w:r>
          </w:p>
        </w:tc>
        <w:tc>
          <w:tcPr>
            <w:tcW w:w="1581" w:type="dxa"/>
            <w:tcBorders>
              <w:top w:val="single" w:sz="4" w:space="0" w:color="auto"/>
            </w:tcBorders>
            <w:shd w:val="clear" w:color="auto" w:fill="FFFFFF" w:themeFill="background1"/>
            <w:noWrap/>
            <w:vAlign w:val="center"/>
            <w:hideMark/>
          </w:tcPr>
          <w:p w14:paraId="0045C5D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26°28'20.345''S</w:t>
            </w:r>
          </w:p>
        </w:tc>
        <w:tc>
          <w:tcPr>
            <w:tcW w:w="1547" w:type="dxa"/>
            <w:tcBorders>
              <w:top w:val="single" w:sz="4" w:space="0" w:color="auto"/>
            </w:tcBorders>
            <w:shd w:val="clear" w:color="auto" w:fill="FFFFFF" w:themeFill="background1"/>
            <w:noWrap/>
            <w:vAlign w:val="center"/>
            <w:hideMark/>
          </w:tcPr>
          <w:p w14:paraId="0FC3166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52°41'8.423''O</w:t>
            </w:r>
          </w:p>
        </w:tc>
        <w:tc>
          <w:tcPr>
            <w:tcW w:w="1271" w:type="dxa"/>
            <w:tcBorders>
              <w:top w:val="single" w:sz="4" w:space="0" w:color="auto"/>
            </w:tcBorders>
            <w:shd w:val="clear" w:color="auto" w:fill="FFFFFF" w:themeFill="background1"/>
            <w:noWrap/>
            <w:vAlign w:val="center"/>
            <w:hideMark/>
          </w:tcPr>
          <w:p w14:paraId="4A3E623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684</w:t>
            </w:r>
          </w:p>
        </w:tc>
        <w:tc>
          <w:tcPr>
            <w:tcW w:w="1984" w:type="dxa"/>
            <w:tcBorders>
              <w:top w:val="single" w:sz="4" w:space="0" w:color="auto"/>
            </w:tcBorders>
            <w:shd w:val="clear" w:color="auto" w:fill="FFFFFF" w:themeFill="background1"/>
            <w:noWrap/>
            <w:vAlign w:val="center"/>
            <w:hideMark/>
          </w:tcPr>
          <w:p w14:paraId="564A3A5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Galvão</w:t>
            </w:r>
          </w:p>
        </w:tc>
        <w:tc>
          <w:tcPr>
            <w:tcW w:w="1560" w:type="dxa"/>
            <w:tcBorders>
              <w:top w:val="single" w:sz="4" w:space="0" w:color="auto"/>
            </w:tcBorders>
            <w:shd w:val="clear" w:color="auto" w:fill="FFFFFF" w:themeFill="background1"/>
            <w:noWrap/>
            <w:vAlign w:val="center"/>
            <w:hideMark/>
          </w:tcPr>
          <w:p w14:paraId="78ADED2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08/04/2018</w:t>
            </w:r>
          </w:p>
        </w:tc>
        <w:tc>
          <w:tcPr>
            <w:tcW w:w="1842" w:type="dxa"/>
            <w:tcBorders>
              <w:top w:val="single" w:sz="4" w:space="0" w:color="auto"/>
            </w:tcBorders>
            <w:shd w:val="clear" w:color="auto" w:fill="FFFFFF" w:themeFill="background1"/>
            <w:noWrap/>
            <w:vAlign w:val="center"/>
            <w:hideMark/>
          </w:tcPr>
          <w:p w14:paraId="436FFC8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tcBorders>
              <w:top w:val="single" w:sz="4" w:space="0" w:color="auto"/>
            </w:tcBorders>
            <w:shd w:val="clear" w:color="auto" w:fill="FFFFFF" w:themeFill="background1"/>
            <w:noWrap/>
            <w:vAlign w:val="center"/>
            <w:hideMark/>
          </w:tcPr>
          <w:p w14:paraId="3A37E7E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tcBorders>
              <w:top w:val="single" w:sz="4" w:space="0" w:color="auto"/>
            </w:tcBorders>
            <w:shd w:val="clear" w:color="auto" w:fill="FFFFFF" w:themeFill="background1"/>
            <w:noWrap/>
            <w:vAlign w:val="center"/>
            <w:hideMark/>
          </w:tcPr>
          <w:p w14:paraId="0DC8D52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71C7D7A7" w14:textId="77777777" w:rsidTr="00D74DA1">
        <w:trPr>
          <w:trHeight w:val="300"/>
        </w:trPr>
        <w:tc>
          <w:tcPr>
            <w:tcW w:w="1034" w:type="dxa"/>
            <w:shd w:val="clear" w:color="auto" w:fill="FFFFFF" w:themeFill="background1"/>
            <w:noWrap/>
            <w:vAlign w:val="center"/>
            <w:hideMark/>
          </w:tcPr>
          <w:p w14:paraId="57D2F03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w:t>
            </w:r>
          </w:p>
        </w:tc>
        <w:tc>
          <w:tcPr>
            <w:tcW w:w="1581" w:type="dxa"/>
            <w:shd w:val="clear" w:color="auto" w:fill="FFFFFF" w:themeFill="background1"/>
            <w:noWrap/>
            <w:vAlign w:val="center"/>
            <w:hideMark/>
          </w:tcPr>
          <w:p w14:paraId="52571F0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26°49'59.50"S</w:t>
            </w:r>
          </w:p>
        </w:tc>
        <w:tc>
          <w:tcPr>
            <w:tcW w:w="1547" w:type="dxa"/>
            <w:shd w:val="clear" w:color="auto" w:fill="FFFFFF" w:themeFill="background1"/>
            <w:noWrap/>
            <w:vAlign w:val="center"/>
            <w:hideMark/>
          </w:tcPr>
          <w:p w14:paraId="734DA18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52°27'8.50"O</w:t>
            </w:r>
          </w:p>
        </w:tc>
        <w:tc>
          <w:tcPr>
            <w:tcW w:w="1271" w:type="dxa"/>
            <w:shd w:val="clear" w:color="auto" w:fill="FFFFFF" w:themeFill="background1"/>
            <w:noWrap/>
            <w:vAlign w:val="center"/>
            <w:hideMark/>
          </w:tcPr>
          <w:p w14:paraId="043AF0B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686</w:t>
            </w:r>
          </w:p>
        </w:tc>
        <w:tc>
          <w:tcPr>
            <w:tcW w:w="1984" w:type="dxa"/>
            <w:shd w:val="clear" w:color="auto" w:fill="FFFFFF" w:themeFill="background1"/>
            <w:noWrap/>
            <w:vAlign w:val="center"/>
            <w:hideMark/>
          </w:tcPr>
          <w:p w14:paraId="6432791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Xanxerê</w:t>
            </w:r>
          </w:p>
        </w:tc>
        <w:tc>
          <w:tcPr>
            <w:tcW w:w="1560" w:type="dxa"/>
            <w:shd w:val="clear" w:color="auto" w:fill="FFFFFF" w:themeFill="background1"/>
            <w:noWrap/>
            <w:vAlign w:val="center"/>
            <w:hideMark/>
          </w:tcPr>
          <w:p w14:paraId="7F5D7AC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403BAF9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4CCCB7A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64AD920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141D9437" w14:textId="77777777" w:rsidTr="00D74DA1">
        <w:trPr>
          <w:trHeight w:val="300"/>
        </w:trPr>
        <w:tc>
          <w:tcPr>
            <w:tcW w:w="1034" w:type="dxa"/>
            <w:shd w:val="clear" w:color="auto" w:fill="FFFFFF" w:themeFill="background1"/>
            <w:noWrap/>
            <w:vAlign w:val="center"/>
            <w:hideMark/>
          </w:tcPr>
          <w:p w14:paraId="1AA91BF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w:t>
            </w:r>
          </w:p>
        </w:tc>
        <w:tc>
          <w:tcPr>
            <w:tcW w:w="1581" w:type="dxa"/>
            <w:shd w:val="clear" w:color="auto" w:fill="FFFFFF" w:themeFill="background1"/>
            <w:noWrap/>
            <w:vAlign w:val="center"/>
            <w:hideMark/>
          </w:tcPr>
          <w:p w14:paraId="64A223E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26°42'1.23"S</w:t>
            </w:r>
          </w:p>
        </w:tc>
        <w:tc>
          <w:tcPr>
            <w:tcW w:w="1547" w:type="dxa"/>
            <w:shd w:val="clear" w:color="auto" w:fill="FFFFFF" w:themeFill="background1"/>
            <w:noWrap/>
            <w:vAlign w:val="center"/>
            <w:hideMark/>
          </w:tcPr>
          <w:p w14:paraId="3B481A9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52°21'37.89"O</w:t>
            </w:r>
          </w:p>
        </w:tc>
        <w:tc>
          <w:tcPr>
            <w:tcW w:w="1271" w:type="dxa"/>
            <w:shd w:val="clear" w:color="auto" w:fill="FFFFFF" w:themeFill="background1"/>
            <w:noWrap/>
            <w:vAlign w:val="center"/>
            <w:hideMark/>
          </w:tcPr>
          <w:p w14:paraId="58315CF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688</w:t>
            </w:r>
          </w:p>
        </w:tc>
        <w:tc>
          <w:tcPr>
            <w:tcW w:w="1984" w:type="dxa"/>
            <w:shd w:val="clear" w:color="auto" w:fill="FFFFFF" w:themeFill="background1"/>
            <w:noWrap/>
            <w:vAlign w:val="center"/>
            <w:hideMark/>
          </w:tcPr>
          <w:p w14:paraId="78C7389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Bom Jesus</w:t>
            </w:r>
          </w:p>
        </w:tc>
        <w:tc>
          <w:tcPr>
            <w:tcW w:w="1560" w:type="dxa"/>
            <w:shd w:val="clear" w:color="auto" w:fill="FFFFFF" w:themeFill="background1"/>
            <w:noWrap/>
            <w:vAlign w:val="center"/>
            <w:hideMark/>
          </w:tcPr>
          <w:p w14:paraId="0DD36ED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03503AE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37F048A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181FB98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3CF104A0" w14:textId="77777777" w:rsidTr="00D74DA1">
        <w:trPr>
          <w:trHeight w:val="300"/>
        </w:trPr>
        <w:tc>
          <w:tcPr>
            <w:tcW w:w="1034" w:type="dxa"/>
            <w:shd w:val="clear" w:color="auto" w:fill="FFFFFF" w:themeFill="background1"/>
            <w:noWrap/>
            <w:vAlign w:val="center"/>
            <w:hideMark/>
          </w:tcPr>
          <w:p w14:paraId="4DCBB47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28</w:t>
            </w:r>
          </w:p>
        </w:tc>
        <w:tc>
          <w:tcPr>
            <w:tcW w:w="1581" w:type="dxa"/>
            <w:shd w:val="clear" w:color="auto" w:fill="FFFFFF" w:themeFill="background1"/>
            <w:noWrap/>
            <w:vAlign w:val="center"/>
            <w:hideMark/>
          </w:tcPr>
          <w:p w14:paraId="1AD7BCD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26°46'29.56"S</w:t>
            </w:r>
          </w:p>
        </w:tc>
        <w:tc>
          <w:tcPr>
            <w:tcW w:w="1547" w:type="dxa"/>
            <w:shd w:val="clear" w:color="auto" w:fill="FFFFFF" w:themeFill="background1"/>
            <w:noWrap/>
            <w:vAlign w:val="center"/>
            <w:hideMark/>
          </w:tcPr>
          <w:p w14:paraId="6175062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52°24'17.81"O</w:t>
            </w:r>
          </w:p>
        </w:tc>
        <w:tc>
          <w:tcPr>
            <w:tcW w:w="1271" w:type="dxa"/>
            <w:shd w:val="clear" w:color="auto" w:fill="FFFFFF" w:themeFill="background1"/>
            <w:noWrap/>
            <w:vAlign w:val="center"/>
            <w:hideMark/>
          </w:tcPr>
          <w:p w14:paraId="617A1C3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698</w:t>
            </w:r>
          </w:p>
        </w:tc>
        <w:tc>
          <w:tcPr>
            <w:tcW w:w="1984" w:type="dxa"/>
            <w:shd w:val="clear" w:color="auto" w:fill="FFFFFF" w:themeFill="background1"/>
            <w:noWrap/>
            <w:vAlign w:val="center"/>
            <w:hideMark/>
          </w:tcPr>
          <w:p w14:paraId="249A966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Bom Jesus</w:t>
            </w:r>
          </w:p>
        </w:tc>
        <w:tc>
          <w:tcPr>
            <w:tcW w:w="1560" w:type="dxa"/>
            <w:shd w:val="clear" w:color="auto" w:fill="FFFFFF" w:themeFill="background1"/>
            <w:noWrap/>
            <w:vAlign w:val="center"/>
            <w:hideMark/>
          </w:tcPr>
          <w:p w14:paraId="5989788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09E20EA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4059630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4037EFA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6634D4D2" w14:textId="77777777" w:rsidTr="00D74DA1">
        <w:trPr>
          <w:trHeight w:val="300"/>
        </w:trPr>
        <w:tc>
          <w:tcPr>
            <w:tcW w:w="1034" w:type="dxa"/>
            <w:shd w:val="clear" w:color="auto" w:fill="FFFFFF" w:themeFill="background1"/>
            <w:noWrap/>
            <w:vAlign w:val="center"/>
            <w:hideMark/>
          </w:tcPr>
          <w:p w14:paraId="054B41C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29</w:t>
            </w:r>
          </w:p>
        </w:tc>
        <w:tc>
          <w:tcPr>
            <w:tcW w:w="1581" w:type="dxa"/>
            <w:shd w:val="clear" w:color="auto" w:fill="FFFFFF" w:themeFill="background1"/>
            <w:noWrap/>
            <w:vAlign w:val="center"/>
            <w:hideMark/>
          </w:tcPr>
          <w:p w14:paraId="33260B2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26°25'43.88"S</w:t>
            </w:r>
          </w:p>
        </w:tc>
        <w:tc>
          <w:tcPr>
            <w:tcW w:w="1547" w:type="dxa"/>
            <w:shd w:val="clear" w:color="auto" w:fill="FFFFFF" w:themeFill="background1"/>
            <w:noWrap/>
            <w:vAlign w:val="center"/>
            <w:hideMark/>
          </w:tcPr>
          <w:p w14:paraId="558613E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53°31'37.36"O</w:t>
            </w:r>
          </w:p>
        </w:tc>
        <w:tc>
          <w:tcPr>
            <w:tcW w:w="1271" w:type="dxa"/>
            <w:shd w:val="clear" w:color="auto" w:fill="FFFFFF" w:themeFill="background1"/>
            <w:noWrap/>
            <w:vAlign w:val="center"/>
            <w:hideMark/>
          </w:tcPr>
          <w:p w14:paraId="13B59A9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700</w:t>
            </w:r>
          </w:p>
        </w:tc>
        <w:tc>
          <w:tcPr>
            <w:tcW w:w="1984" w:type="dxa"/>
            <w:shd w:val="clear" w:color="auto" w:fill="FFFFFF" w:themeFill="background1"/>
            <w:noWrap/>
            <w:vAlign w:val="center"/>
            <w:hideMark/>
          </w:tcPr>
          <w:p w14:paraId="38F89CB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São José Do Cedro</w:t>
            </w:r>
          </w:p>
        </w:tc>
        <w:tc>
          <w:tcPr>
            <w:tcW w:w="1560" w:type="dxa"/>
            <w:shd w:val="clear" w:color="auto" w:fill="FFFFFF" w:themeFill="background1"/>
            <w:noWrap/>
            <w:vAlign w:val="center"/>
            <w:hideMark/>
          </w:tcPr>
          <w:p w14:paraId="34A1477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842" w:type="dxa"/>
            <w:shd w:val="clear" w:color="auto" w:fill="FFFFFF" w:themeFill="background1"/>
            <w:noWrap/>
            <w:vAlign w:val="center"/>
            <w:hideMark/>
          </w:tcPr>
          <w:p w14:paraId="2A3E728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38BD3D0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4EDBED8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49F6946B" w14:textId="77777777" w:rsidTr="00D74DA1">
        <w:trPr>
          <w:trHeight w:val="300"/>
        </w:trPr>
        <w:tc>
          <w:tcPr>
            <w:tcW w:w="1034" w:type="dxa"/>
            <w:shd w:val="clear" w:color="auto" w:fill="FFFFFF" w:themeFill="background1"/>
            <w:noWrap/>
            <w:vAlign w:val="center"/>
            <w:hideMark/>
          </w:tcPr>
          <w:p w14:paraId="13D568A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30</w:t>
            </w:r>
          </w:p>
        </w:tc>
        <w:tc>
          <w:tcPr>
            <w:tcW w:w="1581" w:type="dxa"/>
            <w:shd w:val="clear" w:color="auto" w:fill="FFFFFF" w:themeFill="background1"/>
            <w:noWrap/>
            <w:vAlign w:val="center"/>
            <w:hideMark/>
          </w:tcPr>
          <w:p w14:paraId="7D1C01B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26°28'12.39"S</w:t>
            </w:r>
          </w:p>
        </w:tc>
        <w:tc>
          <w:tcPr>
            <w:tcW w:w="1547" w:type="dxa"/>
            <w:shd w:val="clear" w:color="auto" w:fill="FFFFFF" w:themeFill="background1"/>
            <w:noWrap/>
            <w:vAlign w:val="center"/>
            <w:hideMark/>
          </w:tcPr>
          <w:p w14:paraId="367AB4C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53°31'2.71"O</w:t>
            </w:r>
          </w:p>
        </w:tc>
        <w:tc>
          <w:tcPr>
            <w:tcW w:w="1271" w:type="dxa"/>
            <w:shd w:val="clear" w:color="auto" w:fill="FFFFFF" w:themeFill="background1"/>
            <w:noWrap/>
            <w:vAlign w:val="center"/>
            <w:hideMark/>
          </w:tcPr>
          <w:p w14:paraId="1C76145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701</w:t>
            </w:r>
          </w:p>
        </w:tc>
        <w:tc>
          <w:tcPr>
            <w:tcW w:w="1984" w:type="dxa"/>
            <w:shd w:val="clear" w:color="auto" w:fill="FFFFFF" w:themeFill="background1"/>
            <w:noWrap/>
            <w:vAlign w:val="center"/>
            <w:hideMark/>
          </w:tcPr>
          <w:p w14:paraId="78F6B2C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São José Do Cedro</w:t>
            </w:r>
          </w:p>
        </w:tc>
        <w:tc>
          <w:tcPr>
            <w:tcW w:w="1560" w:type="dxa"/>
            <w:shd w:val="clear" w:color="auto" w:fill="FFFFFF" w:themeFill="background1"/>
            <w:noWrap/>
            <w:vAlign w:val="center"/>
            <w:hideMark/>
          </w:tcPr>
          <w:p w14:paraId="2B357B7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842" w:type="dxa"/>
            <w:shd w:val="clear" w:color="auto" w:fill="FFFFFF" w:themeFill="background1"/>
            <w:noWrap/>
            <w:vAlign w:val="center"/>
            <w:hideMark/>
          </w:tcPr>
          <w:p w14:paraId="3DCDA7B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NS 5959 IPRO</w:t>
            </w:r>
          </w:p>
        </w:tc>
        <w:tc>
          <w:tcPr>
            <w:tcW w:w="1276" w:type="dxa"/>
            <w:shd w:val="clear" w:color="auto" w:fill="FFFFFF" w:themeFill="background1"/>
            <w:noWrap/>
            <w:vAlign w:val="center"/>
            <w:hideMark/>
          </w:tcPr>
          <w:p w14:paraId="15A724F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R5.4</w:t>
            </w:r>
          </w:p>
        </w:tc>
        <w:tc>
          <w:tcPr>
            <w:tcW w:w="1559" w:type="dxa"/>
            <w:shd w:val="clear" w:color="auto" w:fill="FFFFFF" w:themeFill="background1"/>
            <w:noWrap/>
            <w:vAlign w:val="center"/>
            <w:hideMark/>
          </w:tcPr>
          <w:p w14:paraId="4842E92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65F6F3C8" w14:textId="77777777" w:rsidTr="00D74DA1">
        <w:trPr>
          <w:trHeight w:val="300"/>
        </w:trPr>
        <w:tc>
          <w:tcPr>
            <w:tcW w:w="1034" w:type="dxa"/>
            <w:shd w:val="clear" w:color="auto" w:fill="FFFFFF" w:themeFill="background1"/>
            <w:noWrap/>
            <w:vAlign w:val="center"/>
            <w:hideMark/>
          </w:tcPr>
          <w:p w14:paraId="13A8A94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31</w:t>
            </w:r>
          </w:p>
        </w:tc>
        <w:tc>
          <w:tcPr>
            <w:tcW w:w="1581" w:type="dxa"/>
            <w:shd w:val="clear" w:color="auto" w:fill="FFFFFF" w:themeFill="background1"/>
            <w:noWrap/>
            <w:vAlign w:val="center"/>
            <w:hideMark/>
          </w:tcPr>
          <w:p w14:paraId="4872216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26°27'46.19"S</w:t>
            </w:r>
          </w:p>
        </w:tc>
        <w:tc>
          <w:tcPr>
            <w:tcW w:w="1547" w:type="dxa"/>
            <w:shd w:val="clear" w:color="auto" w:fill="FFFFFF" w:themeFill="background1"/>
            <w:noWrap/>
            <w:vAlign w:val="center"/>
            <w:hideMark/>
          </w:tcPr>
          <w:p w14:paraId="5D77E00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53°30'30.49"O</w:t>
            </w:r>
          </w:p>
        </w:tc>
        <w:tc>
          <w:tcPr>
            <w:tcW w:w="1271" w:type="dxa"/>
            <w:shd w:val="clear" w:color="auto" w:fill="FFFFFF" w:themeFill="background1"/>
            <w:noWrap/>
            <w:vAlign w:val="center"/>
            <w:hideMark/>
          </w:tcPr>
          <w:p w14:paraId="5ADB540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714</w:t>
            </w:r>
          </w:p>
        </w:tc>
        <w:tc>
          <w:tcPr>
            <w:tcW w:w="1984" w:type="dxa"/>
            <w:shd w:val="clear" w:color="auto" w:fill="FFFFFF" w:themeFill="background1"/>
            <w:noWrap/>
            <w:vAlign w:val="center"/>
            <w:hideMark/>
          </w:tcPr>
          <w:p w14:paraId="2B343DD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São José Do Cedro</w:t>
            </w:r>
          </w:p>
        </w:tc>
        <w:tc>
          <w:tcPr>
            <w:tcW w:w="1560" w:type="dxa"/>
            <w:shd w:val="clear" w:color="auto" w:fill="FFFFFF" w:themeFill="background1"/>
            <w:noWrap/>
            <w:vAlign w:val="center"/>
            <w:hideMark/>
          </w:tcPr>
          <w:p w14:paraId="0E34D65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842" w:type="dxa"/>
            <w:shd w:val="clear" w:color="auto" w:fill="FFFFFF" w:themeFill="background1"/>
            <w:noWrap/>
            <w:vAlign w:val="bottom"/>
            <w:hideMark/>
          </w:tcPr>
          <w:p w14:paraId="1C0EB54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P96Y90 IPRO</w:t>
            </w:r>
          </w:p>
        </w:tc>
        <w:tc>
          <w:tcPr>
            <w:tcW w:w="1276" w:type="dxa"/>
            <w:shd w:val="clear" w:color="auto" w:fill="FFFFFF" w:themeFill="background1"/>
            <w:noWrap/>
            <w:vAlign w:val="center"/>
            <w:hideMark/>
          </w:tcPr>
          <w:p w14:paraId="7B4CFBB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5361B20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6F821996" w14:textId="77777777" w:rsidTr="00D74DA1">
        <w:trPr>
          <w:trHeight w:val="300"/>
        </w:trPr>
        <w:tc>
          <w:tcPr>
            <w:tcW w:w="1034" w:type="dxa"/>
            <w:shd w:val="clear" w:color="auto" w:fill="FFFFFF" w:themeFill="background1"/>
            <w:noWrap/>
            <w:vAlign w:val="center"/>
            <w:hideMark/>
          </w:tcPr>
          <w:p w14:paraId="4DF31F9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32</w:t>
            </w:r>
          </w:p>
        </w:tc>
        <w:tc>
          <w:tcPr>
            <w:tcW w:w="1581" w:type="dxa"/>
            <w:shd w:val="clear" w:color="auto" w:fill="FFFFFF" w:themeFill="background1"/>
            <w:noWrap/>
            <w:vAlign w:val="center"/>
            <w:hideMark/>
          </w:tcPr>
          <w:p w14:paraId="030EC45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27°23'9.80"S</w:t>
            </w:r>
          </w:p>
        </w:tc>
        <w:tc>
          <w:tcPr>
            <w:tcW w:w="1547" w:type="dxa"/>
            <w:shd w:val="clear" w:color="auto" w:fill="FFFFFF" w:themeFill="background1"/>
            <w:noWrap/>
            <w:vAlign w:val="center"/>
            <w:hideMark/>
          </w:tcPr>
          <w:p w14:paraId="688ED5B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51°34'49.24"O</w:t>
            </w:r>
          </w:p>
        </w:tc>
        <w:tc>
          <w:tcPr>
            <w:tcW w:w="1271" w:type="dxa"/>
            <w:shd w:val="clear" w:color="auto" w:fill="FFFFFF" w:themeFill="background1"/>
            <w:noWrap/>
            <w:vAlign w:val="center"/>
            <w:hideMark/>
          </w:tcPr>
          <w:p w14:paraId="4AAA538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722</w:t>
            </w:r>
          </w:p>
        </w:tc>
        <w:tc>
          <w:tcPr>
            <w:tcW w:w="1984" w:type="dxa"/>
            <w:shd w:val="clear" w:color="auto" w:fill="FFFFFF" w:themeFill="background1"/>
            <w:noWrap/>
            <w:vAlign w:val="center"/>
            <w:hideMark/>
          </w:tcPr>
          <w:p w14:paraId="0352744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Capinzal</w:t>
            </w:r>
          </w:p>
        </w:tc>
        <w:tc>
          <w:tcPr>
            <w:tcW w:w="1560" w:type="dxa"/>
            <w:shd w:val="clear" w:color="auto" w:fill="FFFFFF" w:themeFill="background1"/>
            <w:noWrap/>
            <w:vAlign w:val="center"/>
            <w:hideMark/>
          </w:tcPr>
          <w:p w14:paraId="0D43774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11/03/2018</w:t>
            </w:r>
          </w:p>
        </w:tc>
        <w:tc>
          <w:tcPr>
            <w:tcW w:w="1842" w:type="dxa"/>
            <w:shd w:val="clear" w:color="auto" w:fill="FFFFFF" w:themeFill="background1"/>
            <w:noWrap/>
            <w:vAlign w:val="center"/>
            <w:hideMark/>
          </w:tcPr>
          <w:p w14:paraId="70447E9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0EB971D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R5.5</w:t>
            </w:r>
          </w:p>
        </w:tc>
        <w:tc>
          <w:tcPr>
            <w:tcW w:w="1559" w:type="dxa"/>
            <w:shd w:val="clear" w:color="auto" w:fill="FFFFFF" w:themeFill="background1"/>
            <w:noWrap/>
            <w:vAlign w:val="center"/>
            <w:hideMark/>
          </w:tcPr>
          <w:p w14:paraId="7B510D8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43D05B7D" w14:textId="77777777" w:rsidTr="00D74DA1">
        <w:trPr>
          <w:trHeight w:val="300"/>
        </w:trPr>
        <w:tc>
          <w:tcPr>
            <w:tcW w:w="1034" w:type="dxa"/>
            <w:shd w:val="clear" w:color="auto" w:fill="FFFFFF" w:themeFill="background1"/>
            <w:noWrap/>
            <w:vAlign w:val="center"/>
            <w:hideMark/>
          </w:tcPr>
          <w:p w14:paraId="6D1C8C6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33</w:t>
            </w:r>
          </w:p>
        </w:tc>
        <w:tc>
          <w:tcPr>
            <w:tcW w:w="1581" w:type="dxa"/>
            <w:shd w:val="clear" w:color="auto" w:fill="FFFFFF" w:themeFill="background1"/>
            <w:noWrap/>
            <w:vAlign w:val="center"/>
            <w:hideMark/>
          </w:tcPr>
          <w:p w14:paraId="7B42F71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26°18'45.130''S</w:t>
            </w:r>
          </w:p>
        </w:tc>
        <w:tc>
          <w:tcPr>
            <w:tcW w:w="1547" w:type="dxa"/>
            <w:shd w:val="clear" w:color="auto" w:fill="FFFFFF" w:themeFill="background1"/>
            <w:noWrap/>
            <w:vAlign w:val="center"/>
            <w:hideMark/>
          </w:tcPr>
          <w:p w14:paraId="530E766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50°54'27.594''O</w:t>
            </w:r>
          </w:p>
        </w:tc>
        <w:tc>
          <w:tcPr>
            <w:tcW w:w="1271" w:type="dxa"/>
            <w:shd w:val="clear" w:color="auto" w:fill="FFFFFF" w:themeFill="background1"/>
            <w:noWrap/>
            <w:vAlign w:val="center"/>
            <w:hideMark/>
          </w:tcPr>
          <w:p w14:paraId="6CE09AF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773</w:t>
            </w:r>
          </w:p>
        </w:tc>
        <w:tc>
          <w:tcPr>
            <w:tcW w:w="1984" w:type="dxa"/>
            <w:shd w:val="clear" w:color="auto" w:fill="FFFFFF" w:themeFill="background1"/>
            <w:noWrap/>
            <w:vAlign w:val="center"/>
            <w:hideMark/>
          </w:tcPr>
          <w:p w14:paraId="7FA6D2B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Porto União</w:t>
            </w:r>
          </w:p>
        </w:tc>
        <w:tc>
          <w:tcPr>
            <w:tcW w:w="1560" w:type="dxa"/>
            <w:shd w:val="clear" w:color="auto" w:fill="FFFFFF" w:themeFill="background1"/>
            <w:noWrap/>
            <w:vAlign w:val="center"/>
            <w:hideMark/>
          </w:tcPr>
          <w:p w14:paraId="3DEFC68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29/03/2018</w:t>
            </w:r>
          </w:p>
        </w:tc>
        <w:tc>
          <w:tcPr>
            <w:tcW w:w="1842" w:type="dxa"/>
            <w:shd w:val="clear" w:color="auto" w:fill="FFFFFF" w:themeFill="background1"/>
            <w:noWrap/>
            <w:vAlign w:val="center"/>
            <w:hideMark/>
          </w:tcPr>
          <w:p w14:paraId="329FD42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TMG7062 RR</w:t>
            </w:r>
          </w:p>
        </w:tc>
        <w:tc>
          <w:tcPr>
            <w:tcW w:w="1276" w:type="dxa"/>
            <w:shd w:val="clear" w:color="auto" w:fill="FFFFFF" w:themeFill="background1"/>
            <w:noWrap/>
            <w:vAlign w:val="center"/>
            <w:hideMark/>
          </w:tcPr>
          <w:p w14:paraId="3899BA7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7C938E8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3BF76302" w14:textId="77777777" w:rsidTr="00D74DA1">
        <w:trPr>
          <w:trHeight w:val="300"/>
        </w:trPr>
        <w:tc>
          <w:tcPr>
            <w:tcW w:w="1034" w:type="dxa"/>
            <w:shd w:val="clear" w:color="auto" w:fill="FFFFFF" w:themeFill="background1"/>
            <w:noWrap/>
            <w:vAlign w:val="center"/>
            <w:hideMark/>
          </w:tcPr>
          <w:p w14:paraId="2B52A0F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34</w:t>
            </w:r>
          </w:p>
        </w:tc>
        <w:tc>
          <w:tcPr>
            <w:tcW w:w="1581" w:type="dxa"/>
            <w:shd w:val="clear" w:color="auto" w:fill="FFFFFF" w:themeFill="background1"/>
            <w:noWrap/>
            <w:vAlign w:val="center"/>
            <w:hideMark/>
          </w:tcPr>
          <w:p w14:paraId="1BF5829D" w14:textId="77777777" w:rsidR="00362172" w:rsidRPr="00362172" w:rsidRDefault="00362172" w:rsidP="00362172">
            <w:pPr>
              <w:autoSpaceDE/>
              <w:autoSpaceDN/>
              <w:adjustRightInd/>
              <w:spacing w:after="0" w:line="240" w:lineRule="auto"/>
              <w:ind w:firstLine="0"/>
              <w:jc w:val="center"/>
              <w:rPr>
                <w:rFonts w:eastAsia="Times New Roman"/>
                <w:i/>
                <w:iCs/>
                <w:color w:val="000000"/>
                <w:sz w:val="20"/>
                <w:szCs w:val="20"/>
                <w:lang w:eastAsia="pt-BR"/>
              </w:rPr>
            </w:pPr>
            <w:r w:rsidRPr="00362172">
              <w:rPr>
                <w:rFonts w:eastAsia="Times New Roman"/>
                <w:i/>
                <w:iCs/>
                <w:color w:val="000000"/>
                <w:sz w:val="20"/>
                <w:szCs w:val="20"/>
                <w:lang w:eastAsia="pt-BR"/>
              </w:rPr>
              <w:t>26°23'53.052''S</w:t>
            </w:r>
          </w:p>
        </w:tc>
        <w:tc>
          <w:tcPr>
            <w:tcW w:w="1547" w:type="dxa"/>
            <w:shd w:val="clear" w:color="auto" w:fill="FFFFFF" w:themeFill="background1"/>
            <w:noWrap/>
            <w:vAlign w:val="center"/>
            <w:hideMark/>
          </w:tcPr>
          <w:p w14:paraId="34A08FF0" w14:textId="77777777" w:rsidR="00362172" w:rsidRPr="00362172" w:rsidRDefault="00362172" w:rsidP="00362172">
            <w:pPr>
              <w:autoSpaceDE/>
              <w:autoSpaceDN/>
              <w:adjustRightInd/>
              <w:spacing w:after="0" w:line="240" w:lineRule="auto"/>
              <w:ind w:firstLine="0"/>
              <w:jc w:val="center"/>
              <w:rPr>
                <w:rFonts w:eastAsia="Times New Roman"/>
                <w:i/>
                <w:iCs/>
                <w:color w:val="000000"/>
                <w:sz w:val="20"/>
                <w:szCs w:val="20"/>
                <w:lang w:eastAsia="pt-BR"/>
              </w:rPr>
            </w:pPr>
            <w:r w:rsidRPr="00362172">
              <w:rPr>
                <w:rFonts w:eastAsia="Times New Roman"/>
                <w:i/>
                <w:iCs/>
                <w:color w:val="000000"/>
                <w:sz w:val="20"/>
                <w:szCs w:val="20"/>
                <w:lang w:eastAsia="pt-BR"/>
              </w:rPr>
              <w:t>52°44'57.466''O</w:t>
            </w:r>
          </w:p>
        </w:tc>
        <w:tc>
          <w:tcPr>
            <w:tcW w:w="1271" w:type="dxa"/>
            <w:shd w:val="clear" w:color="auto" w:fill="FFFFFF" w:themeFill="background1"/>
            <w:noWrap/>
            <w:vAlign w:val="center"/>
            <w:hideMark/>
          </w:tcPr>
          <w:p w14:paraId="0EBEA7E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774</w:t>
            </w:r>
          </w:p>
        </w:tc>
        <w:tc>
          <w:tcPr>
            <w:tcW w:w="1984" w:type="dxa"/>
            <w:shd w:val="clear" w:color="auto" w:fill="FFFFFF" w:themeFill="background1"/>
            <w:noWrap/>
            <w:vAlign w:val="center"/>
            <w:hideMark/>
          </w:tcPr>
          <w:p w14:paraId="433D22B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Jupiá</w:t>
            </w:r>
          </w:p>
        </w:tc>
        <w:tc>
          <w:tcPr>
            <w:tcW w:w="1560" w:type="dxa"/>
            <w:shd w:val="clear" w:color="auto" w:fill="FFFFFF" w:themeFill="background1"/>
            <w:noWrap/>
            <w:vAlign w:val="center"/>
            <w:hideMark/>
          </w:tcPr>
          <w:p w14:paraId="1B69846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08/04/2018</w:t>
            </w:r>
          </w:p>
        </w:tc>
        <w:tc>
          <w:tcPr>
            <w:tcW w:w="1842" w:type="dxa"/>
            <w:shd w:val="clear" w:color="auto" w:fill="FFFFFF" w:themeFill="background1"/>
            <w:noWrap/>
            <w:vAlign w:val="center"/>
            <w:hideMark/>
          </w:tcPr>
          <w:p w14:paraId="3A080BB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61B5AE0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R5.2</w:t>
            </w:r>
          </w:p>
        </w:tc>
        <w:tc>
          <w:tcPr>
            <w:tcW w:w="1559" w:type="dxa"/>
            <w:shd w:val="clear" w:color="auto" w:fill="FFFFFF" w:themeFill="background1"/>
            <w:noWrap/>
            <w:vAlign w:val="center"/>
            <w:hideMark/>
          </w:tcPr>
          <w:p w14:paraId="11E2919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572F08DB" w14:textId="77777777" w:rsidTr="00D74DA1">
        <w:trPr>
          <w:trHeight w:val="300"/>
        </w:trPr>
        <w:tc>
          <w:tcPr>
            <w:tcW w:w="1034" w:type="dxa"/>
            <w:shd w:val="clear" w:color="auto" w:fill="FFFFFF" w:themeFill="background1"/>
            <w:noWrap/>
            <w:vAlign w:val="center"/>
            <w:hideMark/>
          </w:tcPr>
          <w:p w14:paraId="1C9E1CD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35</w:t>
            </w:r>
          </w:p>
        </w:tc>
        <w:tc>
          <w:tcPr>
            <w:tcW w:w="1581" w:type="dxa"/>
            <w:shd w:val="clear" w:color="auto" w:fill="FFFFFF" w:themeFill="background1"/>
            <w:noWrap/>
            <w:vAlign w:val="center"/>
            <w:hideMark/>
          </w:tcPr>
          <w:p w14:paraId="78C456A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26°36'38.73"S</w:t>
            </w:r>
          </w:p>
        </w:tc>
        <w:tc>
          <w:tcPr>
            <w:tcW w:w="1547" w:type="dxa"/>
            <w:shd w:val="clear" w:color="auto" w:fill="FFFFFF" w:themeFill="background1"/>
            <w:noWrap/>
            <w:vAlign w:val="center"/>
            <w:hideMark/>
          </w:tcPr>
          <w:p w14:paraId="1F3CADD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52°21'5.78"O</w:t>
            </w:r>
          </w:p>
        </w:tc>
        <w:tc>
          <w:tcPr>
            <w:tcW w:w="1271" w:type="dxa"/>
            <w:shd w:val="clear" w:color="auto" w:fill="FFFFFF" w:themeFill="background1"/>
            <w:noWrap/>
            <w:vAlign w:val="center"/>
            <w:hideMark/>
          </w:tcPr>
          <w:p w14:paraId="75E4F57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782</w:t>
            </w:r>
          </w:p>
        </w:tc>
        <w:tc>
          <w:tcPr>
            <w:tcW w:w="1984" w:type="dxa"/>
            <w:shd w:val="clear" w:color="auto" w:fill="FFFFFF" w:themeFill="background1"/>
            <w:noWrap/>
            <w:vAlign w:val="center"/>
            <w:hideMark/>
          </w:tcPr>
          <w:p w14:paraId="6BAA3F4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Registro</w:t>
            </w:r>
          </w:p>
        </w:tc>
        <w:tc>
          <w:tcPr>
            <w:tcW w:w="1560" w:type="dxa"/>
            <w:shd w:val="clear" w:color="auto" w:fill="FFFFFF" w:themeFill="background1"/>
            <w:noWrap/>
            <w:vAlign w:val="center"/>
            <w:hideMark/>
          </w:tcPr>
          <w:p w14:paraId="7D499D3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0C2149E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741C232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767DE7B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402028C8" w14:textId="77777777" w:rsidTr="00D74DA1">
        <w:trPr>
          <w:trHeight w:val="300"/>
        </w:trPr>
        <w:tc>
          <w:tcPr>
            <w:tcW w:w="1034" w:type="dxa"/>
            <w:shd w:val="clear" w:color="auto" w:fill="FFFFFF" w:themeFill="background1"/>
            <w:noWrap/>
            <w:vAlign w:val="center"/>
            <w:hideMark/>
          </w:tcPr>
          <w:p w14:paraId="4273AE5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36</w:t>
            </w:r>
          </w:p>
        </w:tc>
        <w:tc>
          <w:tcPr>
            <w:tcW w:w="1581" w:type="dxa"/>
            <w:shd w:val="clear" w:color="auto" w:fill="FFFFFF" w:themeFill="background1"/>
            <w:noWrap/>
            <w:vAlign w:val="bottom"/>
            <w:hideMark/>
          </w:tcPr>
          <w:p w14:paraId="6AF5532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 3'36.18"S</w:t>
            </w:r>
          </w:p>
        </w:tc>
        <w:tc>
          <w:tcPr>
            <w:tcW w:w="1547" w:type="dxa"/>
            <w:shd w:val="clear" w:color="auto" w:fill="FFFFFF" w:themeFill="background1"/>
            <w:noWrap/>
            <w:vAlign w:val="bottom"/>
            <w:hideMark/>
          </w:tcPr>
          <w:p w14:paraId="60847E9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49°50'2.49"O</w:t>
            </w:r>
          </w:p>
        </w:tc>
        <w:tc>
          <w:tcPr>
            <w:tcW w:w="1271" w:type="dxa"/>
            <w:shd w:val="clear" w:color="auto" w:fill="FFFFFF" w:themeFill="background1"/>
            <w:noWrap/>
            <w:vAlign w:val="center"/>
            <w:hideMark/>
          </w:tcPr>
          <w:p w14:paraId="55F995A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787</w:t>
            </w:r>
          </w:p>
        </w:tc>
        <w:tc>
          <w:tcPr>
            <w:tcW w:w="1984" w:type="dxa"/>
            <w:shd w:val="clear" w:color="auto" w:fill="FFFFFF" w:themeFill="background1"/>
            <w:noWrap/>
            <w:vAlign w:val="center"/>
            <w:hideMark/>
          </w:tcPr>
          <w:p w14:paraId="62EF6BA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Mafra</w:t>
            </w:r>
          </w:p>
        </w:tc>
        <w:tc>
          <w:tcPr>
            <w:tcW w:w="1560" w:type="dxa"/>
            <w:shd w:val="clear" w:color="auto" w:fill="FFFFFF" w:themeFill="background1"/>
            <w:noWrap/>
            <w:vAlign w:val="center"/>
            <w:hideMark/>
          </w:tcPr>
          <w:p w14:paraId="1602D2A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31/03/2018</w:t>
            </w:r>
          </w:p>
        </w:tc>
        <w:tc>
          <w:tcPr>
            <w:tcW w:w="1842" w:type="dxa"/>
            <w:shd w:val="clear" w:color="auto" w:fill="FFFFFF" w:themeFill="background1"/>
            <w:noWrap/>
            <w:vAlign w:val="center"/>
            <w:hideMark/>
          </w:tcPr>
          <w:p w14:paraId="0557D50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NA5909RR</w:t>
            </w:r>
          </w:p>
        </w:tc>
        <w:tc>
          <w:tcPr>
            <w:tcW w:w="1276" w:type="dxa"/>
            <w:shd w:val="clear" w:color="auto" w:fill="FFFFFF" w:themeFill="background1"/>
            <w:noWrap/>
            <w:vAlign w:val="center"/>
            <w:hideMark/>
          </w:tcPr>
          <w:p w14:paraId="1593C27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6097F1B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1B8A284A" w14:textId="77777777" w:rsidTr="00D74DA1">
        <w:trPr>
          <w:trHeight w:val="300"/>
        </w:trPr>
        <w:tc>
          <w:tcPr>
            <w:tcW w:w="1034" w:type="dxa"/>
            <w:shd w:val="clear" w:color="auto" w:fill="FFFFFF" w:themeFill="background1"/>
            <w:noWrap/>
            <w:vAlign w:val="center"/>
            <w:hideMark/>
          </w:tcPr>
          <w:p w14:paraId="2CC968C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37</w:t>
            </w:r>
          </w:p>
        </w:tc>
        <w:tc>
          <w:tcPr>
            <w:tcW w:w="1581" w:type="dxa"/>
            <w:shd w:val="clear" w:color="auto" w:fill="FFFFFF" w:themeFill="background1"/>
            <w:noWrap/>
            <w:vAlign w:val="center"/>
            <w:hideMark/>
          </w:tcPr>
          <w:p w14:paraId="45C6931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 2'53.42"S</w:t>
            </w:r>
          </w:p>
        </w:tc>
        <w:tc>
          <w:tcPr>
            <w:tcW w:w="1547" w:type="dxa"/>
            <w:shd w:val="clear" w:color="auto" w:fill="FFFFFF" w:themeFill="background1"/>
            <w:noWrap/>
            <w:vAlign w:val="center"/>
            <w:hideMark/>
          </w:tcPr>
          <w:p w14:paraId="6E065EB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49°52'19.78"O</w:t>
            </w:r>
          </w:p>
        </w:tc>
        <w:tc>
          <w:tcPr>
            <w:tcW w:w="1271" w:type="dxa"/>
            <w:shd w:val="clear" w:color="auto" w:fill="FFFFFF" w:themeFill="background1"/>
            <w:noWrap/>
            <w:vAlign w:val="center"/>
            <w:hideMark/>
          </w:tcPr>
          <w:p w14:paraId="056C0ED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792</w:t>
            </w:r>
          </w:p>
        </w:tc>
        <w:tc>
          <w:tcPr>
            <w:tcW w:w="1984" w:type="dxa"/>
            <w:shd w:val="clear" w:color="auto" w:fill="FFFFFF" w:themeFill="background1"/>
            <w:noWrap/>
            <w:vAlign w:val="center"/>
            <w:hideMark/>
          </w:tcPr>
          <w:p w14:paraId="1D80F8F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Mafra</w:t>
            </w:r>
          </w:p>
        </w:tc>
        <w:tc>
          <w:tcPr>
            <w:tcW w:w="1560" w:type="dxa"/>
            <w:shd w:val="clear" w:color="auto" w:fill="FFFFFF" w:themeFill="background1"/>
            <w:noWrap/>
            <w:vAlign w:val="center"/>
            <w:hideMark/>
          </w:tcPr>
          <w:p w14:paraId="77DACB9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31/03/2018</w:t>
            </w:r>
          </w:p>
        </w:tc>
        <w:tc>
          <w:tcPr>
            <w:tcW w:w="1842" w:type="dxa"/>
            <w:shd w:val="clear" w:color="auto" w:fill="FFFFFF" w:themeFill="background1"/>
            <w:noWrap/>
            <w:vAlign w:val="center"/>
            <w:hideMark/>
          </w:tcPr>
          <w:p w14:paraId="1FC0D60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TMG7062 RR</w:t>
            </w:r>
          </w:p>
        </w:tc>
        <w:tc>
          <w:tcPr>
            <w:tcW w:w="1276" w:type="dxa"/>
            <w:shd w:val="clear" w:color="auto" w:fill="FFFFFF" w:themeFill="background1"/>
            <w:noWrap/>
            <w:vAlign w:val="center"/>
            <w:hideMark/>
          </w:tcPr>
          <w:p w14:paraId="43E01F6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082200E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0178CC28" w14:textId="77777777" w:rsidTr="00D74DA1">
        <w:trPr>
          <w:trHeight w:val="300"/>
        </w:trPr>
        <w:tc>
          <w:tcPr>
            <w:tcW w:w="1034" w:type="dxa"/>
            <w:shd w:val="clear" w:color="auto" w:fill="FFFFFF" w:themeFill="background1"/>
            <w:noWrap/>
            <w:vAlign w:val="center"/>
            <w:hideMark/>
          </w:tcPr>
          <w:p w14:paraId="1E386E7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38</w:t>
            </w:r>
          </w:p>
        </w:tc>
        <w:tc>
          <w:tcPr>
            <w:tcW w:w="1581" w:type="dxa"/>
            <w:shd w:val="clear" w:color="auto" w:fill="FFFFFF" w:themeFill="background1"/>
            <w:noWrap/>
            <w:vAlign w:val="center"/>
            <w:hideMark/>
          </w:tcPr>
          <w:p w14:paraId="75F2549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27°26'13.805''S</w:t>
            </w:r>
          </w:p>
        </w:tc>
        <w:tc>
          <w:tcPr>
            <w:tcW w:w="1547" w:type="dxa"/>
            <w:shd w:val="clear" w:color="auto" w:fill="FFFFFF" w:themeFill="background1"/>
            <w:noWrap/>
            <w:vAlign w:val="center"/>
            <w:hideMark/>
          </w:tcPr>
          <w:p w14:paraId="6CA4401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49°24'46.814''O</w:t>
            </w:r>
          </w:p>
        </w:tc>
        <w:tc>
          <w:tcPr>
            <w:tcW w:w="1271" w:type="dxa"/>
            <w:shd w:val="clear" w:color="auto" w:fill="FFFFFF" w:themeFill="background1"/>
            <w:noWrap/>
            <w:vAlign w:val="center"/>
            <w:hideMark/>
          </w:tcPr>
          <w:p w14:paraId="743C336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802</w:t>
            </w:r>
          </w:p>
        </w:tc>
        <w:tc>
          <w:tcPr>
            <w:tcW w:w="1984" w:type="dxa"/>
            <w:shd w:val="clear" w:color="auto" w:fill="FFFFFF" w:themeFill="background1"/>
            <w:noWrap/>
            <w:vAlign w:val="center"/>
            <w:hideMark/>
          </w:tcPr>
          <w:p w14:paraId="448E0B4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Imbúia</w:t>
            </w:r>
          </w:p>
        </w:tc>
        <w:tc>
          <w:tcPr>
            <w:tcW w:w="1560" w:type="dxa"/>
            <w:shd w:val="clear" w:color="auto" w:fill="FFFFFF" w:themeFill="background1"/>
            <w:noWrap/>
            <w:vAlign w:val="center"/>
            <w:hideMark/>
          </w:tcPr>
          <w:p w14:paraId="1852A60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02/05/2018</w:t>
            </w:r>
          </w:p>
        </w:tc>
        <w:tc>
          <w:tcPr>
            <w:tcW w:w="1842" w:type="dxa"/>
            <w:shd w:val="clear" w:color="auto" w:fill="FFFFFF" w:themeFill="background1"/>
            <w:noWrap/>
            <w:vAlign w:val="center"/>
            <w:hideMark/>
          </w:tcPr>
          <w:p w14:paraId="35B896E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Potência RR</w:t>
            </w:r>
          </w:p>
        </w:tc>
        <w:tc>
          <w:tcPr>
            <w:tcW w:w="1276" w:type="dxa"/>
            <w:shd w:val="clear" w:color="auto" w:fill="FFFFFF" w:themeFill="background1"/>
            <w:noWrap/>
            <w:vAlign w:val="center"/>
            <w:hideMark/>
          </w:tcPr>
          <w:p w14:paraId="05825B3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74F1F60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214294B7" w14:textId="77777777" w:rsidTr="00D74DA1">
        <w:trPr>
          <w:trHeight w:val="300"/>
        </w:trPr>
        <w:tc>
          <w:tcPr>
            <w:tcW w:w="1034" w:type="dxa"/>
            <w:shd w:val="clear" w:color="auto" w:fill="FFFFFF" w:themeFill="background1"/>
            <w:noWrap/>
            <w:vAlign w:val="center"/>
            <w:hideMark/>
          </w:tcPr>
          <w:p w14:paraId="123CCB0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39</w:t>
            </w:r>
          </w:p>
        </w:tc>
        <w:tc>
          <w:tcPr>
            <w:tcW w:w="1581" w:type="dxa"/>
            <w:shd w:val="clear" w:color="auto" w:fill="FFFFFF" w:themeFill="background1"/>
            <w:noWrap/>
            <w:vAlign w:val="center"/>
            <w:hideMark/>
          </w:tcPr>
          <w:p w14:paraId="4144F99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26°32'44.71"S</w:t>
            </w:r>
          </w:p>
        </w:tc>
        <w:tc>
          <w:tcPr>
            <w:tcW w:w="1547" w:type="dxa"/>
            <w:shd w:val="clear" w:color="auto" w:fill="FFFFFF" w:themeFill="background1"/>
            <w:noWrap/>
            <w:vAlign w:val="center"/>
            <w:hideMark/>
          </w:tcPr>
          <w:p w14:paraId="0E27465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52°18'26.98"O</w:t>
            </w:r>
          </w:p>
        </w:tc>
        <w:tc>
          <w:tcPr>
            <w:tcW w:w="1271" w:type="dxa"/>
            <w:shd w:val="clear" w:color="auto" w:fill="FFFFFF" w:themeFill="background1"/>
            <w:noWrap/>
            <w:vAlign w:val="center"/>
            <w:hideMark/>
          </w:tcPr>
          <w:p w14:paraId="13C185B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821</w:t>
            </w:r>
          </w:p>
        </w:tc>
        <w:tc>
          <w:tcPr>
            <w:tcW w:w="1984" w:type="dxa"/>
            <w:shd w:val="clear" w:color="auto" w:fill="FFFFFF" w:themeFill="background1"/>
            <w:noWrap/>
            <w:vAlign w:val="center"/>
            <w:hideMark/>
          </w:tcPr>
          <w:p w14:paraId="023393B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Abelardo Luz</w:t>
            </w:r>
          </w:p>
        </w:tc>
        <w:tc>
          <w:tcPr>
            <w:tcW w:w="1560" w:type="dxa"/>
            <w:shd w:val="clear" w:color="auto" w:fill="FFFFFF" w:themeFill="background1"/>
            <w:noWrap/>
            <w:vAlign w:val="center"/>
            <w:hideMark/>
          </w:tcPr>
          <w:p w14:paraId="0FB6FCA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7A080B8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21AE4D7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36DEED4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41DDD51C" w14:textId="77777777" w:rsidTr="00D74DA1">
        <w:trPr>
          <w:trHeight w:val="300"/>
        </w:trPr>
        <w:tc>
          <w:tcPr>
            <w:tcW w:w="1034" w:type="dxa"/>
            <w:shd w:val="clear" w:color="auto" w:fill="FFFFFF" w:themeFill="background1"/>
            <w:noWrap/>
            <w:vAlign w:val="center"/>
            <w:hideMark/>
          </w:tcPr>
          <w:p w14:paraId="124FFFF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40</w:t>
            </w:r>
          </w:p>
        </w:tc>
        <w:tc>
          <w:tcPr>
            <w:tcW w:w="1581" w:type="dxa"/>
            <w:shd w:val="clear" w:color="auto" w:fill="FFFFFF" w:themeFill="background1"/>
            <w:noWrap/>
            <w:vAlign w:val="center"/>
            <w:hideMark/>
          </w:tcPr>
          <w:p w14:paraId="221C0F4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26°53'34.47"S</w:t>
            </w:r>
          </w:p>
        </w:tc>
        <w:tc>
          <w:tcPr>
            <w:tcW w:w="1547" w:type="dxa"/>
            <w:shd w:val="clear" w:color="auto" w:fill="FFFFFF" w:themeFill="background1"/>
            <w:noWrap/>
            <w:vAlign w:val="center"/>
            <w:hideMark/>
          </w:tcPr>
          <w:p w14:paraId="29841C5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52°27'17.46"O</w:t>
            </w:r>
          </w:p>
        </w:tc>
        <w:tc>
          <w:tcPr>
            <w:tcW w:w="1271" w:type="dxa"/>
            <w:shd w:val="clear" w:color="auto" w:fill="FFFFFF" w:themeFill="background1"/>
            <w:noWrap/>
            <w:vAlign w:val="center"/>
            <w:hideMark/>
          </w:tcPr>
          <w:p w14:paraId="4C40433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822</w:t>
            </w:r>
          </w:p>
        </w:tc>
        <w:tc>
          <w:tcPr>
            <w:tcW w:w="1984" w:type="dxa"/>
            <w:shd w:val="clear" w:color="auto" w:fill="FFFFFF" w:themeFill="background1"/>
            <w:noWrap/>
            <w:vAlign w:val="center"/>
            <w:hideMark/>
          </w:tcPr>
          <w:p w14:paraId="585FA0B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Xanxerê</w:t>
            </w:r>
          </w:p>
        </w:tc>
        <w:tc>
          <w:tcPr>
            <w:tcW w:w="1560" w:type="dxa"/>
            <w:shd w:val="clear" w:color="auto" w:fill="FFFFFF" w:themeFill="background1"/>
            <w:noWrap/>
            <w:vAlign w:val="center"/>
            <w:hideMark/>
          </w:tcPr>
          <w:p w14:paraId="67A5A9D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03/02/2018</w:t>
            </w:r>
          </w:p>
        </w:tc>
        <w:tc>
          <w:tcPr>
            <w:tcW w:w="1842" w:type="dxa"/>
            <w:shd w:val="clear" w:color="auto" w:fill="FFFFFF" w:themeFill="background1"/>
            <w:noWrap/>
            <w:vAlign w:val="center"/>
            <w:hideMark/>
          </w:tcPr>
          <w:p w14:paraId="597114F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SYN1163 RR</w:t>
            </w:r>
          </w:p>
        </w:tc>
        <w:tc>
          <w:tcPr>
            <w:tcW w:w="1276" w:type="dxa"/>
            <w:shd w:val="clear" w:color="auto" w:fill="FFFFFF" w:themeFill="background1"/>
            <w:noWrap/>
            <w:vAlign w:val="center"/>
            <w:hideMark/>
          </w:tcPr>
          <w:p w14:paraId="623D1CB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R5.2</w:t>
            </w:r>
          </w:p>
        </w:tc>
        <w:tc>
          <w:tcPr>
            <w:tcW w:w="1559" w:type="dxa"/>
            <w:shd w:val="clear" w:color="auto" w:fill="FFFFFF" w:themeFill="background1"/>
            <w:noWrap/>
            <w:vAlign w:val="center"/>
            <w:hideMark/>
          </w:tcPr>
          <w:p w14:paraId="5D8491E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18AA704D" w14:textId="77777777" w:rsidTr="00D74DA1">
        <w:trPr>
          <w:trHeight w:val="300"/>
        </w:trPr>
        <w:tc>
          <w:tcPr>
            <w:tcW w:w="1034" w:type="dxa"/>
            <w:shd w:val="clear" w:color="auto" w:fill="FFFFFF" w:themeFill="background1"/>
            <w:noWrap/>
            <w:vAlign w:val="center"/>
            <w:hideMark/>
          </w:tcPr>
          <w:p w14:paraId="7645619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41</w:t>
            </w:r>
          </w:p>
        </w:tc>
        <w:tc>
          <w:tcPr>
            <w:tcW w:w="1581" w:type="dxa"/>
            <w:shd w:val="clear" w:color="auto" w:fill="FFFFFF" w:themeFill="background1"/>
            <w:noWrap/>
            <w:vAlign w:val="center"/>
            <w:hideMark/>
          </w:tcPr>
          <w:p w14:paraId="5EBEF16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27°22'48.80"S</w:t>
            </w:r>
          </w:p>
        </w:tc>
        <w:tc>
          <w:tcPr>
            <w:tcW w:w="1547" w:type="dxa"/>
            <w:shd w:val="clear" w:color="auto" w:fill="FFFFFF" w:themeFill="background1"/>
            <w:noWrap/>
            <w:vAlign w:val="center"/>
            <w:hideMark/>
          </w:tcPr>
          <w:p w14:paraId="5E407BF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51°19'58.00"O</w:t>
            </w:r>
          </w:p>
        </w:tc>
        <w:tc>
          <w:tcPr>
            <w:tcW w:w="1271" w:type="dxa"/>
            <w:shd w:val="clear" w:color="auto" w:fill="FFFFFF" w:themeFill="background1"/>
            <w:noWrap/>
            <w:vAlign w:val="center"/>
            <w:hideMark/>
          </w:tcPr>
          <w:p w14:paraId="6AE1D59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843</w:t>
            </w:r>
          </w:p>
        </w:tc>
        <w:tc>
          <w:tcPr>
            <w:tcW w:w="1984" w:type="dxa"/>
            <w:shd w:val="clear" w:color="auto" w:fill="FFFFFF" w:themeFill="background1"/>
            <w:noWrap/>
            <w:vAlign w:val="center"/>
            <w:hideMark/>
          </w:tcPr>
          <w:p w14:paraId="74CB76D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Campos Novos</w:t>
            </w:r>
          </w:p>
        </w:tc>
        <w:tc>
          <w:tcPr>
            <w:tcW w:w="1560" w:type="dxa"/>
            <w:shd w:val="clear" w:color="auto" w:fill="FFFFFF" w:themeFill="background1"/>
            <w:noWrap/>
            <w:vAlign w:val="center"/>
            <w:hideMark/>
          </w:tcPr>
          <w:p w14:paraId="3C9AFB7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20AE94B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648D2EE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174DA47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7C453B28" w14:textId="77777777" w:rsidTr="00D74DA1">
        <w:trPr>
          <w:trHeight w:val="300"/>
        </w:trPr>
        <w:tc>
          <w:tcPr>
            <w:tcW w:w="1034" w:type="dxa"/>
            <w:shd w:val="clear" w:color="auto" w:fill="FFFFFF" w:themeFill="background1"/>
            <w:noWrap/>
            <w:vAlign w:val="center"/>
            <w:hideMark/>
          </w:tcPr>
          <w:p w14:paraId="5DA2E70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42</w:t>
            </w:r>
          </w:p>
        </w:tc>
        <w:tc>
          <w:tcPr>
            <w:tcW w:w="1581" w:type="dxa"/>
            <w:shd w:val="clear" w:color="auto" w:fill="FFFFFF" w:themeFill="background1"/>
            <w:noWrap/>
            <w:vAlign w:val="center"/>
            <w:hideMark/>
          </w:tcPr>
          <w:p w14:paraId="4D84F19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26°51'20.10"S</w:t>
            </w:r>
          </w:p>
        </w:tc>
        <w:tc>
          <w:tcPr>
            <w:tcW w:w="1547" w:type="dxa"/>
            <w:shd w:val="clear" w:color="auto" w:fill="FFFFFF" w:themeFill="background1"/>
            <w:noWrap/>
            <w:vAlign w:val="center"/>
            <w:hideMark/>
          </w:tcPr>
          <w:p w14:paraId="0034509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52°23'29.00"O</w:t>
            </w:r>
          </w:p>
        </w:tc>
        <w:tc>
          <w:tcPr>
            <w:tcW w:w="1271" w:type="dxa"/>
            <w:shd w:val="clear" w:color="auto" w:fill="FFFFFF" w:themeFill="background1"/>
            <w:noWrap/>
            <w:vAlign w:val="center"/>
            <w:hideMark/>
          </w:tcPr>
          <w:p w14:paraId="7203C56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852</w:t>
            </w:r>
          </w:p>
        </w:tc>
        <w:tc>
          <w:tcPr>
            <w:tcW w:w="1984" w:type="dxa"/>
            <w:shd w:val="clear" w:color="auto" w:fill="FFFFFF" w:themeFill="background1"/>
            <w:noWrap/>
            <w:vAlign w:val="center"/>
            <w:hideMark/>
          </w:tcPr>
          <w:p w14:paraId="15B914D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Xanxerê</w:t>
            </w:r>
          </w:p>
        </w:tc>
        <w:tc>
          <w:tcPr>
            <w:tcW w:w="1560" w:type="dxa"/>
            <w:shd w:val="clear" w:color="auto" w:fill="FFFFFF" w:themeFill="background1"/>
            <w:noWrap/>
            <w:vAlign w:val="center"/>
            <w:hideMark/>
          </w:tcPr>
          <w:p w14:paraId="7861D0F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5B9AE23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5FE5E25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1129664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464F1ACB" w14:textId="77777777" w:rsidTr="00D74DA1">
        <w:trPr>
          <w:trHeight w:val="300"/>
        </w:trPr>
        <w:tc>
          <w:tcPr>
            <w:tcW w:w="1034" w:type="dxa"/>
            <w:shd w:val="clear" w:color="auto" w:fill="FFFFFF" w:themeFill="background1"/>
            <w:noWrap/>
            <w:vAlign w:val="center"/>
            <w:hideMark/>
          </w:tcPr>
          <w:p w14:paraId="06FB626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43</w:t>
            </w:r>
          </w:p>
        </w:tc>
        <w:tc>
          <w:tcPr>
            <w:tcW w:w="1581" w:type="dxa"/>
            <w:shd w:val="clear" w:color="auto" w:fill="FFFFFF" w:themeFill="background1"/>
            <w:noWrap/>
            <w:vAlign w:val="center"/>
            <w:hideMark/>
          </w:tcPr>
          <w:p w14:paraId="74FB8A7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26°30'14.00"S</w:t>
            </w:r>
          </w:p>
        </w:tc>
        <w:tc>
          <w:tcPr>
            <w:tcW w:w="1547" w:type="dxa"/>
            <w:shd w:val="clear" w:color="auto" w:fill="FFFFFF" w:themeFill="background1"/>
            <w:noWrap/>
            <w:vAlign w:val="center"/>
            <w:hideMark/>
          </w:tcPr>
          <w:p w14:paraId="70FD0BF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52°16'29.60"O</w:t>
            </w:r>
          </w:p>
        </w:tc>
        <w:tc>
          <w:tcPr>
            <w:tcW w:w="1271" w:type="dxa"/>
            <w:shd w:val="clear" w:color="auto" w:fill="FFFFFF" w:themeFill="background1"/>
            <w:noWrap/>
            <w:vAlign w:val="center"/>
            <w:hideMark/>
          </w:tcPr>
          <w:p w14:paraId="36C1F1C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861</w:t>
            </w:r>
          </w:p>
        </w:tc>
        <w:tc>
          <w:tcPr>
            <w:tcW w:w="1984" w:type="dxa"/>
            <w:shd w:val="clear" w:color="auto" w:fill="FFFFFF" w:themeFill="background1"/>
            <w:noWrap/>
            <w:vAlign w:val="center"/>
            <w:hideMark/>
          </w:tcPr>
          <w:p w14:paraId="4966404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Abelardo Luz</w:t>
            </w:r>
          </w:p>
        </w:tc>
        <w:tc>
          <w:tcPr>
            <w:tcW w:w="1560" w:type="dxa"/>
            <w:shd w:val="clear" w:color="auto" w:fill="FFFFFF" w:themeFill="background1"/>
            <w:noWrap/>
            <w:vAlign w:val="center"/>
            <w:hideMark/>
          </w:tcPr>
          <w:p w14:paraId="72BCD8D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51D7329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47BC317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19C2193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3F5D8162" w14:textId="77777777" w:rsidTr="00D74DA1">
        <w:trPr>
          <w:trHeight w:val="300"/>
        </w:trPr>
        <w:tc>
          <w:tcPr>
            <w:tcW w:w="1034" w:type="dxa"/>
            <w:shd w:val="clear" w:color="auto" w:fill="FFFFFF" w:themeFill="background1"/>
            <w:noWrap/>
            <w:vAlign w:val="center"/>
            <w:hideMark/>
          </w:tcPr>
          <w:p w14:paraId="63C3AB3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44</w:t>
            </w:r>
          </w:p>
        </w:tc>
        <w:tc>
          <w:tcPr>
            <w:tcW w:w="1581" w:type="dxa"/>
            <w:shd w:val="clear" w:color="auto" w:fill="FFFFFF" w:themeFill="background1"/>
            <w:noWrap/>
            <w:vAlign w:val="center"/>
            <w:hideMark/>
          </w:tcPr>
          <w:p w14:paraId="648C7C8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27°41'18.58"S</w:t>
            </w:r>
          </w:p>
        </w:tc>
        <w:tc>
          <w:tcPr>
            <w:tcW w:w="1547" w:type="dxa"/>
            <w:shd w:val="clear" w:color="auto" w:fill="FFFFFF" w:themeFill="background1"/>
            <w:noWrap/>
            <w:vAlign w:val="center"/>
            <w:hideMark/>
          </w:tcPr>
          <w:p w14:paraId="7C912FA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50° 6'21.62"O</w:t>
            </w:r>
          </w:p>
        </w:tc>
        <w:tc>
          <w:tcPr>
            <w:tcW w:w="1271" w:type="dxa"/>
            <w:shd w:val="clear" w:color="auto" w:fill="FFFFFF" w:themeFill="background1"/>
            <w:noWrap/>
            <w:vAlign w:val="center"/>
            <w:hideMark/>
          </w:tcPr>
          <w:p w14:paraId="68DF501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864</w:t>
            </w:r>
          </w:p>
        </w:tc>
        <w:tc>
          <w:tcPr>
            <w:tcW w:w="1984" w:type="dxa"/>
            <w:shd w:val="clear" w:color="auto" w:fill="FFFFFF" w:themeFill="background1"/>
            <w:noWrap/>
            <w:vAlign w:val="center"/>
            <w:hideMark/>
          </w:tcPr>
          <w:p w14:paraId="5A0FBA5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Palmeira</w:t>
            </w:r>
          </w:p>
        </w:tc>
        <w:tc>
          <w:tcPr>
            <w:tcW w:w="1560" w:type="dxa"/>
            <w:shd w:val="clear" w:color="auto" w:fill="FFFFFF" w:themeFill="background1"/>
            <w:noWrap/>
            <w:vAlign w:val="center"/>
            <w:hideMark/>
          </w:tcPr>
          <w:p w14:paraId="286CD32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01/04/2018</w:t>
            </w:r>
          </w:p>
        </w:tc>
        <w:tc>
          <w:tcPr>
            <w:tcW w:w="1842" w:type="dxa"/>
            <w:shd w:val="clear" w:color="auto" w:fill="FFFFFF" w:themeFill="background1"/>
            <w:noWrap/>
            <w:vAlign w:val="center"/>
            <w:hideMark/>
          </w:tcPr>
          <w:p w14:paraId="71EE664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M6410 IPRO</w:t>
            </w:r>
          </w:p>
        </w:tc>
        <w:tc>
          <w:tcPr>
            <w:tcW w:w="1276" w:type="dxa"/>
            <w:shd w:val="clear" w:color="auto" w:fill="FFFFFF" w:themeFill="background1"/>
            <w:noWrap/>
            <w:vAlign w:val="center"/>
            <w:hideMark/>
          </w:tcPr>
          <w:p w14:paraId="61D7629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1EEE847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3E62ED59" w14:textId="77777777" w:rsidTr="00D74DA1">
        <w:trPr>
          <w:trHeight w:val="300"/>
        </w:trPr>
        <w:tc>
          <w:tcPr>
            <w:tcW w:w="1034" w:type="dxa"/>
            <w:shd w:val="clear" w:color="auto" w:fill="FFFFFF" w:themeFill="background1"/>
            <w:noWrap/>
            <w:vAlign w:val="center"/>
            <w:hideMark/>
          </w:tcPr>
          <w:p w14:paraId="01395B8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45</w:t>
            </w:r>
          </w:p>
        </w:tc>
        <w:tc>
          <w:tcPr>
            <w:tcW w:w="1581" w:type="dxa"/>
            <w:shd w:val="clear" w:color="auto" w:fill="FFFFFF" w:themeFill="background1"/>
            <w:noWrap/>
            <w:vAlign w:val="center"/>
            <w:hideMark/>
          </w:tcPr>
          <w:p w14:paraId="1078219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27°47'20.22"S</w:t>
            </w:r>
          </w:p>
        </w:tc>
        <w:tc>
          <w:tcPr>
            <w:tcW w:w="1547" w:type="dxa"/>
            <w:shd w:val="clear" w:color="auto" w:fill="FFFFFF" w:themeFill="background1"/>
            <w:noWrap/>
            <w:vAlign w:val="center"/>
            <w:hideMark/>
          </w:tcPr>
          <w:p w14:paraId="6BAE048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50°35'39.45"O</w:t>
            </w:r>
          </w:p>
        </w:tc>
        <w:tc>
          <w:tcPr>
            <w:tcW w:w="1271" w:type="dxa"/>
            <w:shd w:val="clear" w:color="auto" w:fill="FFFFFF" w:themeFill="background1"/>
            <w:noWrap/>
            <w:vAlign w:val="center"/>
            <w:hideMark/>
          </w:tcPr>
          <w:p w14:paraId="0DF1D1B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870</w:t>
            </w:r>
          </w:p>
        </w:tc>
        <w:tc>
          <w:tcPr>
            <w:tcW w:w="1984" w:type="dxa"/>
            <w:shd w:val="clear" w:color="auto" w:fill="FFFFFF" w:themeFill="background1"/>
            <w:noWrap/>
            <w:vAlign w:val="center"/>
            <w:hideMark/>
          </w:tcPr>
          <w:p w14:paraId="1106D04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Lages</w:t>
            </w:r>
          </w:p>
        </w:tc>
        <w:tc>
          <w:tcPr>
            <w:tcW w:w="1560" w:type="dxa"/>
            <w:shd w:val="clear" w:color="auto" w:fill="FFFFFF" w:themeFill="background1"/>
            <w:noWrap/>
            <w:vAlign w:val="bottom"/>
            <w:hideMark/>
          </w:tcPr>
          <w:p w14:paraId="4D708D6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09/03/2018</w:t>
            </w:r>
          </w:p>
        </w:tc>
        <w:tc>
          <w:tcPr>
            <w:tcW w:w="1842" w:type="dxa"/>
            <w:shd w:val="clear" w:color="auto" w:fill="FFFFFF" w:themeFill="background1"/>
            <w:noWrap/>
            <w:vAlign w:val="center"/>
            <w:hideMark/>
          </w:tcPr>
          <w:p w14:paraId="71EE8EC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M6410 IPRO</w:t>
            </w:r>
          </w:p>
        </w:tc>
        <w:tc>
          <w:tcPr>
            <w:tcW w:w="1276" w:type="dxa"/>
            <w:shd w:val="clear" w:color="auto" w:fill="FFFFFF" w:themeFill="background1"/>
            <w:noWrap/>
            <w:vAlign w:val="center"/>
            <w:hideMark/>
          </w:tcPr>
          <w:p w14:paraId="67E9202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758304F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w:t>
            </w:r>
          </w:p>
        </w:tc>
      </w:tr>
      <w:tr w:rsidR="00362172" w:rsidRPr="00362172" w14:paraId="4AEB1C49" w14:textId="77777777" w:rsidTr="00D74DA1">
        <w:trPr>
          <w:trHeight w:val="300"/>
        </w:trPr>
        <w:tc>
          <w:tcPr>
            <w:tcW w:w="1034" w:type="dxa"/>
            <w:shd w:val="clear" w:color="auto" w:fill="FFFFFF" w:themeFill="background1"/>
            <w:noWrap/>
            <w:vAlign w:val="center"/>
            <w:hideMark/>
          </w:tcPr>
          <w:p w14:paraId="743832F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46</w:t>
            </w:r>
          </w:p>
        </w:tc>
        <w:tc>
          <w:tcPr>
            <w:tcW w:w="1581" w:type="dxa"/>
            <w:shd w:val="clear" w:color="auto" w:fill="FFFFFF" w:themeFill="background1"/>
            <w:noWrap/>
            <w:vAlign w:val="center"/>
            <w:hideMark/>
          </w:tcPr>
          <w:p w14:paraId="2B0914F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27°43'6.00"S</w:t>
            </w:r>
          </w:p>
        </w:tc>
        <w:tc>
          <w:tcPr>
            <w:tcW w:w="1547" w:type="dxa"/>
            <w:shd w:val="clear" w:color="auto" w:fill="FFFFFF" w:themeFill="background1"/>
            <w:noWrap/>
            <w:vAlign w:val="center"/>
            <w:hideMark/>
          </w:tcPr>
          <w:p w14:paraId="16750CF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49°45'29.30"O</w:t>
            </w:r>
          </w:p>
        </w:tc>
        <w:tc>
          <w:tcPr>
            <w:tcW w:w="1271" w:type="dxa"/>
            <w:shd w:val="clear" w:color="auto" w:fill="FFFFFF" w:themeFill="background1"/>
            <w:noWrap/>
            <w:vAlign w:val="center"/>
            <w:hideMark/>
          </w:tcPr>
          <w:p w14:paraId="237E0D2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875</w:t>
            </w:r>
          </w:p>
        </w:tc>
        <w:tc>
          <w:tcPr>
            <w:tcW w:w="1984" w:type="dxa"/>
            <w:shd w:val="clear" w:color="auto" w:fill="FFFFFF" w:themeFill="background1"/>
            <w:noWrap/>
            <w:vAlign w:val="center"/>
            <w:hideMark/>
          </w:tcPr>
          <w:p w14:paraId="35CC8E2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Bom Retiro</w:t>
            </w:r>
          </w:p>
        </w:tc>
        <w:tc>
          <w:tcPr>
            <w:tcW w:w="1560" w:type="dxa"/>
            <w:shd w:val="clear" w:color="auto" w:fill="FFFFFF" w:themeFill="background1"/>
            <w:noWrap/>
            <w:vAlign w:val="center"/>
            <w:hideMark/>
          </w:tcPr>
          <w:p w14:paraId="037746D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842" w:type="dxa"/>
            <w:shd w:val="clear" w:color="auto" w:fill="FFFFFF" w:themeFill="background1"/>
            <w:noWrap/>
            <w:vAlign w:val="center"/>
            <w:hideMark/>
          </w:tcPr>
          <w:p w14:paraId="11E56E9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29CF569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1239B54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76F07E8E" w14:textId="77777777" w:rsidTr="00D74DA1">
        <w:trPr>
          <w:trHeight w:val="300"/>
        </w:trPr>
        <w:tc>
          <w:tcPr>
            <w:tcW w:w="1034" w:type="dxa"/>
            <w:shd w:val="clear" w:color="auto" w:fill="FFFFFF" w:themeFill="background1"/>
            <w:noWrap/>
            <w:vAlign w:val="center"/>
            <w:hideMark/>
          </w:tcPr>
          <w:p w14:paraId="38A8F3A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47</w:t>
            </w:r>
          </w:p>
        </w:tc>
        <w:tc>
          <w:tcPr>
            <w:tcW w:w="1581" w:type="dxa"/>
            <w:shd w:val="clear" w:color="auto" w:fill="FFFFFF" w:themeFill="background1"/>
            <w:noWrap/>
            <w:vAlign w:val="center"/>
            <w:hideMark/>
          </w:tcPr>
          <w:p w14:paraId="44987DC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27°48'25.10"S</w:t>
            </w:r>
          </w:p>
        </w:tc>
        <w:tc>
          <w:tcPr>
            <w:tcW w:w="1547" w:type="dxa"/>
            <w:shd w:val="clear" w:color="auto" w:fill="FFFFFF" w:themeFill="background1"/>
            <w:noWrap/>
            <w:vAlign w:val="center"/>
            <w:hideMark/>
          </w:tcPr>
          <w:p w14:paraId="291D030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49°31'43.81"O</w:t>
            </w:r>
          </w:p>
        </w:tc>
        <w:tc>
          <w:tcPr>
            <w:tcW w:w="1271" w:type="dxa"/>
            <w:shd w:val="clear" w:color="auto" w:fill="FFFFFF" w:themeFill="background1"/>
            <w:noWrap/>
            <w:vAlign w:val="center"/>
            <w:hideMark/>
          </w:tcPr>
          <w:p w14:paraId="590AA41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880</w:t>
            </w:r>
          </w:p>
        </w:tc>
        <w:tc>
          <w:tcPr>
            <w:tcW w:w="1984" w:type="dxa"/>
            <w:shd w:val="clear" w:color="auto" w:fill="FFFFFF" w:themeFill="background1"/>
            <w:noWrap/>
            <w:vAlign w:val="center"/>
            <w:hideMark/>
          </w:tcPr>
          <w:p w14:paraId="08462A8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Bom Retiro</w:t>
            </w:r>
          </w:p>
        </w:tc>
        <w:tc>
          <w:tcPr>
            <w:tcW w:w="1560" w:type="dxa"/>
            <w:shd w:val="clear" w:color="auto" w:fill="FFFFFF" w:themeFill="background1"/>
            <w:noWrap/>
            <w:vAlign w:val="center"/>
            <w:hideMark/>
          </w:tcPr>
          <w:p w14:paraId="06DA2F8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842" w:type="dxa"/>
            <w:shd w:val="clear" w:color="auto" w:fill="FFFFFF" w:themeFill="background1"/>
            <w:noWrap/>
            <w:vAlign w:val="center"/>
            <w:hideMark/>
          </w:tcPr>
          <w:p w14:paraId="7B5ED1A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7F9E75B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7D17038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03C5790C" w14:textId="77777777" w:rsidTr="00D74DA1">
        <w:trPr>
          <w:trHeight w:val="300"/>
        </w:trPr>
        <w:tc>
          <w:tcPr>
            <w:tcW w:w="1034" w:type="dxa"/>
            <w:shd w:val="clear" w:color="auto" w:fill="FFFFFF" w:themeFill="background1"/>
            <w:noWrap/>
            <w:vAlign w:val="center"/>
            <w:hideMark/>
          </w:tcPr>
          <w:p w14:paraId="0334064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48</w:t>
            </w:r>
          </w:p>
        </w:tc>
        <w:tc>
          <w:tcPr>
            <w:tcW w:w="1581" w:type="dxa"/>
            <w:shd w:val="clear" w:color="auto" w:fill="FFFFFF" w:themeFill="background1"/>
            <w:noWrap/>
            <w:vAlign w:val="center"/>
            <w:hideMark/>
          </w:tcPr>
          <w:p w14:paraId="7DE25D0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27°22'31.20"S</w:t>
            </w:r>
          </w:p>
        </w:tc>
        <w:tc>
          <w:tcPr>
            <w:tcW w:w="1547" w:type="dxa"/>
            <w:shd w:val="clear" w:color="auto" w:fill="FFFFFF" w:themeFill="background1"/>
            <w:noWrap/>
            <w:vAlign w:val="center"/>
            <w:hideMark/>
          </w:tcPr>
          <w:p w14:paraId="7019054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51°14'44.20"O</w:t>
            </w:r>
          </w:p>
        </w:tc>
        <w:tc>
          <w:tcPr>
            <w:tcW w:w="1271" w:type="dxa"/>
            <w:shd w:val="clear" w:color="auto" w:fill="FFFFFF" w:themeFill="background1"/>
            <w:noWrap/>
            <w:vAlign w:val="center"/>
            <w:hideMark/>
          </w:tcPr>
          <w:p w14:paraId="0AEC7D3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890</w:t>
            </w:r>
          </w:p>
        </w:tc>
        <w:tc>
          <w:tcPr>
            <w:tcW w:w="1984" w:type="dxa"/>
            <w:shd w:val="clear" w:color="auto" w:fill="FFFFFF" w:themeFill="background1"/>
            <w:noWrap/>
            <w:vAlign w:val="center"/>
            <w:hideMark/>
          </w:tcPr>
          <w:p w14:paraId="2D8D5E2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Campos Novos</w:t>
            </w:r>
          </w:p>
        </w:tc>
        <w:tc>
          <w:tcPr>
            <w:tcW w:w="1560" w:type="dxa"/>
            <w:shd w:val="clear" w:color="auto" w:fill="FFFFFF" w:themeFill="background1"/>
            <w:noWrap/>
            <w:vAlign w:val="center"/>
            <w:hideMark/>
          </w:tcPr>
          <w:p w14:paraId="23620BE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03709CC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123B46A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559" w:type="dxa"/>
            <w:shd w:val="clear" w:color="auto" w:fill="FFFFFF" w:themeFill="background1"/>
            <w:noWrap/>
            <w:vAlign w:val="center"/>
            <w:hideMark/>
          </w:tcPr>
          <w:p w14:paraId="0713202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1C19F7DC" w14:textId="77777777" w:rsidTr="00D74DA1">
        <w:trPr>
          <w:trHeight w:val="300"/>
        </w:trPr>
        <w:tc>
          <w:tcPr>
            <w:tcW w:w="1034" w:type="dxa"/>
            <w:shd w:val="clear" w:color="auto" w:fill="FFFFFF" w:themeFill="background1"/>
            <w:noWrap/>
            <w:vAlign w:val="center"/>
            <w:hideMark/>
          </w:tcPr>
          <w:p w14:paraId="49C1850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w:t>
            </w:r>
          </w:p>
        </w:tc>
        <w:tc>
          <w:tcPr>
            <w:tcW w:w="1581" w:type="dxa"/>
            <w:shd w:val="clear" w:color="auto" w:fill="FFFFFF" w:themeFill="background1"/>
            <w:noWrap/>
            <w:vAlign w:val="center"/>
            <w:hideMark/>
          </w:tcPr>
          <w:p w14:paraId="2018EB7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27°19'40.30"S</w:t>
            </w:r>
          </w:p>
        </w:tc>
        <w:tc>
          <w:tcPr>
            <w:tcW w:w="1547" w:type="dxa"/>
            <w:shd w:val="clear" w:color="auto" w:fill="FFFFFF" w:themeFill="background1"/>
            <w:noWrap/>
            <w:vAlign w:val="center"/>
            <w:hideMark/>
          </w:tcPr>
          <w:p w14:paraId="770E9F4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50°49'50.90"O</w:t>
            </w:r>
          </w:p>
        </w:tc>
        <w:tc>
          <w:tcPr>
            <w:tcW w:w="1271" w:type="dxa"/>
            <w:shd w:val="clear" w:color="auto" w:fill="FFFFFF" w:themeFill="background1"/>
            <w:noWrap/>
            <w:vAlign w:val="center"/>
            <w:hideMark/>
          </w:tcPr>
          <w:p w14:paraId="07015F9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897</w:t>
            </w:r>
          </w:p>
        </w:tc>
        <w:tc>
          <w:tcPr>
            <w:tcW w:w="1984" w:type="dxa"/>
            <w:shd w:val="clear" w:color="auto" w:fill="FFFFFF" w:themeFill="background1"/>
            <w:noWrap/>
            <w:vAlign w:val="center"/>
            <w:hideMark/>
          </w:tcPr>
          <w:p w14:paraId="5ABC831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Brunópolis</w:t>
            </w:r>
          </w:p>
        </w:tc>
        <w:tc>
          <w:tcPr>
            <w:tcW w:w="1560" w:type="dxa"/>
            <w:shd w:val="clear" w:color="auto" w:fill="FFFFFF" w:themeFill="background1"/>
            <w:noWrap/>
            <w:vAlign w:val="center"/>
            <w:hideMark/>
          </w:tcPr>
          <w:p w14:paraId="0CFEBAE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2355728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2016B45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559" w:type="dxa"/>
            <w:shd w:val="clear" w:color="auto" w:fill="FFFFFF" w:themeFill="background1"/>
            <w:noWrap/>
            <w:vAlign w:val="center"/>
            <w:hideMark/>
          </w:tcPr>
          <w:p w14:paraId="2211B35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bl>
    <w:p w14:paraId="2B4671F0" w14:textId="77777777" w:rsidR="00362172" w:rsidRPr="00171A2F" w:rsidRDefault="00362172" w:rsidP="00777EAF">
      <w:pPr>
        <w:ind w:left="284" w:firstLine="0"/>
        <w:rPr>
          <w:rFonts w:eastAsiaTheme="majorEastAsia"/>
          <w:sz w:val="16"/>
          <w:lang w:eastAsia="pt-BR"/>
        </w:rPr>
      </w:pPr>
      <w:r w:rsidRPr="00171A2F">
        <w:rPr>
          <w:sz w:val="16"/>
        </w:rPr>
        <w:t>*Amostra com o sinal de + na coluna de extração de DNA amplificaram e foram possível a quantificação da mutação I86F; amostras não amplificadas apresentam sinal de – na coluna de extração de DNA.</w:t>
      </w:r>
    </w:p>
    <w:p w14:paraId="488DD4CF" w14:textId="77777777" w:rsidR="00362172" w:rsidRPr="00171A2F" w:rsidRDefault="00362172" w:rsidP="00171A2F">
      <w:pPr>
        <w:rPr>
          <w:sz w:val="16"/>
        </w:rPr>
      </w:pPr>
    </w:p>
    <w:p w14:paraId="0429F420" w14:textId="77777777" w:rsidR="00362172" w:rsidRPr="00362172" w:rsidRDefault="00362172" w:rsidP="00796F1B">
      <w:pPr>
        <w:autoSpaceDE/>
        <w:autoSpaceDN/>
        <w:adjustRightInd/>
        <w:spacing w:after="0" w:line="240" w:lineRule="auto"/>
      </w:pPr>
    </w:p>
    <w:tbl>
      <w:tblPr>
        <w:tblpPr w:leftFromText="141" w:rightFromText="141" w:vertAnchor="page" w:horzAnchor="page" w:tblpX="1849" w:tblpY="1170"/>
        <w:tblW w:w="1350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34"/>
        <w:gridCol w:w="1559"/>
        <w:gridCol w:w="1559"/>
        <w:gridCol w:w="1418"/>
        <w:gridCol w:w="1984"/>
        <w:gridCol w:w="1418"/>
        <w:gridCol w:w="1842"/>
        <w:gridCol w:w="1276"/>
        <w:gridCol w:w="1418"/>
      </w:tblGrid>
      <w:tr w:rsidR="00362172" w:rsidRPr="00362172" w14:paraId="31FF2D57" w14:textId="77777777" w:rsidTr="00D74DA1">
        <w:trPr>
          <w:trHeight w:val="300"/>
        </w:trPr>
        <w:tc>
          <w:tcPr>
            <w:tcW w:w="1034" w:type="dxa"/>
            <w:tcBorders>
              <w:top w:val="single" w:sz="4" w:space="0" w:color="auto"/>
              <w:bottom w:val="single" w:sz="4" w:space="0" w:color="auto"/>
            </w:tcBorders>
            <w:shd w:val="clear" w:color="auto" w:fill="FFFFFF" w:themeFill="background1"/>
            <w:noWrap/>
            <w:vAlign w:val="center"/>
          </w:tcPr>
          <w:p w14:paraId="58872AD1"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Amostra</w:t>
            </w:r>
          </w:p>
        </w:tc>
        <w:tc>
          <w:tcPr>
            <w:tcW w:w="1559" w:type="dxa"/>
            <w:tcBorders>
              <w:top w:val="single" w:sz="4" w:space="0" w:color="auto"/>
              <w:bottom w:val="single" w:sz="4" w:space="0" w:color="auto"/>
            </w:tcBorders>
            <w:shd w:val="clear" w:color="auto" w:fill="FFFFFF" w:themeFill="background1"/>
            <w:noWrap/>
            <w:vAlign w:val="center"/>
          </w:tcPr>
          <w:p w14:paraId="548280CC"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Latitude</w:t>
            </w:r>
          </w:p>
        </w:tc>
        <w:tc>
          <w:tcPr>
            <w:tcW w:w="1559" w:type="dxa"/>
            <w:tcBorders>
              <w:top w:val="single" w:sz="4" w:space="0" w:color="auto"/>
              <w:bottom w:val="single" w:sz="4" w:space="0" w:color="auto"/>
            </w:tcBorders>
            <w:shd w:val="clear" w:color="auto" w:fill="FFFFFF" w:themeFill="background1"/>
            <w:noWrap/>
            <w:vAlign w:val="center"/>
          </w:tcPr>
          <w:p w14:paraId="2D93E907"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Longitude</w:t>
            </w:r>
          </w:p>
        </w:tc>
        <w:tc>
          <w:tcPr>
            <w:tcW w:w="1418" w:type="dxa"/>
            <w:tcBorders>
              <w:top w:val="single" w:sz="4" w:space="0" w:color="auto"/>
              <w:bottom w:val="single" w:sz="4" w:space="0" w:color="auto"/>
            </w:tcBorders>
            <w:shd w:val="clear" w:color="auto" w:fill="FFFFFF" w:themeFill="background1"/>
            <w:noWrap/>
            <w:vAlign w:val="center"/>
          </w:tcPr>
          <w:p w14:paraId="1E5F7FFF"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Altitude (m)</w:t>
            </w:r>
          </w:p>
        </w:tc>
        <w:tc>
          <w:tcPr>
            <w:tcW w:w="1984" w:type="dxa"/>
            <w:tcBorders>
              <w:top w:val="single" w:sz="4" w:space="0" w:color="auto"/>
              <w:bottom w:val="single" w:sz="4" w:space="0" w:color="auto"/>
            </w:tcBorders>
            <w:shd w:val="clear" w:color="auto" w:fill="FFFFFF" w:themeFill="background1"/>
            <w:noWrap/>
            <w:vAlign w:val="center"/>
          </w:tcPr>
          <w:p w14:paraId="50BE13EE"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Município</w:t>
            </w:r>
          </w:p>
        </w:tc>
        <w:tc>
          <w:tcPr>
            <w:tcW w:w="1418" w:type="dxa"/>
            <w:tcBorders>
              <w:top w:val="single" w:sz="4" w:space="0" w:color="auto"/>
              <w:bottom w:val="single" w:sz="4" w:space="0" w:color="auto"/>
            </w:tcBorders>
            <w:shd w:val="clear" w:color="auto" w:fill="FFFFFF" w:themeFill="background1"/>
            <w:noWrap/>
            <w:vAlign w:val="center"/>
          </w:tcPr>
          <w:p w14:paraId="270F7771"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Data coleta</w:t>
            </w:r>
          </w:p>
        </w:tc>
        <w:tc>
          <w:tcPr>
            <w:tcW w:w="1842" w:type="dxa"/>
            <w:tcBorders>
              <w:top w:val="single" w:sz="4" w:space="0" w:color="auto"/>
              <w:bottom w:val="single" w:sz="4" w:space="0" w:color="auto"/>
            </w:tcBorders>
            <w:shd w:val="clear" w:color="auto" w:fill="FFFFFF" w:themeFill="background1"/>
            <w:noWrap/>
            <w:vAlign w:val="center"/>
          </w:tcPr>
          <w:p w14:paraId="1765E5B2"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 xml:space="preserve">Cultivar </w:t>
            </w:r>
          </w:p>
        </w:tc>
        <w:tc>
          <w:tcPr>
            <w:tcW w:w="1276" w:type="dxa"/>
            <w:tcBorders>
              <w:top w:val="single" w:sz="4" w:space="0" w:color="auto"/>
              <w:bottom w:val="single" w:sz="4" w:space="0" w:color="auto"/>
            </w:tcBorders>
            <w:shd w:val="clear" w:color="auto" w:fill="FFFFFF" w:themeFill="background1"/>
            <w:noWrap/>
            <w:vAlign w:val="center"/>
          </w:tcPr>
          <w:p w14:paraId="3B29A79E"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Estádio fenológico</w:t>
            </w:r>
          </w:p>
        </w:tc>
        <w:tc>
          <w:tcPr>
            <w:tcW w:w="1418" w:type="dxa"/>
            <w:tcBorders>
              <w:top w:val="single" w:sz="4" w:space="0" w:color="auto"/>
              <w:bottom w:val="single" w:sz="4" w:space="0" w:color="auto"/>
            </w:tcBorders>
            <w:shd w:val="clear" w:color="auto" w:fill="FFFFFF" w:themeFill="background1"/>
            <w:noWrap/>
            <w:vAlign w:val="center"/>
          </w:tcPr>
          <w:p w14:paraId="48103CF4" w14:textId="77777777" w:rsidR="00362172" w:rsidRPr="00362172" w:rsidRDefault="00362172" w:rsidP="00362172">
            <w:pPr>
              <w:autoSpaceDE/>
              <w:autoSpaceDN/>
              <w:adjustRightInd/>
              <w:spacing w:after="0" w:line="240" w:lineRule="auto"/>
              <w:ind w:firstLine="0"/>
              <w:jc w:val="center"/>
              <w:rPr>
                <w:rFonts w:eastAsia="Times New Roman"/>
                <w:b/>
                <w:bCs/>
                <w:color w:val="000000"/>
                <w:szCs w:val="20"/>
                <w:lang w:eastAsia="pt-BR"/>
              </w:rPr>
            </w:pPr>
            <w:r w:rsidRPr="00362172">
              <w:rPr>
                <w:rFonts w:eastAsia="Times New Roman"/>
                <w:b/>
                <w:bCs/>
                <w:color w:val="000000"/>
                <w:szCs w:val="20"/>
                <w:lang w:eastAsia="pt-BR"/>
              </w:rPr>
              <w:t>Resultado da extração</w:t>
            </w:r>
          </w:p>
        </w:tc>
      </w:tr>
      <w:tr w:rsidR="00362172" w:rsidRPr="00362172" w14:paraId="7BB4F638" w14:textId="77777777" w:rsidTr="00D74DA1">
        <w:trPr>
          <w:trHeight w:val="300"/>
        </w:trPr>
        <w:tc>
          <w:tcPr>
            <w:tcW w:w="1034" w:type="dxa"/>
            <w:tcBorders>
              <w:top w:val="single" w:sz="4" w:space="0" w:color="auto"/>
            </w:tcBorders>
            <w:shd w:val="clear" w:color="auto" w:fill="FFFFFF" w:themeFill="background1"/>
            <w:noWrap/>
            <w:vAlign w:val="center"/>
            <w:hideMark/>
          </w:tcPr>
          <w:p w14:paraId="257B2E2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w:t>
            </w:r>
          </w:p>
        </w:tc>
        <w:tc>
          <w:tcPr>
            <w:tcW w:w="1559" w:type="dxa"/>
            <w:tcBorders>
              <w:top w:val="single" w:sz="4" w:space="0" w:color="auto"/>
            </w:tcBorders>
            <w:shd w:val="clear" w:color="auto" w:fill="FFFFFF" w:themeFill="background1"/>
            <w:noWrap/>
            <w:vAlign w:val="center"/>
            <w:hideMark/>
          </w:tcPr>
          <w:p w14:paraId="01A5ABC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27°43'46.15"S</w:t>
            </w:r>
          </w:p>
        </w:tc>
        <w:tc>
          <w:tcPr>
            <w:tcW w:w="1559" w:type="dxa"/>
            <w:tcBorders>
              <w:top w:val="single" w:sz="4" w:space="0" w:color="auto"/>
            </w:tcBorders>
            <w:shd w:val="clear" w:color="auto" w:fill="FFFFFF" w:themeFill="background1"/>
            <w:noWrap/>
            <w:vAlign w:val="center"/>
            <w:hideMark/>
          </w:tcPr>
          <w:p w14:paraId="4BBC2B4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50°20'6.96"O</w:t>
            </w:r>
          </w:p>
        </w:tc>
        <w:tc>
          <w:tcPr>
            <w:tcW w:w="1418" w:type="dxa"/>
            <w:tcBorders>
              <w:top w:val="single" w:sz="4" w:space="0" w:color="auto"/>
            </w:tcBorders>
            <w:shd w:val="clear" w:color="auto" w:fill="FFFFFF" w:themeFill="background1"/>
            <w:noWrap/>
            <w:vAlign w:val="center"/>
            <w:hideMark/>
          </w:tcPr>
          <w:p w14:paraId="0CD4A31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900</w:t>
            </w:r>
          </w:p>
        </w:tc>
        <w:tc>
          <w:tcPr>
            <w:tcW w:w="1984" w:type="dxa"/>
            <w:tcBorders>
              <w:top w:val="single" w:sz="4" w:space="0" w:color="auto"/>
            </w:tcBorders>
            <w:shd w:val="clear" w:color="auto" w:fill="FFFFFF" w:themeFill="background1"/>
            <w:noWrap/>
            <w:vAlign w:val="center"/>
            <w:hideMark/>
          </w:tcPr>
          <w:p w14:paraId="5481E1C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Lages</w:t>
            </w:r>
          </w:p>
        </w:tc>
        <w:tc>
          <w:tcPr>
            <w:tcW w:w="1418" w:type="dxa"/>
            <w:tcBorders>
              <w:top w:val="single" w:sz="4" w:space="0" w:color="auto"/>
            </w:tcBorders>
            <w:shd w:val="clear" w:color="auto" w:fill="FFFFFF" w:themeFill="background1"/>
            <w:noWrap/>
            <w:vAlign w:val="center"/>
            <w:hideMark/>
          </w:tcPr>
          <w:p w14:paraId="15BE83A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842" w:type="dxa"/>
            <w:tcBorders>
              <w:top w:val="single" w:sz="4" w:space="0" w:color="auto"/>
            </w:tcBorders>
            <w:shd w:val="clear" w:color="auto" w:fill="FFFFFF" w:themeFill="background1"/>
            <w:noWrap/>
            <w:vAlign w:val="center"/>
            <w:hideMark/>
          </w:tcPr>
          <w:p w14:paraId="48CC7B2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tcBorders>
              <w:top w:val="single" w:sz="4" w:space="0" w:color="auto"/>
            </w:tcBorders>
            <w:shd w:val="clear" w:color="auto" w:fill="FFFFFF" w:themeFill="background1"/>
            <w:noWrap/>
            <w:vAlign w:val="center"/>
            <w:hideMark/>
          </w:tcPr>
          <w:p w14:paraId="679D3B7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R5.3</w:t>
            </w:r>
          </w:p>
        </w:tc>
        <w:tc>
          <w:tcPr>
            <w:tcW w:w="1418" w:type="dxa"/>
            <w:tcBorders>
              <w:top w:val="single" w:sz="4" w:space="0" w:color="auto"/>
            </w:tcBorders>
            <w:shd w:val="clear" w:color="auto" w:fill="FFFFFF" w:themeFill="background1"/>
            <w:noWrap/>
            <w:vAlign w:val="center"/>
            <w:hideMark/>
          </w:tcPr>
          <w:p w14:paraId="15FF3C3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2B83794B" w14:textId="77777777" w:rsidTr="00D74DA1">
        <w:trPr>
          <w:trHeight w:val="300"/>
        </w:trPr>
        <w:tc>
          <w:tcPr>
            <w:tcW w:w="1034" w:type="dxa"/>
            <w:shd w:val="clear" w:color="auto" w:fill="FFFFFF" w:themeFill="background1"/>
            <w:noWrap/>
            <w:vAlign w:val="center"/>
            <w:hideMark/>
          </w:tcPr>
          <w:p w14:paraId="6856BB0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51</w:t>
            </w:r>
          </w:p>
        </w:tc>
        <w:tc>
          <w:tcPr>
            <w:tcW w:w="1559" w:type="dxa"/>
            <w:shd w:val="clear" w:color="auto" w:fill="FFFFFF" w:themeFill="background1"/>
            <w:noWrap/>
            <w:vAlign w:val="center"/>
            <w:hideMark/>
          </w:tcPr>
          <w:p w14:paraId="6252D38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27°39'34.80"S</w:t>
            </w:r>
          </w:p>
        </w:tc>
        <w:tc>
          <w:tcPr>
            <w:tcW w:w="1559" w:type="dxa"/>
            <w:shd w:val="clear" w:color="auto" w:fill="FFFFFF" w:themeFill="background1"/>
            <w:noWrap/>
            <w:vAlign w:val="center"/>
            <w:hideMark/>
          </w:tcPr>
          <w:p w14:paraId="1E8A2B9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50°19'17.40"O</w:t>
            </w:r>
          </w:p>
        </w:tc>
        <w:tc>
          <w:tcPr>
            <w:tcW w:w="1418" w:type="dxa"/>
            <w:shd w:val="clear" w:color="auto" w:fill="FFFFFF" w:themeFill="background1"/>
            <w:noWrap/>
            <w:vAlign w:val="center"/>
            <w:hideMark/>
          </w:tcPr>
          <w:p w14:paraId="35B77DF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903</w:t>
            </w:r>
          </w:p>
        </w:tc>
        <w:tc>
          <w:tcPr>
            <w:tcW w:w="1984" w:type="dxa"/>
            <w:shd w:val="clear" w:color="auto" w:fill="FFFFFF" w:themeFill="background1"/>
            <w:noWrap/>
            <w:vAlign w:val="center"/>
            <w:hideMark/>
          </w:tcPr>
          <w:p w14:paraId="5B67A64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Correia Pinto</w:t>
            </w:r>
          </w:p>
        </w:tc>
        <w:tc>
          <w:tcPr>
            <w:tcW w:w="1418" w:type="dxa"/>
            <w:shd w:val="clear" w:color="auto" w:fill="FFFFFF" w:themeFill="background1"/>
            <w:noWrap/>
            <w:vAlign w:val="center"/>
            <w:hideMark/>
          </w:tcPr>
          <w:p w14:paraId="3263955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3164FB6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0A0C8AB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418" w:type="dxa"/>
            <w:shd w:val="clear" w:color="auto" w:fill="FFFFFF" w:themeFill="background1"/>
            <w:noWrap/>
            <w:vAlign w:val="center"/>
            <w:hideMark/>
          </w:tcPr>
          <w:p w14:paraId="1E33279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18475D85" w14:textId="77777777" w:rsidTr="00D74DA1">
        <w:trPr>
          <w:trHeight w:val="300"/>
        </w:trPr>
        <w:tc>
          <w:tcPr>
            <w:tcW w:w="1034" w:type="dxa"/>
            <w:shd w:val="clear" w:color="auto" w:fill="FFFFFF" w:themeFill="background1"/>
            <w:noWrap/>
            <w:vAlign w:val="center"/>
            <w:hideMark/>
          </w:tcPr>
          <w:p w14:paraId="6DD1021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52</w:t>
            </w:r>
          </w:p>
        </w:tc>
        <w:tc>
          <w:tcPr>
            <w:tcW w:w="1559" w:type="dxa"/>
            <w:shd w:val="clear" w:color="auto" w:fill="FFFFFF" w:themeFill="background1"/>
            <w:noWrap/>
            <w:vAlign w:val="center"/>
            <w:hideMark/>
          </w:tcPr>
          <w:p w14:paraId="064B2AD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27°37'41.10"S</w:t>
            </w:r>
          </w:p>
        </w:tc>
        <w:tc>
          <w:tcPr>
            <w:tcW w:w="1559" w:type="dxa"/>
            <w:shd w:val="clear" w:color="auto" w:fill="FFFFFF" w:themeFill="background1"/>
            <w:noWrap/>
            <w:vAlign w:val="center"/>
            <w:hideMark/>
          </w:tcPr>
          <w:p w14:paraId="0CB844C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49°46'3.10"O</w:t>
            </w:r>
          </w:p>
        </w:tc>
        <w:tc>
          <w:tcPr>
            <w:tcW w:w="1418" w:type="dxa"/>
            <w:shd w:val="clear" w:color="auto" w:fill="FFFFFF" w:themeFill="background1"/>
            <w:noWrap/>
            <w:vAlign w:val="center"/>
            <w:hideMark/>
          </w:tcPr>
          <w:p w14:paraId="1432DCF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910</w:t>
            </w:r>
          </w:p>
        </w:tc>
        <w:tc>
          <w:tcPr>
            <w:tcW w:w="1984" w:type="dxa"/>
            <w:shd w:val="clear" w:color="auto" w:fill="FFFFFF" w:themeFill="background1"/>
            <w:noWrap/>
            <w:vAlign w:val="center"/>
            <w:hideMark/>
          </w:tcPr>
          <w:p w14:paraId="7E528C7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Otacílio Costa</w:t>
            </w:r>
          </w:p>
        </w:tc>
        <w:tc>
          <w:tcPr>
            <w:tcW w:w="1418" w:type="dxa"/>
            <w:shd w:val="clear" w:color="auto" w:fill="FFFFFF" w:themeFill="background1"/>
            <w:noWrap/>
            <w:vAlign w:val="center"/>
            <w:hideMark/>
          </w:tcPr>
          <w:p w14:paraId="3FE3DB0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842" w:type="dxa"/>
            <w:shd w:val="clear" w:color="auto" w:fill="FFFFFF" w:themeFill="background1"/>
            <w:noWrap/>
            <w:vAlign w:val="center"/>
            <w:hideMark/>
          </w:tcPr>
          <w:p w14:paraId="2356195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3918211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418" w:type="dxa"/>
            <w:shd w:val="clear" w:color="auto" w:fill="FFFFFF" w:themeFill="background1"/>
            <w:noWrap/>
            <w:vAlign w:val="center"/>
            <w:hideMark/>
          </w:tcPr>
          <w:p w14:paraId="6DBA1F1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77B2B96C" w14:textId="77777777" w:rsidTr="00D74DA1">
        <w:trPr>
          <w:trHeight w:val="300"/>
        </w:trPr>
        <w:tc>
          <w:tcPr>
            <w:tcW w:w="1034" w:type="dxa"/>
            <w:shd w:val="clear" w:color="auto" w:fill="FFFFFF" w:themeFill="background1"/>
            <w:noWrap/>
            <w:vAlign w:val="center"/>
            <w:hideMark/>
          </w:tcPr>
          <w:p w14:paraId="04DB789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53</w:t>
            </w:r>
          </w:p>
        </w:tc>
        <w:tc>
          <w:tcPr>
            <w:tcW w:w="1559" w:type="dxa"/>
            <w:shd w:val="clear" w:color="auto" w:fill="FFFFFF" w:themeFill="background1"/>
            <w:noWrap/>
            <w:vAlign w:val="center"/>
            <w:hideMark/>
          </w:tcPr>
          <w:p w14:paraId="72ADA79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26°52'46.20"S</w:t>
            </w:r>
          </w:p>
        </w:tc>
        <w:tc>
          <w:tcPr>
            <w:tcW w:w="1559" w:type="dxa"/>
            <w:shd w:val="clear" w:color="auto" w:fill="FFFFFF" w:themeFill="background1"/>
            <w:noWrap/>
            <w:vAlign w:val="center"/>
            <w:hideMark/>
          </w:tcPr>
          <w:p w14:paraId="0B04612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52°20'19.00"O</w:t>
            </w:r>
          </w:p>
        </w:tc>
        <w:tc>
          <w:tcPr>
            <w:tcW w:w="1418" w:type="dxa"/>
            <w:shd w:val="clear" w:color="auto" w:fill="FFFFFF" w:themeFill="background1"/>
            <w:noWrap/>
            <w:vAlign w:val="center"/>
            <w:hideMark/>
          </w:tcPr>
          <w:p w14:paraId="420F8EF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910</w:t>
            </w:r>
          </w:p>
        </w:tc>
        <w:tc>
          <w:tcPr>
            <w:tcW w:w="1984" w:type="dxa"/>
            <w:shd w:val="clear" w:color="auto" w:fill="FFFFFF" w:themeFill="background1"/>
            <w:noWrap/>
            <w:vAlign w:val="center"/>
            <w:hideMark/>
          </w:tcPr>
          <w:p w14:paraId="69EBD73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Xanxerê</w:t>
            </w:r>
          </w:p>
        </w:tc>
        <w:tc>
          <w:tcPr>
            <w:tcW w:w="1418" w:type="dxa"/>
            <w:shd w:val="clear" w:color="auto" w:fill="FFFFFF" w:themeFill="background1"/>
            <w:noWrap/>
            <w:vAlign w:val="center"/>
            <w:hideMark/>
          </w:tcPr>
          <w:p w14:paraId="17AB679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25B2D2B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5849B64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418" w:type="dxa"/>
            <w:shd w:val="clear" w:color="auto" w:fill="FFFFFF" w:themeFill="background1"/>
            <w:noWrap/>
            <w:vAlign w:val="center"/>
            <w:hideMark/>
          </w:tcPr>
          <w:p w14:paraId="1EE2A3C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1BC2E2F2" w14:textId="77777777" w:rsidTr="00D74DA1">
        <w:trPr>
          <w:trHeight w:val="300"/>
        </w:trPr>
        <w:tc>
          <w:tcPr>
            <w:tcW w:w="1034" w:type="dxa"/>
            <w:shd w:val="clear" w:color="auto" w:fill="FFFFFF" w:themeFill="background1"/>
            <w:noWrap/>
            <w:vAlign w:val="center"/>
            <w:hideMark/>
          </w:tcPr>
          <w:p w14:paraId="1E806F2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54</w:t>
            </w:r>
          </w:p>
        </w:tc>
        <w:tc>
          <w:tcPr>
            <w:tcW w:w="1559" w:type="dxa"/>
            <w:shd w:val="clear" w:color="auto" w:fill="FFFFFF" w:themeFill="background1"/>
            <w:noWrap/>
            <w:vAlign w:val="center"/>
            <w:hideMark/>
          </w:tcPr>
          <w:p w14:paraId="4034FC0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27°47'33.16"S</w:t>
            </w:r>
          </w:p>
        </w:tc>
        <w:tc>
          <w:tcPr>
            <w:tcW w:w="1559" w:type="dxa"/>
            <w:shd w:val="clear" w:color="auto" w:fill="FFFFFF" w:themeFill="background1"/>
            <w:noWrap/>
            <w:vAlign w:val="center"/>
            <w:hideMark/>
          </w:tcPr>
          <w:p w14:paraId="4BB4FEE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50°18'7.36"O</w:t>
            </w:r>
          </w:p>
        </w:tc>
        <w:tc>
          <w:tcPr>
            <w:tcW w:w="1418" w:type="dxa"/>
            <w:shd w:val="clear" w:color="auto" w:fill="FFFFFF" w:themeFill="background1"/>
            <w:noWrap/>
            <w:vAlign w:val="center"/>
            <w:hideMark/>
          </w:tcPr>
          <w:p w14:paraId="79A4529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911</w:t>
            </w:r>
          </w:p>
        </w:tc>
        <w:tc>
          <w:tcPr>
            <w:tcW w:w="1984" w:type="dxa"/>
            <w:shd w:val="clear" w:color="auto" w:fill="FFFFFF" w:themeFill="background1"/>
            <w:noWrap/>
            <w:vAlign w:val="center"/>
            <w:hideMark/>
          </w:tcPr>
          <w:p w14:paraId="30004C4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Lages</w:t>
            </w:r>
          </w:p>
        </w:tc>
        <w:tc>
          <w:tcPr>
            <w:tcW w:w="1418" w:type="dxa"/>
            <w:shd w:val="clear" w:color="auto" w:fill="FFFFFF" w:themeFill="background1"/>
            <w:noWrap/>
            <w:vAlign w:val="center"/>
            <w:hideMark/>
          </w:tcPr>
          <w:p w14:paraId="167C3F0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16/02/2018</w:t>
            </w:r>
          </w:p>
        </w:tc>
        <w:tc>
          <w:tcPr>
            <w:tcW w:w="1842" w:type="dxa"/>
            <w:shd w:val="clear" w:color="auto" w:fill="FFFFFF" w:themeFill="background1"/>
            <w:noWrap/>
            <w:vAlign w:val="center"/>
            <w:hideMark/>
          </w:tcPr>
          <w:p w14:paraId="378BB31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Lança IPRO</w:t>
            </w:r>
          </w:p>
        </w:tc>
        <w:tc>
          <w:tcPr>
            <w:tcW w:w="1276" w:type="dxa"/>
            <w:shd w:val="clear" w:color="auto" w:fill="FFFFFF" w:themeFill="background1"/>
            <w:noWrap/>
            <w:vAlign w:val="center"/>
            <w:hideMark/>
          </w:tcPr>
          <w:p w14:paraId="056212E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w:t>
            </w:r>
          </w:p>
        </w:tc>
        <w:tc>
          <w:tcPr>
            <w:tcW w:w="1418" w:type="dxa"/>
            <w:shd w:val="clear" w:color="auto" w:fill="FFFFFF" w:themeFill="background1"/>
            <w:noWrap/>
            <w:vAlign w:val="center"/>
            <w:hideMark/>
          </w:tcPr>
          <w:p w14:paraId="1E7C25C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5C9E63FF" w14:textId="77777777" w:rsidTr="00D74DA1">
        <w:trPr>
          <w:trHeight w:val="300"/>
        </w:trPr>
        <w:tc>
          <w:tcPr>
            <w:tcW w:w="1034" w:type="dxa"/>
            <w:shd w:val="clear" w:color="auto" w:fill="FFFFFF" w:themeFill="background1"/>
            <w:noWrap/>
            <w:vAlign w:val="center"/>
            <w:hideMark/>
          </w:tcPr>
          <w:p w14:paraId="1E891D9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55</w:t>
            </w:r>
          </w:p>
        </w:tc>
        <w:tc>
          <w:tcPr>
            <w:tcW w:w="1559" w:type="dxa"/>
            <w:shd w:val="clear" w:color="auto" w:fill="FFFFFF" w:themeFill="background1"/>
            <w:noWrap/>
            <w:vAlign w:val="center"/>
            <w:hideMark/>
          </w:tcPr>
          <w:p w14:paraId="0D4185E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27°40'17.20"S</w:t>
            </w:r>
          </w:p>
        </w:tc>
        <w:tc>
          <w:tcPr>
            <w:tcW w:w="1559" w:type="dxa"/>
            <w:shd w:val="clear" w:color="auto" w:fill="FFFFFF" w:themeFill="background1"/>
            <w:noWrap/>
            <w:vAlign w:val="center"/>
            <w:hideMark/>
          </w:tcPr>
          <w:p w14:paraId="25BB749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49°44'46.90"O</w:t>
            </w:r>
          </w:p>
        </w:tc>
        <w:tc>
          <w:tcPr>
            <w:tcW w:w="1418" w:type="dxa"/>
            <w:shd w:val="clear" w:color="auto" w:fill="FFFFFF" w:themeFill="background1"/>
            <w:noWrap/>
            <w:vAlign w:val="center"/>
            <w:hideMark/>
          </w:tcPr>
          <w:p w14:paraId="2373C39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963</w:t>
            </w:r>
          </w:p>
        </w:tc>
        <w:tc>
          <w:tcPr>
            <w:tcW w:w="1984" w:type="dxa"/>
            <w:shd w:val="clear" w:color="auto" w:fill="FFFFFF" w:themeFill="background1"/>
            <w:noWrap/>
            <w:vAlign w:val="center"/>
            <w:hideMark/>
          </w:tcPr>
          <w:p w14:paraId="2B23DE7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Bom retiro</w:t>
            </w:r>
          </w:p>
        </w:tc>
        <w:tc>
          <w:tcPr>
            <w:tcW w:w="1418" w:type="dxa"/>
            <w:shd w:val="clear" w:color="auto" w:fill="FFFFFF" w:themeFill="background1"/>
            <w:noWrap/>
            <w:vAlign w:val="center"/>
            <w:hideMark/>
          </w:tcPr>
          <w:p w14:paraId="1A1B185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12/03/2018</w:t>
            </w:r>
          </w:p>
        </w:tc>
        <w:tc>
          <w:tcPr>
            <w:tcW w:w="1842" w:type="dxa"/>
            <w:shd w:val="clear" w:color="auto" w:fill="FFFFFF" w:themeFill="background1"/>
            <w:noWrap/>
            <w:vAlign w:val="bottom"/>
            <w:hideMark/>
          </w:tcPr>
          <w:p w14:paraId="1C81543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NS6006 IPRO</w:t>
            </w:r>
          </w:p>
        </w:tc>
        <w:tc>
          <w:tcPr>
            <w:tcW w:w="1276" w:type="dxa"/>
            <w:shd w:val="clear" w:color="auto" w:fill="FFFFFF" w:themeFill="background1"/>
            <w:noWrap/>
            <w:vAlign w:val="center"/>
            <w:hideMark/>
          </w:tcPr>
          <w:p w14:paraId="2887911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R5.5/R6</w:t>
            </w:r>
          </w:p>
        </w:tc>
        <w:tc>
          <w:tcPr>
            <w:tcW w:w="1418" w:type="dxa"/>
            <w:shd w:val="clear" w:color="auto" w:fill="FFFFFF" w:themeFill="background1"/>
            <w:noWrap/>
            <w:vAlign w:val="center"/>
            <w:hideMark/>
          </w:tcPr>
          <w:p w14:paraId="73D5655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5C524328" w14:textId="77777777" w:rsidTr="00D74DA1">
        <w:trPr>
          <w:trHeight w:val="300"/>
        </w:trPr>
        <w:tc>
          <w:tcPr>
            <w:tcW w:w="1034" w:type="dxa"/>
            <w:shd w:val="clear" w:color="auto" w:fill="FFFFFF" w:themeFill="background1"/>
            <w:noWrap/>
            <w:vAlign w:val="center"/>
            <w:hideMark/>
          </w:tcPr>
          <w:p w14:paraId="436F04E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56</w:t>
            </w:r>
          </w:p>
        </w:tc>
        <w:tc>
          <w:tcPr>
            <w:tcW w:w="1559" w:type="dxa"/>
            <w:shd w:val="clear" w:color="auto" w:fill="FFFFFF" w:themeFill="background1"/>
            <w:noWrap/>
            <w:vAlign w:val="center"/>
            <w:hideMark/>
          </w:tcPr>
          <w:p w14:paraId="151CE96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27°21'41.00"S</w:t>
            </w:r>
          </w:p>
        </w:tc>
        <w:tc>
          <w:tcPr>
            <w:tcW w:w="1559" w:type="dxa"/>
            <w:shd w:val="clear" w:color="auto" w:fill="FFFFFF" w:themeFill="background1"/>
            <w:noWrap/>
            <w:vAlign w:val="center"/>
            <w:hideMark/>
          </w:tcPr>
          <w:p w14:paraId="11326D6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51° 2'9.40"O</w:t>
            </w:r>
          </w:p>
        </w:tc>
        <w:tc>
          <w:tcPr>
            <w:tcW w:w="1418" w:type="dxa"/>
            <w:shd w:val="clear" w:color="auto" w:fill="FFFFFF" w:themeFill="background1"/>
            <w:noWrap/>
            <w:vAlign w:val="center"/>
            <w:hideMark/>
          </w:tcPr>
          <w:p w14:paraId="569B0A1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975</w:t>
            </w:r>
          </w:p>
        </w:tc>
        <w:tc>
          <w:tcPr>
            <w:tcW w:w="1984" w:type="dxa"/>
            <w:shd w:val="clear" w:color="auto" w:fill="FFFFFF" w:themeFill="background1"/>
            <w:noWrap/>
            <w:vAlign w:val="center"/>
            <w:hideMark/>
          </w:tcPr>
          <w:p w14:paraId="14DEE4C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Monte Carlo</w:t>
            </w:r>
          </w:p>
        </w:tc>
        <w:tc>
          <w:tcPr>
            <w:tcW w:w="1418" w:type="dxa"/>
            <w:shd w:val="clear" w:color="auto" w:fill="FFFFFF" w:themeFill="background1"/>
            <w:noWrap/>
            <w:vAlign w:val="center"/>
            <w:hideMark/>
          </w:tcPr>
          <w:p w14:paraId="45FA962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395E5DE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7445790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418" w:type="dxa"/>
            <w:shd w:val="clear" w:color="auto" w:fill="FFFFFF" w:themeFill="background1"/>
            <w:noWrap/>
            <w:vAlign w:val="center"/>
            <w:hideMark/>
          </w:tcPr>
          <w:p w14:paraId="2840E30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47356E31" w14:textId="77777777" w:rsidTr="00D74DA1">
        <w:trPr>
          <w:trHeight w:val="300"/>
        </w:trPr>
        <w:tc>
          <w:tcPr>
            <w:tcW w:w="1034" w:type="dxa"/>
            <w:shd w:val="clear" w:color="auto" w:fill="FFFFFF" w:themeFill="background1"/>
            <w:noWrap/>
            <w:vAlign w:val="center"/>
            <w:hideMark/>
          </w:tcPr>
          <w:p w14:paraId="5AE7378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57</w:t>
            </w:r>
          </w:p>
        </w:tc>
        <w:tc>
          <w:tcPr>
            <w:tcW w:w="1559" w:type="dxa"/>
            <w:shd w:val="clear" w:color="auto" w:fill="FFFFFF" w:themeFill="background1"/>
            <w:noWrap/>
            <w:vAlign w:val="center"/>
            <w:hideMark/>
          </w:tcPr>
          <w:p w14:paraId="734A731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27°24'52.20"S</w:t>
            </w:r>
          </w:p>
        </w:tc>
        <w:tc>
          <w:tcPr>
            <w:tcW w:w="1559" w:type="dxa"/>
            <w:shd w:val="clear" w:color="auto" w:fill="FFFFFF" w:themeFill="background1"/>
            <w:noWrap/>
            <w:vAlign w:val="center"/>
            <w:hideMark/>
          </w:tcPr>
          <w:p w14:paraId="0A2DF78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50°24'53.80"O</w:t>
            </w:r>
          </w:p>
        </w:tc>
        <w:tc>
          <w:tcPr>
            <w:tcW w:w="1418" w:type="dxa"/>
            <w:shd w:val="clear" w:color="auto" w:fill="FFFFFF" w:themeFill="background1"/>
            <w:noWrap/>
            <w:vAlign w:val="center"/>
            <w:hideMark/>
          </w:tcPr>
          <w:p w14:paraId="207E86B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976</w:t>
            </w:r>
          </w:p>
        </w:tc>
        <w:tc>
          <w:tcPr>
            <w:tcW w:w="1984" w:type="dxa"/>
            <w:shd w:val="clear" w:color="auto" w:fill="FFFFFF" w:themeFill="background1"/>
            <w:noWrap/>
            <w:vAlign w:val="center"/>
            <w:hideMark/>
          </w:tcPr>
          <w:p w14:paraId="3102A73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Ponte alta</w:t>
            </w:r>
          </w:p>
        </w:tc>
        <w:tc>
          <w:tcPr>
            <w:tcW w:w="1418" w:type="dxa"/>
            <w:shd w:val="clear" w:color="auto" w:fill="FFFFFF" w:themeFill="background1"/>
            <w:noWrap/>
            <w:vAlign w:val="center"/>
            <w:hideMark/>
          </w:tcPr>
          <w:p w14:paraId="4DD5E48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21AD49C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0FF3B08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418" w:type="dxa"/>
            <w:shd w:val="clear" w:color="auto" w:fill="FFFFFF" w:themeFill="background1"/>
            <w:noWrap/>
            <w:vAlign w:val="center"/>
            <w:hideMark/>
          </w:tcPr>
          <w:p w14:paraId="12C914F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2A364D05" w14:textId="77777777" w:rsidTr="00D74DA1">
        <w:trPr>
          <w:trHeight w:val="300"/>
        </w:trPr>
        <w:tc>
          <w:tcPr>
            <w:tcW w:w="1034" w:type="dxa"/>
            <w:shd w:val="clear" w:color="auto" w:fill="FFFFFF" w:themeFill="background1"/>
            <w:noWrap/>
            <w:vAlign w:val="center"/>
            <w:hideMark/>
          </w:tcPr>
          <w:p w14:paraId="67D1255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58</w:t>
            </w:r>
          </w:p>
        </w:tc>
        <w:tc>
          <w:tcPr>
            <w:tcW w:w="1559" w:type="dxa"/>
            <w:shd w:val="clear" w:color="auto" w:fill="FFFFFF" w:themeFill="background1"/>
            <w:noWrap/>
            <w:vAlign w:val="center"/>
            <w:hideMark/>
          </w:tcPr>
          <w:p w14:paraId="5D91744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26°51'46.27"S</w:t>
            </w:r>
          </w:p>
        </w:tc>
        <w:tc>
          <w:tcPr>
            <w:tcW w:w="1559" w:type="dxa"/>
            <w:shd w:val="clear" w:color="auto" w:fill="FFFFFF" w:themeFill="background1"/>
            <w:noWrap/>
            <w:vAlign w:val="center"/>
            <w:hideMark/>
          </w:tcPr>
          <w:p w14:paraId="3025EE0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52°13'59.72"O</w:t>
            </w:r>
          </w:p>
        </w:tc>
        <w:tc>
          <w:tcPr>
            <w:tcW w:w="1418" w:type="dxa"/>
            <w:shd w:val="clear" w:color="auto" w:fill="FFFFFF" w:themeFill="background1"/>
            <w:noWrap/>
            <w:vAlign w:val="center"/>
            <w:hideMark/>
          </w:tcPr>
          <w:p w14:paraId="3A296B8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993</w:t>
            </w:r>
          </w:p>
        </w:tc>
        <w:tc>
          <w:tcPr>
            <w:tcW w:w="1984" w:type="dxa"/>
            <w:shd w:val="clear" w:color="auto" w:fill="FFFFFF" w:themeFill="background1"/>
            <w:noWrap/>
            <w:vAlign w:val="center"/>
            <w:hideMark/>
          </w:tcPr>
          <w:p w14:paraId="620E932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Vargeão</w:t>
            </w:r>
          </w:p>
        </w:tc>
        <w:tc>
          <w:tcPr>
            <w:tcW w:w="1418" w:type="dxa"/>
            <w:shd w:val="clear" w:color="auto" w:fill="FFFFFF" w:themeFill="background1"/>
            <w:noWrap/>
            <w:vAlign w:val="center"/>
            <w:hideMark/>
          </w:tcPr>
          <w:p w14:paraId="642FFDB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842" w:type="dxa"/>
            <w:shd w:val="clear" w:color="auto" w:fill="FFFFFF" w:themeFill="background1"/>
            <w:noWrap/>
            <w:vAlign w:val="center"/>
            <w:hideMark/>
          </w:tcPr>
          <w:p w14:paraId="2025E27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686E193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418" w:type="dxa"/>
            <w:shd w:val="clear" w:color="auto" w:fill="FFFFFF" w:themeFill="background1"/>
            <w:noWrap/>
            <w:vAlign w:val="center"/>
            <w:hideMark/>
          </w:tcPr>
          <w:p w14:paraId="62CB3ED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56D108E4" w14:textId="77777777" w:rsidTr="00D74DA1">
        <w:trPr>
          <w:trHeight w:val="300"/>
        </w:trPr>
        <w:tc>
          <w:tcPr>
            <w:tcW w:w="1034" w:type="dxa"/>
            <w:shd w:val="clear" w:color="auto" w:fill="FFFFFF" w:themeFill="background1"/>
            <w:noWrap/>
            <w:vAlign w:val="center"/>
            <w:hideMark/>
          </w:tcPr>
          <w:p w14:paraId="003571E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59</w:t>
            </w:r>
          </w:p>
        </w:tc>
        <w:tc>
          <w:tcPr>
            <w:tcW w:w="1559" w:type="dxa"/>
            <w:shd w:val="clear" w:color="auto" w:fill="FFFFFF" w:themeFill="background1"/>
            <w:noWrap/>
            <w:vAlign w:val="center"/>
            <w:hideMark/>
          </w:tcPr>
          <w:p w14:paraId="1D5FE13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26°52'32.67"S</w:t>
            </w:r>
          </w:p>
        </w:tc>
        <w:tc>
          <w:tcPr>
            <w:tcW w:w="1559" w:type="dxa"/>
            <w:shd w:val="clear" w:color="auto" w:fill="FFFFFF" w:themeFill="background1"/>
            <w:noWrap/>
            <w:vAlign w:val="center"/>
            <w:hideMark/>
          </w:tcPr>
          <w:p w14:paraId="024FF89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52°17'29.36"O</w:t>
            </w:r>
          </w:p>
        </w:tc>
        <w:tc>
          <w:tcPr>
            <w:tcW w:w="1418" w:type="dxa"/>
            <w:shd w:val="clear" w:color="auto" w:fill="FFFFFF" w:themeFill="background1"/>
            <w:noWrap/>
            <w:vAlign w:val="center"/>
            <w:hideMark/>
          </w:tcPr>
          <w:p w14:paraId="50FF7EA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994</w:t>
            </w:r>
          </w:p>
        </w:tc>
        <w:tc>
          <w:tcPr>
            <w:tcW w:w="1984" w:type="dxa"/>
            <w:shd w:val="clear" w:color="auto" w:fill="FFFFFF" w:themeFill="background1"/>
            <w:noWrap/>
            <w:vAlign w:val="center"/>
            <w:hideMark/>
          </w:tcPr>
          <w:p w14:paraId="74AAE4C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Faxinal dos Guedes</w:t>
            </w:r>
          </w:p>
        </w:tc>
        <w:tc>
          <w:tcPr>
            <w:tcW w:w="1418" w:type="dxa"/>
            <w:shd w:val="clear" w:color="auto" w:fill="FFFFFF" w:themeFill="background1"/>
            <w:noWrap/>
            <w:vAlign w:val="center"/>
            <w:hideMark/>
          </w:tcPr>
          <w:p w14:paraId="5B17666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02/04/2018</w:t>
            </w:r>
          </w:p>
        </w:tc>
        <w:tc>
          <w:tcPr>
            <w:tcW w:w="1842" w:type="dxa"/>
            <w:shd w:val="clear" w:color="auto" w:fill="FFFFFF" w:themeFill="background1"/>
            <w:noWrap/>
            <w:vAlign w:val="center"/>
            <w:hideMark/>
          </w:tcPr>
          <w:p w14:paraId="2BC1766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37E7611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418" w:type="dxa"/>
            <w:shd w:val="clear" w:color="auto" w:fill="FFFFFF" w:themeFill="background1"/>
            <w:noWrap/>
            <w:vAlign w:val="center"/>
            <w:hideMark/>
          </w:tcPr>
          <w:p w14:paraId="4283D6B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65641BD8" w14:textId="77777777" w:rsidTr="00D74DA1">
        <w:trPr>
          <w:trHeight w:val="300"/>
        </w:trPr>
        <w:tc>
          <w:tcPr>
            <w:tcW w:w="1034" w:type="dxa"/>
            <w:shd w:val="clear" w:color="auto" w:fill="FFFFFF" w:themeFill="background1"/>
            <w:noWrap/>
            <w:vAlign w:val="center"/>
            <w:hideMark/>
          </w:tcPr>
          <w:p w14:paraId="2C4EE79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60</w:t>
            </w:r>
          </w:p>
        </w:tc>
        <w:tc>
          <w:tcPr>
            <w:tcW w:w="1559" w:type="dxa"/>
            <w:shd w:val="clear" w:color="auto" w:fill="FFFFFF" w:themeFill="background1"/>
            <w:noWrap/>
            <w:vAlign w:val="center"/>
            <w:hideMark/>
          </w:tcPr>
          <w:p w14:paraId="6A16B69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26°51'20.70"S</w:t>
            </w:r>
          </w:p>
        </w:tc>
        <w:tc>
          <w:tcPr>
            <w:tcW w:w="1559" w:type="dxa"/>
            <w:shd w:val="clear" w:color="auto" w:fill="FFFFFF" w:themeFill="background1"/>
            <w:noWrap/>
            <w:vAlign w:val="center"/>
            <w:hideMark/>
          </w:tcPr>
          <w:p w14:paraId="04677D9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 5'59.23"O</w:t>
            </w:r>
          </w:p>
        </w:tc>
        <w:tc>
          <w:tcPr>
            <w:tcW w:w="1418" w:type="dxa"/>
            <w:shd w:val="clear" w:color="auto" w:fill="FFFFFF" w:themeFill="background1"/>
            <w:noWrap/>
            <w:vAlign w:val="center"/>
            <w:hideMark/>
          </w:tcPr>
          <w:p w14:paraId="1149252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1046</w:t>
            </w:r>
          </w:p>
        </w:tc>
        <w:tc>
          <w:tcPr>
            <w:tcW w:w="1984" w:type="dxa"/>
            <w:shd w:val="clear" w:color="auto" w:fill="FFFFFF" w:themeFill="background1"/>
            <w:noWrap/>
            <w:vAlign w:val="center"/>
            <w:hideMark/>
          </w:tcPr>
          <w:p w14:paraId="3E231E3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Ponte Serrada</w:t>
            </w:r>
          </w:p>
        </w:tc>
        <w:tc>
          <w:tcPr>
            <w:tcW w:w="1418" w:type="dxa"/>
            <w:shd w:val="clear" w:color="auto" w:fill="FFFFFF" w:themeFill="background1"/>
            <w:noWrap/>
            <w:vAlign w:val="center"/>
            <w:hideMark/>
          </w:tcPr>
          <w:p w14:paraId="644ADDA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21/02/2018</w:t>
            </w:r>
          </w:p>
        </w:tc>
        <w:tc>
          <w:tcPr>
            <w:tcW w:w="1842" w:type="dxa"/>
            <w:shd w:val="clear" w:color="auto" w:fill="FFFFFF" w:themeFill="background1"/>
            <w:noWrap/>
            <w:vAlign w:val="center"/>
            <w:hideMark/>
          </w:tcPr>
          <w:p w14:paraId="27270A7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1FC86DA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R6</w:t>
            </w:r>
          </w:p>
        </w:tc>
        <w:tc>
          <w:tcPr>
            <w:tcW w:w="1418" w:type="dxa"/>
            <w:shd w:val="clear" w:color="auto" w:fill="FFFFFF" w:themeFill="background1"/>
            <w:noWrap/>
            <w:vAlign w:val="center"/>
            <w:hideMark/>
          </w:tcPr>
          <w:p w14:paraId="6723D9B6"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72854A53" w14:textId="77777777" w:rsidTr="00D74DA1">
        <w:trPr>
          <w:trHeight w:val="300"/>
        </w:trPr>
        <w:tc>
          <w:tcPr>
            <w:tcW w:w="1034" w:type="dxa"/>
            <w:shd w:val="clear" w:color="auto" w:fill="FFFFFF" w:themeFill="background1"/>
            <w:noWrap/>
            <w:vAlign w:val="center"/>
            <w:hideMark/>
          </w:tcPr>
          <w:p w14:paraId="4C8D098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61</w:t>
            </w:r>
          </w:p>
        </w:tc>
        <w:tc>
          <w:tcPr>
            <w:tcW w:w="1559" w:type="dxa"/>
            <w:shd w:val="clear" w:color="auto" w:fill="FFFFFF" w:themeFill="background1"/>
            <w:noWrap/>
            <w:vAlign w:val="center"/>
            <w:hideMark/>
          </w:tcPr>
          <w:p w14:paraId="59B46F7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26°56'17.80"S</w:t>
            </w:r>
          </w:p>
        </w:tc>
        <w:tc>
          <w:tcPr>
            <w:tcW w:w="1559" w:type="dxa"/>
            <w:shd w:val="clear" w:color="auto" w:fill="FFFFFF" w:themeFill="background1"/>
            <w:noWrap/>
            <w:vAlign w:val="center"/>
            <w:hideMark/>
          </w:tcPr>
          <w:p w14:paraId="7A26059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51°52'1.60"O</w:t>
            </w:r>
          </w:p>
        </w:tc>
        <w:tc>
          <w:tcPr>
            <w:tcW w:w="1418" w:type="dxa"/>
            <w:shd w:val="clear" w:color="auto" w:fill="FFFFFF" w:themeFill="background1"/>
            <w:noWrap/>
            <w:vAlign w:val="center"/>
            <w:hideMark/>
          </w:tcPr>
          <w:p w14:paraId="1FB27E3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1056</w:t>
            </w:r>
          </w:p>
        </w:tc>
        <w:tc>
          <w:tcPr>
            <w:tcW w:w="1984" w:type="dxa"/>
            <w:shd w:val="clear" w:color="auto" w:fill="FFFFFF" w:themeFill="background1"/>
            <w:noWrap/>
            <w:vAlign w:val="center"/>
            <w:hideMark/>
          </w:tcPr>
          <w:p w14:paraId="1DA14C6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Vargem Bonita</w:t>
            </w:r>
          </w:p>
        </w:tc>
        <w:tc>
          <w:tcPr>
            <w:tcW w:w="1418" w:type="dxa"/>
            <w:shd w:val="clear" w:color="auto" w:fill="FFFFFF" w:themeFill="background1"/>
            <w:noWrap/>
            <w:vAlign w:val="center"/>
            <w:hideMark/>
          </w:tcPr>
          <w:p w14:paraId="4FFD541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448F476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47B20BF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418" w:type="dxa"/>
            <w:shd w:val="clear" w:color="auto" w:fill="FFFFFF" w:themeFill="background1"/>
            <w:noWrap/>
            <w:vAlign w:val="center"/>
            <w:hideMark/>
          </w:tcPr>
          <w:p w14:paraId="1482A1C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38B12FCC" w14:textId="77777777" w:rsidTr="00D74DA1">
        <w:trPr>
          <w:trHeight w:val="300"/>
        </w:trPr>
        <w:tc>
          <w:tcPr>
            <w:tcW w:w="1034" w:type="dxa"/>
            <w:shd w:val="clear" w:color="auto" w:fill="FFFFFF" w:themeFill="background1"/>
            <w:noWrap/>
            <w:vAlign w:val="center"/>
            <w:hideMark/>
          </w:tcPr>
          <w:p w14:paraId="7E8135B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62</w:t>
            </w:r>
          </w:p>
        </w:tc>
        <w:tc>
          <w:tcPr>
            <w:tcW w:w="1559" w:type="dxa"/>
            <w:shd w:val="clear" w:color="auto" w:fill="FFFFFF" w:themeFill="background1"/>
            <w:noWrap/>
            <w:vAlign w:val="center"/>
            <w:hideMark/>
          </w:tcPr>
          <w:p w14:paraId="3DF7303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27°18'42.80"S</w:t>
            </w:r>
          </w:p>
        </w:tc>
        <w:tc>
          <w:tcPr>
            <w:tcW w:w="1559" w:type="dxa"/>
            <w:shd w:val="clear" w:color="auto" w:fill="FFFFFF" w:themeFill="background1"/>
            <w:noWrap/>
            <w:vAlign w:val="center"/>
            <w:hideMark/>
          </w:tcPr>
          <w:p w14:paraId="4F01430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50°29'56.00"O</w:t>
            </w:r>
          </w:p>
        </w:tc>
        <w:tc>
          <w:tcPr>
            <w:tcW w:w="1418" w:type="dxa"/>
            <w:shd w:val="clear" w:color="auto" w:fill="FFFFFF" w:themeFill="background1"/>
            <w:noWrap/>
            <w:vAlign w:val="center"/>
            <w:hideMark/>
          </w:tcPr>
          <w:p w14:paraId="7E758BA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1073</w:t>
            </w:r>
          </w:p>
        </w:tc>
        <w:tc>
          <w:tcPr>
            <w:tcW w:w="1984" w:type="dxa"/>
            <w:shd w:val="clear" w:color="auto" w:fill="FFFFFF" w:themeFill="background1"/>
            <w:noWrap/>
            <w:vAlign w:val="center"/>
            <w:hideMark/>
          </w:tcPr>
          <w:p w14:paraId="7E7C832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Curitibanos</w:t>
            </w:r>
          </w:p>
        </w:tc>
        <w:tc>
          <w:tcPr>
            <w:tcW w:w="1418" w:type="dxa"/>
            <w:shd w:val="clear" w:color="auto" w:fill="FFFFFF" w:themeFill="background1"/>
            <w:noWrap/>
            <w:vAlign w:val="center"/>
            <w:hideMark/>
          </w:tcPr>
          <w:p w14:paraId="09BF58A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12/04/2018</w:t>
            </w:r>
          </w:p>
        </w:tc>
        <w:tc>
          <w:tcPr>
            <w:tcW w:w="1842" w:type="dxa"/>
            <w:shd w:val="clear" w:color="auto" w:fill="FFFFFF" w:themeFill="background1"/>
            <w:noWrap/>
            <w:vAlign w:val="center"/>
            <w:hideMark/>
          </w:tcPr>
          <w:p w14:paraId="0CB8425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13D6481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R7</w:t>
            </w:r>
          </w:p>
        </w:tc>
        <w:tc>
          <w:tcPr>
            <w:tcW w:w="1418" w:type="dxa"/>
            <w:shd w:val="clear" w:color="auto" w:fill="FFFFFF" w:themeFill="background1"/>
            <w:noWrap/>
            <w:vAlign w:val="center"/>
            <w:hideMark/>
          </w:tcPr>
          <w:p w14:paraId="1E97980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10C221DC" w14:textId="77777777" w:rsidTr="00D74DA1">
        <w:trPr>
          <w:trHeight w:val="300"/>
        </w:trPr>
        <w:tc>
          <w:tcPr>
            <w:tcW w:w="1034" w:type="dxa"/>
            <w:shd w:val="clear" w:color="auto" w:fill="FFFFFF" w:themeFill="background1"/>
            <w:noWrap/>
            <w:vAlign w:val="center"/>
            <w:hideMark/>
          </w:tcPr>
          <w:p w14:paraId="00836F5E"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63</w:t>
            </w:r>
          </w:p>
        </w:tc>
        <w:tc>
          <w:tcPr>
            <w:tcW w:w="1559" w:type="dxa"/>
            <w:shd w:val="clear" w:color="auto" w:fill="FFFFFF" w:themeFill="background1"/>
            <w:noWrap/>
            <w:vAlign w:val="center"/>
            <w:hideMark/>
          </w:tcPr>
          <w:p w14:paraId="4D541CD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26°56'43.57"S</w:t>
            </w:r>
          </w:p>
        </w:tc>
        <w:tc>
          <w:tcPr>
            <w:tcW w:w="1559" w:type="dxa"/>
            <w:shd w:val="clear" w:color="auto" w:fill="FFFFFF" w:themeFill="background1"/>
            <w:noWrap/>
            <w:vAlign w:val="center"/>
            <w:hideMark/>
          </w:tcPr>
          <w:p w14:paraId="2EE3976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51°29'52.21"O</w:t>
            </w:r>
          </w:p>
        </w:tc>
        <w:tc>
          <w:tcPr>
            <w:tcW w:w="1418" w:type="dxa"/>
            <w:shd w:val="clear" w:color="auto" w:fill="FFFFFF" w:themeFill="background1"/>
            <w:noWrap/>
            <w:vAlign w:val="center"/>
            <w:hideMark/>
          </w:tcPr>
          <w:p w14:paraId="6C346FA2"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1076</w:t>
            </w:r>
          </w:p>
        </w:tc>
        <w:tc>
          <w:tcPr>
            <w:tcW w:w="1984" w:type="dxa"/>
            <w:shd w:val="clear" w:color="auto" w:fill="FFFFFF" w:themeFill="background1"/>
            <w:noWrap/>
            <w:vAlign w:val="center"/>
            <w:hideMark/>
          </w:tcPr>
          <w:p w14:paraId="32AB878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Água Doce</w:t>
            </w:r>
          </w:p>
        </w:tc>
        <w:tc>
          <w:tcPr>
            <w:tcW w:w="1418" w:type="dxa"/>
            <w:shd w:val="clear" w:color="auto" w:fill="FFFFFF" w:themeFill="background1"/>
            <w:noWrap/>
            <w:vAlign w:val="center"/>
            <w:hideMark/>
          </w:tcPr>
          <w:p w14:paraId="797BDCB3"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18/03/2018</w:t>
            </w:r>
          </w:p>
        </w:tc>
        <w:tc>
          <w:tcPr>
            <w:tcW w:w="1842" w:type="dxa"/>
            <w:shd w:val="clear" w:color="auto" w:fill="FFFFFF" w:themeFill="background1"/>
            <w:noWrap/>
            <w:vAlign w:val="center"/>
            <w:hideMark/>
          </w:tcPr>
          <w:p w14:paraId="1FCEACE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56CACBF0"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R5.5</w:t>
            </w:r>
          </w:p>
        </w:tc>
        <w:tc>
          <w:tcPr>
            <w:tcW w:w="1418" w:type="dxa"/>
            <w:shd w:val="clear" w:color="auto" w:fill="FFFFFF" w:themeFill="background1"/>
            <w:noWrap/>
            <w:vAlign w:val="center"/>
            <w:hideMark/>
          </w:tcPr>
          <w:p w14:paraId="3CFEA9BA"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4834B3F9" w14:textId="77777777" w:rsidTr="00D74DA1">
        <w:trPr>
          <w:trHeight w:val="300"/>
        </w:trPr>
        <w:tc>
          <w:tcPr>
            <w:tcW w:w="1034" w:type="dxa"/>
            <w:shd w:val="clear" w:color="auto" w:fill="FFFFFF" w:themeFill="background1"/>
            <w:noWrap/>
            <w:vAlign w:val="center"/>
            <w:hideMark/>
          </w:tcPr>
          <w:p w14:paraId="0299ADDF"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64</w:t>
            </w:r>
          </w:p>
        </w:tc>
        <w:tc>
          <w:tcPr>
            <w:tcW w:w="1559" w:type="dxa"/>
            <w:shd w:val="clear" w:color="auto" w:fill="FFFFFF" w:themeFill="background1"/>
            <w:noWrap/>
            <w:vAlign w:val="center"/>
            <w:hideMark/>
          </w:tcPr>
          <w:p w14:paraId="5CAFF949"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26°34'45.50"S</w:t>
            </w:r>
          </w:p>
        </w:tc>
        <w:tc>
          <w:tcPr>
            <w:tcW w:w="1559" w:type="dxa"/>
            <w:shd w:val="clear" w:color="auto" w:fill="FFFFFF" w:themeFill="background1"/>
            <w:noWrap/>
            <w:vAlign w:val="center"/>
            <w:hideMark/>
          </w:tcPr>
          <w:p w14:paraId="65FB44F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52° 0'56.06"O</w:t>
            </w:r>
          </w:p>
        </w:tc>
        <w:tc>
          <w:tcPr>
            <w:tcW w:w="1418" w:type="dxa"/>
            <w:shd w:val="clear" w:color="auto" w:fill="FFFFFF" w:themeFill="background1"/>
            <w:noWrap/>
            <w:vAlign w:val="center"/>
            <w:hideMark/>
          </w:tcPr>
          <w:p w14:paraId="73922B6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1134</w:t>
            </w:r>
          </w:p>
        </w:tc>
        <w:tc>
          <w:tcPr>
            <w:tcW w:w="1984" w:type="dxa"/>
            <w:shd w:val="clear" w:color="auto" w:fill="FFFFFF" w:themeFill="background1"/>
            <w:noWrap/>
            <w:vAlign w:val="center"/>
            <w:hideMark/>
          </w:tcPr>
          <w:p w14:paraId="4997B634"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Passos Maia</w:t>
            </w:r>
          </w:p>
        </w:tc>
        <w:tc>
          <w:tcPr>
            <w:tcW w:w="1418" w:type="dxa"/>
            <w:shd w:val="clear" w:color="auto" w:fill="FFFFFF" w:themeFill="background1"/>
            <w:noWrap/>
            <w:vAlign w:val="center"/>
            <w:hideMark/>
          </w:tcPr>
          <w:p w14:paraId="5C35D41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18/03/2018</w:t>
            </w:r>
          </w:p>
        </w:tc>
        <w:tc>
          <w:tcPr>
            <w:tcW w:w="1842" w:type="dxa"/>
            <w:shd w:val="clear" w:color="auto" w:fill="FFFFFF" w:themeFill="background1"/>
            <w:noWrap/>
            <w:vAlign w:val="center"/>
            <w:hideMark/>
          </w:tcPr>
          <w:p w14:paraId="1817339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c>
          <w:tcPr>
            <w:tcW w:w="1276" w:type="dxa"/>
            <w:shd w:val="clear" w:color="auto" w:fill="FFFFFF" w:themeFill="background1"/>
            <w:noWrap/>
            <w:vAlign w:val="center"/>
            <w:hideMark/>
          </w:tcPr>
          <w:p w14:paraId="4D237755"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R5.5</w:t>
            </w:r>
          </w:p>
        </w:tc>
        <w:tc>
          <w:tcPr>
            <w:tcW w:w="1418" w:type="dxa"/>
            <w:shd w:val="clear" w:color="auto" w:fill="FFFFFF" w:themeFill="background1"/>
            <w:noWrap/>
            <w:vAlign w:val="center"/>
            <w:hideMark/>
          </w:tcPr>
          <w:p w14:paraId="64A5D04B"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r w:rsidR="00362172" w:rsidRPr="00362172" w14:paraId="3A6581EB" w14:textId="77777777" w:rsidTr="00D74DA1">
        <w:trPr>
          <w:trHeight w:val="300"/>
        </w:trPr>
        <w:tc>
          <w:tcPr>
            <w:tcW w:w="1034" w:type="dxa"/>
            <w:shd w:val="clear" w:color="auto" w:fill="FFFFFF" w:themeFill="background1"/>
            <w:noWrap/>
            <w:vAlign w:val="center"/>
            <w:hideMark/>
          </w:tcPr>
          <w:p w14:paraId="28E9326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65</w:t>
            </w:r>
          </w:p>
        </w:tc>
        <w:tc>
          <w:tcPr>
            <w:tcW w:w="1559" w:type="dxa"/>
            <w:shd w:val="clear" w:color="auto" w:fill="FFFFFF" w:themeFill="background1"/>
            <w:noWrap/>
            <w:vAlign w:val="center"/>
            <w:hideMark/>
          </w:tcPr>
          <w:p w14:paraId="1540205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xml:space="preserve"> 27°47'33.16"S</w:t>
            </w:r>
          </w:p>
        </w:tc>
        <w:tc>
          <w:tcPr>
            <w:tcW w:w="1559" w:type="dxa"/>
            <w:shd w:val="clear" w:color="auto" w:fill="FFFFFF" w:themeFill="background1"/>
            <w:noWrap/>
            <w:vAlign w:val="center"/>
            <w:hideMark/>
          </w:tcPr>
          <w:p w14:paraId="582591E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50°18'7.36"O</w:t>
            </w:r>
          </w:p>
        </w:tc>
        <w:tc>
          <w:tcPr>
            <w:tcW w:w="1418" w:type="dxa"/>
            <w:shd w:val="clear" w:color="auto" w:fill="FFFFFF" w:themeFill="background1"/>
            <w:noWrap/>
            <w:vAlign w:val="center"/>
            <w:hideMark/>
          </w:tcPr>
          <w:p w14:paraId="345B452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911</w:t>
            </w:r>
          </w:p>
        </w:tc>
        <w:tc>
          <w:tcPr>
            <w:tcW w:w="1984" w:type="dxa"/>
            <w:shd w:val="clear" w:color="auto" w:fill="FFFFFF" w:themeFill="background1"/>
            <w:noWrap/>
            <w:vAlign w:val="center"/>
            <w:hideMark/>
          </w:tcPr>
          <w:p w14:paraId="2C77C048"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Lages</w:t>
            </w:r>
          </w:p>
        </w:tc>
        <w:tc>
          <w:tcPr>
            <w:tcW w:w="1418" w:type="dxa"/>
            <w:shd w:val="clear" w:color="auto" w:fill="FFFFFF" w:themeFill="background1"/>
            <w:noWrap/>
            <w:vAlign w:val="center"/>
            <w:hideMark/>
          </w:tcPr>
          <w:p w14:paraId="091853F7"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18/06/2018</w:t>
            </w:r>
          </w:p>
        </w:tc>
        <w:tc>
          <w:tcPr>
            <w:tcW w:w="1842" w:type="dxa"/>
            <w:shd w:val="clear" w:color="auto" w:fill="FFFFFF" w:themeFill="background1"/>
            <w:noWrap/>
            <w:vAlign w:val="center"/>
            <w:hideMark/>
          </w:tcPr>
          <w:p w14:paraId="0559DAFD"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BMX Lança IPRO</w:t>
            </w:r>
          </w:p>
        </w:tc>
        <w:tc>
          <w:tcPr>
            <w:tcW w:w="1276" w:type="dxa"/>
            <w:shd w:val="clear" w:color="auto" w:fill="FFFFFF" w:themeFill="background1"/>
            <w:noWrap/>
            <w:vAlign w:val="center"/>
            <w:hideMark/>
          </w:tcPr>
          <w:p w14:paraId="6332CE7C"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R8</w:t>
            </w:r>
          </w:p>
        </w:tc>
        <w:tc>
          <w:tcPr>
            <w:tcW w:w="1418" w:type="dxa"/>
            <w:shd w:val="clear" w:color="auto" w:fill="FFFFFF" w:themeFill="background1"/>
            <w:noWrap/>
            <w:vAlign w:val="center"/>
            <w:hideMark/>
          </w:tcPr>
          <w:p w14:paraId="2F285C31" w14:textId="77777777" w:rsidR="00362172" w:rsidRPr="00362172" w:rsidRDefault="00362172" w:rsidP="00362172">
            <w:pPr>
              <w:autoSpaceDE/>
              <w:autoSpaceDN/>
              <w:adjustRightInd/>
              <w:spacing w:after="0" w:line="240" w:lineRule="auto"/>
              <w:ind w:firstLine="0"/>
              <w:jc w:val="center"/>
              <w:rPr>
                <w:rFonts w:eastAsia="Times New Roman"/>
                <w:color w:val="000000"/>
                <w:sz w:val="20"/>
                <w:szCs w:val="20"/>
                <w:lang w:eastAsia="pt-BR"/>
              </w:rPr>
            </w:pPr>
            <w:r w:rsidRPr="00362172">
              <w:rPr>
                <w:rFonts w:eastAsia="Times New Roman"/>
                <w:color w:val="000000"/>
                <w:sz w:val="20"/>
                <w:szCs w:val="20"/>
                <w:lang w:eastAsia="pt-BR"/>
              </w:rPr>
              <w:t> -</w:t>
            </w:r>
          </w:p>
        </w:tc>
      </w:tr>
    </w:tbl>
    <w:p w14:paraId="6335DE19" w14:textId="77777777" w:rsidR="00362172" w:rsidRPr="00362172" w:rsidRDefault="00362172" w:rsidP="00E2230B">
      <w:pPr>
        <w:autoSpaceDE/>
        <w:autoSpaceDN/>
        <w:adjustRightInd/>
        <w:spacing w:after="0" w:line="240" w:lineRule="auto"/>
      </w:pPr>
      <w:r w:rsidRPr="00362172">
        <w:rPr>
          <w:color w:val="000000" w:themeColor="text1"/>
          <w:sz w:val="16"/>
          <w:szCs w:val="16"/>
        </w:rPr>
        <w:t>*Amostra com o sinal de + na coluna de extração de DNA amplificaram e foram possível a quantificação da mutação I86F; amostras não amplificadas apresentam sinal de – na coluna de extração de DNA.</w:t>
      </w:r>
    </w:p>
    <w:p w14:paraId="1C46B308" w14:textId="5F4EE98F" w:rsidR="00C516F0" w:rsidRPr="00B7238F" w:rsidRDefault="00C516F0" w:rsidP="0005468C"/>
    <w:p w14:paraId="716300DE" w14:textId="7E253064" w:rsidR="00C516F0" w:rsidRPr="00B7238F" w:rsidRDefault="00C516F0" w:rsidP="0005468C"/>
    <w:p w14:paraId="42A80F4E" w14:textId="77777777" w:rsidR="00C26174" w:rsidRPr="00B7238F" w:rsidRDefault="00C26174" w:rsidP="0005468C">
      <w:pPr>
        <w:sectPr w:rsidR="00C26174" w:rsidRPr="00B7238F" w:rsidSect="001D48B0">
          <w:pgSz w:w="16838" w:h="11906" w:orient="landscape" w:code="9"/>
          <w:pgMar w:top="1701" w:right="1701" w:bottom="1134" w:left="1134" w:header="709" w:footer="709" w:gutter="0"/>
          <w:cols w:space="708"/>
          <w:docGrid w:linePitch="360"/>
        </w:sectPr>
      </w:pPr>
    </w:p>
    <w:p w14:paraId="1E9D20E7" w14:textId="79787F1E" w:rsidR="008241A5" w:rsidRDefault="00CF1A73" w:rsidP="00777EAF">
      <w:pPr>
        <w:pStyle w:val="Legenda"/>
        <w:keepNext/>
        <w:spacing w:after="0"/>
        <w:ind w:firstLine="0"/>
      </w:pPr>
      <w:bookmarkStart w:id="272" w:name="_Toc16173058"/>
      <w:r w:rsidRPr="00B7238F">
        <w:rPr>
          <w:rFonts w:eastAsia="Times New Roman"/>
          <w:noProof/>
          <w:color w:val="231F20"/>
          <w:highlight w:val="yellow"/>
          <w:lang w:eastAsia="pt-BR"/>
        </w:rPr>
        <w:drawing>
          <wp:anchor distT="0" distB="0" distL="114300" distR="114300" simplePos="0" relativeHeight="251697152" behindDoc="0" locked="0" layoutInCell="1" allowOverlap="1" wp14:anchorId="4CC1BF77" wp14:editId="5CA9A9B6">
            <wp:simplePos x="0" y="0"/>
            <wp:positionH relativeFrom="page">
              <wp:posOffset>1068705</wp:posOffset>
            </wp:positionH>
            <wp:positionV relativeFrom="margin">
              <wp:posOffset>403860</wp:posOffset>
            </wp:positionV>
            <wp:extent cx="5782945" cy="3886200"/>
            <wp:effectExtent l="0" t="0" r="8255"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2945" cy="3886200"/>
                    </a:xfrm>
                    <a:prstGeom prst="rect">
                      <a:avLst/>
                    </a:prstGeom>
                    <a:noFill/>
                    <a:ln>
                      <a:noFill/>
                    </a:ln>
                  </pic:spPr>
                </pic:pic>
              </a:graphicData>
            </a:graphic>
            <wp14:sizeRelH relativeFrom="margin">
              <wp14:pctWidth>0</wp14:pctWidth>
            </wp14:sizeRelH>
          </wp:anchor>
        </w:drawing>
      </w:r>
      <w:r w:rsidR="008241A5">
        <w:t xml:space="preserve">Figura </w:t>
      </w:r>
      <w:r w:rsidR="00D00510">
        <w:fldChar w:fldCharType="begin"/>
      </w:r>
      <w:r w:rsidR="00D00510">
        <w:instrText xml:space="preserve"> SEQ Figura \* ARABIC </w:instrText>
      </w:r>
      <w:r w:rsidR="00D00510">
        <w:fldChar w:fldCharType="separate"/>
      </w:r>
      <w:r w:rsidR="002D15F8">
        <w:rPr>
          <w:noProof/>
        </w:rPr>
        <w:t>1</w:t>
      </w:r>
      <w:r w:rsidR="00D00510">
        <w:rPr>
          <w:noProof/>
        </w:rPr>
        <w:fldChar w:fldCharType="end"/>
      </w:r>
      <w:r w:rsidR="008241A5">
        <w:t xml:space="preserve">. </w:t>
      </w:r>
      <w:r w:rsidR="008241A5" w:rsidRPr="0044554A">
        <w:t xml:space="preserve">Mapa do estado de Santa Catarina identificando os locais de coleta de populações de </w:t>
      </w:r>
      <w:r w:rsidR="008241A5" w:rsidRPr="001C6ED3">
        <w:rPr>
          <w:i/>
        </w:rPr>
        <w:t>Phakopsora pachyrhizi</w:t>
      </w:r>
      <w:r w:rsidR="008241A5" w:rsidRPr="0044554A">
        <w:t>. Lages, 2018.</w:t>
      </w:r>
      <w:bookmarkEnd w:id="272"/>
    </w:p>
    <w:p w14:paraId="52BD0F34" w14:textId="3B1C7D8F" w:rsidR="00C516F0" w:rsidRPr="00B7238F" w:rsidRDefault="00C52FF3" w:rsidP="00777EAF">
      <w:pPr>
        <w:spacing w:after="0" w:line="240" w:lineRule="auto"/>
        <w:ind w:firstLine="0"/>
        <w:rPr>
          <w:lang w:eastAsia="pt-BR"/>
        </w:rPr>
      </w:pPr>
      <w:r w:rsidRPr="00B7238F">
        <w:rPr>
          <w:lang w:eastAsia="pt-BR"/>
        </w:rPr>
        <w:t>Fonte: Elaborado pelo próprio autor.</w:t>
      </w:r>
    </w:p>
    <w:p w14:paraId="2B58321D" w14:textId="77777777" w:rsidR="00983BB1" w:rsidRDefault="00983BB1" w:rsidP="00777EAF">
      <w:pPr>
        <w:spacing w:after="0" w:line="360" w:lineRule="auto"/>
        <w:rPr>
          <w:lang w:eastAsia="pt-BR"/>
        </w:rPr>
      </w:pPr>
    </w:p>
    <w:p w14:paraId="7D9C13F5" w14:textId="32E236AC" w:rsidR="00C516F0" w:rsidRPr="00B7238F" w:rsidRDefault="00C516F0" w:rsidP="00777EAF">
      <w:pPr>
        <w:spacing w:after="0" w:line="360" w:lineRule="auto"/>
        <w:rPr>
          <w:lang w:eastAsia="pt-BR"/>
        </w:rPr>
      </w:pPr>
      <w:r w:rsidRPr="00B7238F">
        <w:rPr>
          <w:lang w:eastAsia="pt-BR"/>
        </w:rPr>
        <w:t xml:space="preserve">Entre as 38 populações do fungo coletadas no estado de Santa Catarina em que foi possível quantificar a mutação I86F, em 92,1 % das amostras foi detectada a mutação com média de 12,1 % de frequência. </w:t>
      </w:r>
    </w:p>
    <w:p w14:paraId="67B691C4" w14:textId="77777777" w:rsidR="00C516F0" w:rsidRPr="00B7238F" w:rsidRDefault="00C516F0" w:rsidP="0005468C">
      <w:pPr>
        <w:rPr>
          <w:lang w:eastAsia="pt-BR"/>
        </w:rPr>
      </w:pPr>
    </w:p>
    <w:p w14:paraId="5A0D2C09" w14:textId="1BEB820F" w:rsidR="004C24E3" w:rsidRDefault="004C24E3" w:rsidP="00777EAF">
      <w:pPr>
        <w:pStyle w:val="Legenda"/>
        <w:keepNext/>
        <w:spacing w:after="0"/>
        <w:ind w:firstLine="0"/>
      </w:pPr>
      <w:bookmarkStart w:id="273" w:name="_Toc16173059"/>
      <w:r>
        <w:t xml:space="preserve">Figura </w:t>
      </w:r>
      <w:r w:rsidR="00D00510">
        <w:fldChar w:fldCharType="begin"/>
      </w:r>
      <w:r w:rsidR="00D00510">
        <w:instrText xml:space="preserve"> SEQ Figura \* ARABIC </w:instrText>
      </w:r>
      <w:r w:rsidR="00D00510">
        <w:fldChar w:fldCharType="separate"/>
      </w:r>
      <w:r w:rsidR="002D15F8">
        <w:rPr>
          <w:noProof/>
        </w:rPr>
        <w:t>2</w:t>
      </w:r>
      <w:r w:rsidR="00D00510">
        <w:rPr>
          <w:noProof/>
        </w:rPr>
        <w:fldChar w:fldCharType="end"/>
      </w:r>
      <w:r>
        <w:t xml:space="preserve">. </w:t>
      </w:r>
      <w:r w:rsidRPr="00CA15D6">
        <w:t xml:space="preserve">Mapa do estado de Santa Catarina identificando os locais de coleta de populações de </w:t>
      </w:r>
      <w:r w:rsidRPr="00292357">
        <w:rPr>
          <w:i/>
        </w:rPr>
        <w:t xml:space="preserve">Phakopsora pachyrhizi </w:t>
      </w:r>
      <w:r w:rsidRPr="00CA15D6">
        <w:t>nas quais foi quantificado a mutação I86F na subunidade C da enzima succinato desidrogenase. Lages, 2018.</w:t>
      </w:r>
      <w:bookmarkEnd w:id="273"/>
    </w:p>
    <w:p w14:paraId="75F61DDD" w14:textId="07EF3422" w:rsidR="0003043D" w:rsidRPr="00B7238F" w:rsidRDefault="007F4A15" w:rsidP="00777EAF">
      <w:pPr>
        <w:spacing w:after="0" w:line="240" w:lineRule="auto"/>
        <w:ind w:firstLine="0"/>
        <w:rPr>
          <w:lang w:eastAsia="pt-BR"/>
        </w:rPr>
      </w:pPr>
      <w:r w:rsidRPr="00B7238F">
        <w:rPr>
          <w:noProof/>
          <w:lang w:eastAsia="pt-BR"/>
        </w:rPr>
        <w:drawing>
          <wp:inline distT="0" distB="0" distL="0" distR="0" wp14:anchorId="1B9BE635" wp14:editId="4C9C9638">
            <wp:extent cx="5807034" cy="3885565"/>
            <wp:effectExtent l="0" t="0" r="3810"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7772" cy="3899441"/>
                    </a:xfrm>
                    <a:prstGeom prst="rect">
                      <a:avLst/>
                    </a:prstGeom>
                    <a:noFill/>
                    <a:ln>
                      <a:noFill/>
                    </a:ln>
                  </pic:spPr>
                </pic:pic>
              </a:graphicData>
            </a:graphic>
          </wp:inline>
        </w:drawing>
      </w:r>
      <w:r w:rsidR="0003043D" w:rsidRPr="00B7238F">
        <w:rPr>
          <w:lang w:eastAsia="pt-BR"/>
        </w:rPr>
        <w:t>Fonte: Elaborado pelo próprio autor.</w:t>
      </w:r>
    </w:p>
    <w:p w14:paraId="1ECEEF23" w14:textId="77777777" w:rsidR="00C516F0" w:rsidRPr="00B7238F" w:rsidRDefault="00C516F0" w:rsidP="00777EAF">
      <w:pPr>
        <w:spacing w:after="0" w:line="360" w:lineRule="auto"/>
        <w:rPr>
          <w:lang w:eastAsia="pt-BR"/>
        </w:rPr>
      </w:pPr>
    </w:p>
    <w:p w14:paraId="6CF2199E" w14:textId="1565ABBA" w:rsidR="00446E23" w:rsidRDefault="00C516F0" w:rsidP="00777EAF">
      <w:pPr>
        <w:spacing w:after="0" w:line="360" w:lineRule="auto"/>
        <w:rPr>
          <w:lang w:eastAsia="pt-BR"/>
        </w:rPr>
      </w:pPr>
      <w:r w:rsidRPr="00B7238F">
        <w:rPr>
          <w:lang w:eastAsia="pt-BR"/>
        </w:rPr>
        <w:t>Porém, 59,4 % das populações do patógeno apresentam valores iguais ou inferiores a 10 % de frequência da mutação (Tabela 10). Além disto, as populações com frequência da mutação igual ou superior a 31 % representam somente 5,5 % das populações amostradas.</w:t>
      </w:r>
    </w:p>
    <w:p w14:paraId="7879C766" w14:textId="77777777" w:rsidR="00777EAF" w:rsidRDefault="00777EAF" w:rsidP="00777EAF">
      <w:pPr>
        <w:spacing w:after="0" w:line="360" w:lineRule="auto"/>
        <w:rPr>
          <w:lang w:eastAsia="pt-BR"/>
        </w:rPr>
      </w:pPr>
    </w:p>
    <w:p w14:paraId="59EBA227" w14:textId="0E165CA9" w:rsidR="00672A98" w:rsidRDefault="00672A98" w:rsidP="00672A98">
      <w:pPr>
        <w:pStyle w:val="Legenda"/>
        <w:keepNext/>
        <w:ind w:firstLine="0"/>
      </w:pPr>
      <w:bookmarkStart w:id="274" w:name="_Toc16173046"/>
      <w:r>
        <w:t xml:space="preserve">Tabela </w:t>
      </w:r>
      <w:r w:rsidR="00D00510">
        <w:fldChar w:fldCharType="begin"/>
      </w:r>
      <w:r w:rsidR="00D00510">
        <w:instrText xml:space="preserve"> SEQ Tab</w:instrText>
      </w:r>
      <w:r w:rsidR="00D00510">
        <w:instrText xml:space="preserve">ela \* ARABIC </w:instrText>
      </w:r>
      <w:r w:rsidR="00D00510">
        <w:fldChar w:fldCharType="separate"/>
      </w:r>
      <w:r w:rsidR="002D15F8">
        <w:rPr>
          <w:noProof/>
        </w:rPr>
        <w:t>10</w:t>
      </w:r>
      <w:r w:rsidR="00D00510">
        <w:rPr>
          <w:noProof/>
        </w:rPr>
        <w:fldChar w:fldCharType="end"/>
      </w:r>
      <w:r>
        <w:t xml:space="preserve">. </w:t>
      </w:r>
      <w:r w:rsidRPr="002F2E9F">
        <w:t xml:space="preserve">Porcentagem de amostras por faixa de valores de frequência da mutação I86F na subunidade C da enzima succinato desidrogenase em populações de </w:t>
      </w:r>
      <w:r w:rsidRPr="001C6ED3">
        <w:rPr>
          <w:i/>
        </w:rPr>
        <w:t>P. pachyrhizi</w:t>
      </w:r>
      <w:r w:rsidRPr="002F2E9F">
        <w:t>. Lages, 2018.</w:t>
      </w:r>
      <w:bookmarkEnd w:id="274"/>
    </w:p>
    <w:tbl>
      <w:tblPr>
        <w:tblW w:w="5103" w:type="dxa"/>
        <w:jc w:val="center"/>
        <w:tblCellMar>
          <w:left w:w="70" w:type="dxa"/>
          <w:right w:w="70" w:type="dxa"/>
        </w:tblCellMar>
        <w:tblLook w:val="04A0" w:firstRow="1" w:lastRow="0" w:firstColumn="1" w:lastColumn="0" w:noHBand="0" w:noVBand="1"/>
      </w:tblPr>
      <w:tblGrid>
        <w:gridCol w:w="1701"/>
        <w:gridCol w:w="1701"/>
        <w:gridCol w:w="1701"/>
      </w:tblGrid>
      <w:tr w:rsidR="00F50DDE" w:rsidRPr="00F50DDE" w14:paraId="2D4809F9" w14:textId="77777777" w:rsidTr="00D74DA1">
        <w:trPr>
          <w:trHeight w:val="300"/>
          <w:jc w:val="center"/>
        </w:trPr>
        <w:tc>
          <w:tcPr>
            <w:tcW w:w="1701" w:type="dxa"/>
            <w:tcBorders>
              <w:top w:val="single" w:sz="4" w:space="0" w:color="auto"/>
              <w:left w:val="nil"/>
              <w:bottom w:val="single" w:sz="4" w:space="0" w:color="auto"/>
              <w:right w:val="nil"/>
            </w:tcBorders>
            <w:shd w:val="clear" w:color="auto" w:fill="auto"/>
            <w:noWrap/>
            <w:vAlign w:val="center"/>
            <w:hideMark/>
          </w:tcPr>
          <w:p w14:paraId="38D64C4C" w14:textId="77777777" w:rsidR="00F50DDE" w:rsidRPr="00F50DDE" w:rsidRDefault="00F50DDE" w:rsidP="00F50DDE">
            <w:pPr>
              <w:autoSpaceDE/>
              <w:autoSpaceDN/>
              <w:adjustRightInd/>
              <w:spacing w:after="0" w:line="240" w:lineRule="auto"/>
              <w:ind w:firstLine="0"/>
              <w:jc w:val="center"/>
              <w:rPr>
                <w:rFonts w:eastAsia="Times New Roman"/>
                <w:b/>
                <w:color w:val="000000"/>
                <w:szCs w:val="22"/>
                <w:lang w:eastAsia="pt-BR"/>
              </w:rPr>
            </w:pPr>
            <w:r w:rsidRPr="00F50DDE">
              <w:rPr>
                <w:rFonts w:eastAsia="Times New Roman"/>
                <w:b/>
                <w:color w:val="000000"/>
                <w:szCs w:val="22"/>
                <w:lang w:eastAsia="pt-BR"/>
              </w:rPr>
              <w:t>% I86F</w:t>
            </w:r>
          </w:p>
        </w:tc>
        <w:tc>
          <w:tcPr>
            <w:tcW w:w="1701" w:type="dxa"/>
            <w:tcBorders>
              <w:top w:val="single" w:sz="4" w:space="0" w:color="auto"/>
              <w:left w:val="nil"/>
              <w:bottom w:val="single" w:sz="4" w:space="0" w:color="auto"/>
              <w:right w:val="nil"/>
            </w:tcBorders>
            <w:shd w:val="clear" w:color="auto" w:fill="auto"/>
            <w:noWrap/>
            <w:vAlign w:val="center"/>
            <w:hideMark/>
          </w:tcPr>
          <w:p w14:paraId="1039CC90" w14:textId="77777777" w:rsidR="00F50DDE" w:rsidRPr="00F50DDE" w:rsidRDefault="00F50DDE" w:rsidP="00F50DDE">
            <w:pPr>
              <w:autoSpaceDE/>
              <w:autoSpaceDN/>
              <w:adjustRightInd/>
              <w:spacing w:after="0" w:line="240" w:lineRule="auto"/>
              <w:ind w:firstLine="0"/>
              <w:jc w:val="center"/>
              <w:rPr>
                <w:rFonts w:eastAsia="Times New Roman"/>
                <w:b/>
                <w:color w:val="000000"/>
                <w:szCs w:val="22"/>
                <w:lang w:eastAsia="pt-BR"/>
              </w:rPr>
            </w:pPr>
            <w:r w:rsidRPr="00F50DDE">
              <w:rPr>
                <w:rFonts w:eastAsia="Times New Roman"/>
                <w:b/>
                <w:color w:val="000000"/>
                <w:szCs w:val="22"/>
                <w:lang w:eastAsia="pt-BR"/>
              </w:rPr>
              <w:t>% total de amostras</w:t>
            </w:r>
          </w:p>
        </w:tc>
        <w:tc>
          <w:tcPr>
            <w:tcW w:w="1701" w:type="dxa"/>
            <w:tcBorders>
              <w:top w:val="single" w:sz="4" w:space="0" w:color="auto"/>
              <w:left w:val="nil"/>
              <w:bottom w:val="single" w:sz="4" w:space="0" w:color="auto"/>
              <w:right w:val="nil"/>
            </w:tcBorders>
            <w:shd w:val="clear" w:color="auto" w:fill="auto"/>
            <w:noWrap/>
            <w:vAlign w:val="center"/>
            <w:hideMark/>
          </w:tcPr>
          <w:p w14:paraId="146978B2" w14:textId="77777777" w:rsidR="00F50DDE" w:rsidRPr="00F50DDE" w:rsidRDefault="00F50DDE" w:rsidP="00F50DDE">
            <w:pPr>
              <w:autoSpaceDE/>
              <w:autoSpaceDN/>
              <w:adjustRightInd/>
              <w:spacing w:after="0" w:line="240" w:lineRule="auto"/>
              <w:ind w:firstLine="0"/>
              <w:jc w:val="center"/>
              <w:rPr>
                <w:rFonts w:eastAsia="Times New Roman"/>
                <w:b/>
                <w:color w:val="000000"/>
                <w:szCs w:val="22"/>
                <w:lang w:eastAsia="pt-BR"/>
              </w:rPr>
            </w:pPr>
            <w:r w:rsidRPr="00F50DDE">
              <w:rPr>
                <w:rFonts w:eastAsia="Times New Roman"/>
                <w:b/>
                <w:color w:val="000000"/>
                <w:szCs w:val="22"/>
                <w:lang w:eastAsia="pt-BR"/>
              </w:rPr>
              <w:t>% acumulada</w:t>
            </w:r>
          </w:p>
        </w:tc>
      </w:tr>
      <w:tr w:rsidR="00F50DDE" w:rsidRPr="00F50DDE" w14:paraId="2CF499E9" w14:textId="77777777" w:rsidTr="00D74DA1">
        <w:trPr>
          <w:trHeight w:val="300"/>
          <w:jc w:val="center"/>
        </w:trPr>
        <w:tc>
          <w:tcPr>
            <w:tcW w:w="1701" w:type="dxa"/>
            <w:tcBorders>
              <w:top w:val="single" w:sz="4" w:space="0" w:color="auto"/>
              <w:left w:val="nil"/>
              <w:bottom w:val="nil"/>
              <w:right w:val="nil"/>
            </w:tcBorders>
            <w:shd w:val="clear" w:color="auto" w:fill="auto"/>
            <w:noWrap/>
            <w:vAlign w:val="center"/>
            <w:hideMark/>
          </w:tcPr>
          <w:p w14:paraId="3FB36FF9"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0-10</w:t>
            </w:r>
          </w:p>
        </w:tc>
        <w:tc>
          <w:tcPr>
            <w:tcW w:w="1701" w:type="dxa"/>
            <w:tcBorders>
              <w:top w:val="single" w:sz="4" w:space="0" w:color="auto"/>
              <w:left w:val="nil"/>
              <w:bottom w:val="nil"/>
              <w:right w:val="nil"/>
            </w:tcBorders>
            <w:shd w:val="clear" w:color="auto" w:fill="auto"/>
            <w:noWrap/>
            <w:vAlign w:val="center"/>
            <w:hideMark/>
          </w:tcPr>
          <w:p w14:paraId="61DB671E"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59,4</w:t>
            </w:r>
          </w:p>
        </w:tc>
        <w:tc>
          <w:tcPr>
            <w:tcW w:w="1701" w:type="dxa"/>
            <w:tcBorders>
              <w:top w:val="single" w:sz="4" w:space="0" w:color="auto"/>
              <w:left w:val="nil"/>
              <w:bottom w:val="nil"/>
              <w:right w:val="nil"/>
            </w:tcBorders>
            <w:shd w:val="clear" w:color="auto" w:fill="auto"/>
            <w:noWrap/>
            <w:vAlign w:val="center"/>
            <w:hideMark/>
          </w:tcPr>
          <w:p w14:paraId="390FC490"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59,4</w:t>
            </w:r>
          </w:p>
        </w:tc>
      </w:tr>
      <w:tr w:rsidR="00F50DDE" w:rsidRPr="00F50DDE" w14:paraId="688DD6F2" w14:textId="77777777" w:rsidTr="00D74DA1">
        <w:trPr>
          <w:trHeight w:val="300"/>
          <w:jc w:val="center"/>
        </w:trPr>
        <w:tc>
          <w:tcPr>
            <w:tcW w:w="1701" w:type="dxa"/>
            <w:tcBorders>
              <w:top w:val="nil"/>
              <w:left w:val="nil"/>
              <w:bottom w:val="nil"/>
              <w:right w:val="nil"/>
            </w:tcBorders>
            <w:shd w:val="clear" w:color="auto" w:fill="auto"/>
            <w:noWrap/>
            <w:vAlign w:val="center"/>
            <w:hideMark/>
          </w:tcPr>
          <w:p w14:paraId="3EC15211"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11-20</w:t>
            </w:r>
          </w:p>
        </w:tc>
        <w:tc>
          <w:tcPr>
            <w:tcW w:w="1701" w:type="dxa"/>
            <w:tcBorders>
              <w:top w:val="nil"/>
              <w:left w:val="nil"/>
              <w:bottom w:val="nil"/>
              <w:right w:val="nil"/>
            </w:tcBorders>
            <w:shd w:val="clear" w:color="auto" w:fill="auto"/>
            <w:noWrap/>
            <w:vAlign w:val="center"/>
            <w:hideMark/>
          </w:tcPr>
          <w:p w14:paraId="19762886"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16,2</w:t>
            </w:r>
          </w:p>
        </w:tc>
        <w:tc>
          <w:tcPr>
            <w:tcW w:w="1701" w:type="dxa"/>
            <w:tcBorders>
              <w:top w:val="nil"/>
              <w:left w:val="nil"/>
              <w:bottom w:val="nil"/>
              <w:right w:val="nil"/>
            </w:tcBorders>
            <w:shd w:val="clear" w:color="auto" w:fill="auto"/>
            <w:noWrap/>
            <w:vAlign w:val="center"/>
            <w:hideMark/>
          </w:tcPr>
          <w:p w14:paraId="64FD680E"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75,6</w:t>
            </w:r>
          </w:p>
        </w:tc>
      </w:tr>
      <w:tr w:rsidR="00F50DDE" w:rsidRPr="00F50DDE" w14:paraId="3D59E931" w14:textId="77777777" w:rsidTr="00D74DA1">
        <w:trPr>
          <w:trHeight w:val="300"/>
          <w:jc w:val="center"/>
        </w:trPr>
        <w:tc>
          <w:tcPr>
            <w:tcW w:w="1701" w:type="dxa"/>
            <w:tcBorders>
              <w:top w:val="nil"/>
              <w:left w:val="nil"/>
              <w:bottom w:val="nil"/>
              <w:right w:val="nil"/>
            </w:tcBorders>
            <w:shd w:val="clear" w:color="auto" w:fill="auto"/>
            <w:noWrap/>
            <w:vAlign w:val="center"/>
            <w:hideMark/>
          </w:tcPr>
          <w:p w14:paraId="247BF767"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21-30</w:t>
            </w:r>
          </w:p>
        </w:tc>
        <w:tc>
          <w:tcPr>
            <w:tcW w:w="1701" w:type="dxa"/>
            <w:tcBorders>
              <w:top w:val="nil"/>
              <w:left w:val="nil"/>
              <w:bottom w:val="nil"/>
              <w:right w:val="nil"/>
            </w:tcBorders>
            <w:shd w:val="clear" w:color="auto" w:fill="auto"/>
            <w:noWrap/>
            <w:vAlign w:val="center"/>
            <w:hideMark/>
          </w:tcPr>
          <w:p w14:paraId="42CEFD10"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18,9</w:t>
            </w:r>
          </w:p>
        </w:tc>
        <w:tc>
          <w:tcPr>
            <w:tcW w:w="1701" w:type="dxa"/>
            <w:tcBorders>
              <w:top w:val="nil"/>
              <w:left w:val="nil"/>
              <w:bottom w:val="nil"/>
              <w:right w:val="nil"/>
            </w:tcBorders>
            <w:shd w:val="clear" w:color="auto" w:fill="auto"/>
            <w:noWrap/>
            <w:vAlign w:val="center"/>
            <w:hideMark/>
          </w:tcPr>
          <w:p w14:paraId="19CF3611"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94,5</w:t>
            </w:r>
          </w:p>
        </w:tc>
      </w:tr>
      <w:tr w:rsidR="00F50DDE" w:rsidRPr="00F50DDE" w14:paraId="0C0203DE" w14:textId="77777777" w:rsidTr="00D74DA1">
        <w:trPr>
          <w:trHeight w:val="300"/>
          <w:jc w:val="center"/>
        </w:trPr>
        <w:tc>
          <w:tcPr>
            <w:tcW w:w="1701" w:type="dxa"/>
            <w:tcBorders>
              <w:top w:val="nil"/>
              <w:left w:val="nil"/>
              <w:bottom w:val="nil"/>
              <w:right w:val="nil"/>
            </w:tcBorders>
            <w:shd w:val="clear" w:color="auto" w:fill="auto"/>
            <w:noWrap/>
            <w:vAlign w:val="center"/>
            <w:hideMark/>
          </w:tcPr>
          <w:p w14:paraId="3D53CD6D"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31-40</w:t>
            </w:r>
          </w:p>
        </w:tc>
        <w:tc>
          <w:tcPr>
            <w:tcW w:w="1701" w:type="dxa"/>
            <w:tcBorders>
              <w:top w:val="nil"/>
              <w:left w:val="nil"/>
              <w:bottom w:val="nil"/>
              <w:right w:val="nil"/>
            </w:tcBorders>
            <w:shd w:val="clear" w:color="auto" w:fill="auto"/>
            <w:noWrap/>
            <w:vAlign w:val="center"/>
            <w:hideMark/>
          </w:tcPr>
          <w:p w14:paraId="52FC9328"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2,7</w:t>
            </w:r>
          </w:p>
        </w:tc>
        <w:tc>
          <w:tcPr>
            <w:tcW w:w="1701" w:type="dxa"/>
            <w:tcBorders>
              <w:top w:val="nil"/>
              <w:left w:val="nil"/>
              <w:bottom w:val="nil"/>
              <w:right w:val="nil"/>
            </w:tcBorders>
            <w:shd w:val="clear" w:color="auto" w:fill="auto"/>
            <w:noWrap/>
            <w:vAlign w:val="center"/>
            <w:hideMark/>
          </w:tcPr>
          <w:p w14:paraId="3EA64717"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97,2</w:t>
            </w:r>
          </w:p>
        </w:tc>
      </w:tr>
      <w:tr w:rsidR="00F50DDE" w:rsidRPr="00F50DDE" w14:paraId="46854F78" w14:textId="77777777" w:rsidTr="00D74DA1">
        <w:trPr>
          <w:trHeight w:val="300"/>
          <w:jc w:val="center"/>
        </w:trPr>
        <w:tc>
          <w:tcPr>
            <w:tcW w:w="1701" w:type="dxa"/>
            <w:tcBorders>
              <w:top w:val="nil"/>
              <w:left w:val="nil"/>
              <w:bottom w:val="single" w:sz="4" w:space="0" w:color="auto"/>
              <w:right w:val="nil"/>
            </w:tcBorders>
            <w:shd w:val="clear" w:color="auto" w:fill="auto"/>
            <w:noWrap/>
            <w:vAlign w:val="center"/>
            <w:hideMark/>
          </w:tcPr>
          <w:p w14:paraId="445B0C34"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41-50</w:t>
            </w:r>
          </w:p>
        </w:tc>
        <w:tc>
          <w:tcPr>
            <w:tcW w:w="1701" w:type="dxa"/>
            <w:tcBorders>
              <w:top w:val="nil"/>
              <w:left w:val="nil"/>
              <w:bottom w:val="single" w:sz="4" w:space="0" w:color="auto"/>
              <w:right w:val="nil"/>
            </w:tcBorders>
            <w:shd w:val="clear" w:color="auto" w:fill="auto"/>
            <w:noWrap/>
            <w:vAlign w:val="center"/>
            <w:hideMark/>
          </w:tcPr>
          <w:p w14:paraId="73EFF556"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2,7</w:t>
            </w:r>
          </w:p>
        </w:tc>
        <w:tc>
          <w:tcPr>
            <w:tcW w:w="1701" w:type="dxa"/>
            <w:tcBorders>
              <w:top w:val="nil"/>
              <w:left w:val="nil"/>
              <w:bottom w:val="single" w:sz="4" w:space="0" w:color="auto"/>
              <w:right w:val="nil"/>
            </w:tcBorders>
            <w:shd w:val="clear" w:color="auto" w:fill="auto"/>
            <w:noWrap/>
            <w:vAlign w:val="center"/>
            <w:hideMark/>
          </w:tcPr>
          <w:p w14:paraId="57A3EB43" w14:textId="77777777" w:rsidR="00F50DDE" w:rsidRPr="00F50DDE" w:rsidRDefault="00F50DDE" w:rsidP="00F50DDE">
            <w:pPr>
              <w:autoSpaceDE/>
              <w:autoSpaceDN/>
              <w:adjustRightInd/>
              <w:spacing w:after="0" w:line="240" w:lineRule="auto"/>
              <w:ind w:firstLine="0"/>
              <w:jc w:val="center"/>
              <w:rPr>
                <w:rFonts w:eastAsia="Times New Roman"/>
                <w:color w:val="000000"/>
                <w:sz w:val="20"/>
                <w:szCs w:val="22"/>
                <w:lang w:eastAsia="pt-BR"/>
              </w:rPr>
            </w:pPr>
            <w:r w:rsidRPr="00F50DDE">
              <w:rPr>
                <w:rFonts w:eastAsia="Times New Roman"/>
                <w:color w:val="000000"/>
                <w:sz w:val="20"/>
                <w:szCs w:val="22"/>
                <w:lang w:eastAsia="pt-BR"/>
              </w:rPr>
              <w:t>100,0</w:t>
            </w:r>
          </w:p>
        </w:tc>
      </w:tr>
    </w:tbl>
    <w:p w14:paraId="33DFE4E0" w14:textId="295DE430" w:rsidR="00446E23" w:rsidRPr="00B7238F" w:rsidRDefault="00446E23" w:rsidP="0005468C">
      <w:pPr>
        <w:rPr>
          <w:lang w:eastAsia="pt-BR"/>
        </w:rPr>
      </w:pPr>
    </w:p>
    <w:p w14:paraId="1207C97A" w14:textId="77777777" w:rsidR="00292CCD" w:rsidRPr="00B7238F" w:rsidRDefault="00292CCD" w:rsidP="0005468C">
      <w:pPr>
        <w:rPr>
          <w:lang w:eastAsia="pt-BR"/>
        </w:rPr>
      </w:pPr>
    </w:p>
    <w:p w14:paraId="25337E22" w14:textId="77777777" w:rsidR="00341039" w:rsidRDefault="00C516F0" w:rsidP="00777EAF">
      <w:pPr>
        <w:spacing w:after="0" w:line="360" w:lineRule="auto"/>
        <w:rPr>
          <w:lang w:eastAsia="pt-BR"/>
        </w:rPr>
      </w:pPr>
      <w:r w:rsidRPr="00B7238F">
        <w:rPr>
          <w:lang w:eastAsia="pt-BR"/>
        </w:rPr>
        <w:t xml:space="preserve">Para discussão dos resultados as amostras foram divididas por altitudes e regiões onde as populações de </w:t>
      </w:r>
      <w:r w:rsidRPr="00B7238F">
        <w:rPr>
          <w:i/>
          <w:lang w:eastAsia="pt-BR"/>
        </w:rPr>
        <w:t>P. pachyrhizi</w:t>
      </w:r>
      <w:r w:rsidRPr="00B7238F">
        <w:rPr>
          <w:lang w:eastAsia="pt-BR"/>
        </w:rPr>
        <w:t xml:space="preserve"> foram coletadas.</w:t>
      </w:r>
    </w:p>
    <w:p w14:paraId="5A0FAF65" w14:textId="3D65B50D" w:rsidR="00CE47D0" w:rsidRDefault="00C516F0" w:rsidP="00777EAF">
      <w:pPr>
        <w:spacing w:after="0" w:line="360" w:lineRule="auto"/>
        <w:rPr>
          <w:lang w:eastAsia="pt-BR"/>
        </w:rPr>
      </w:pPr>
      <w:r w:rsidRPr="00B7238F">
        <w:rPr>
          <w:lang w:eastAsia="pt-BR"/>
        </w:rPr>
        <w:t>Em média a frequência da mutação I86F foi de nove, quatorze e dezoito por cento para populações do fungo coletadas em altitudes superior a 800 m, entre 601 e 800 m, e 401 a 600 m, respectivamente (Tabelas 11,12,13).</w:t>
      </w:r>
    </w:p>
    <w:p w14:paraId="01DF91B0" w14:textId="77777777" w:rsidR="00171A2F" w:rsidRPr="00CE47D0" w:rsidRDefault="00171A2F" w:rsidP="00777EAF">
      <w:pPr>
        <w:spacing w:after="0" w:line="360" w:lineRule="auto"/>
        <w:rPr>
          <w:lang w:eastAsia="pt-BR"/>
        </w:rPr>
      </w:pPr>
    </w:p>
    <w:p w14:paraId="11F062EF" w14:textId="7B6F89B8" w:rsidR="00171A2F" w:rsidRDefault="00171A2F" w:rsidP="00777EAF">
      <w:pPr>
        <w:pStyle w:val="Legenda"/>
        <w:keepNext/>
        <w:spacing w:after="0"/>
        <w:ind w:firstLine="0"/>
      </w:pPr>
      <w:bookmarkStart w:id="275" w:name="_Toc16173047"/>
      <w:r>
        <w:t xml:space="preserve">Tabela </w:t>
      </w:r>
      <w:r w:rsidR="00D00510">
        <w:fldChar w:fldCharType="begin"/>
      </w:r>
      <w:r w:rsidR="00D00510">
        <w:instrText xml:space="preserve"> SEQ Tabela \* ARABIC </w:instrText>
      </w:r>
      <w:r w:rsidR="00D00510">
        <w:fldChar w:fldCharType="separate"/>
      </w:r>
      <w:r w:rsidR="002D15F8">
        <w:rPr>
          <w:noProof/>
        </w:rPr>
        <w:t>11</w:t>
      </w:r>
      <w:r w:rsidR="00D00510">
        <w:rPr>
          <w:noProof/>
        </w:rPr>
        <w:fldChar w:fldCharType="end"/>
      </w:r>
      <w:r w:rsidRPr="00E3796D">
        <w:t xml:space="preserve">. Frequências da mutação I86F na subunidade C da enzima succinato desidrogenase em populações de </w:t>
      </w:r>
      <w:r w:rsidRPr="004B0A23">
        <w:rPr>
          <w:i/>
        </w:rPr>
        <w:t xml:space="preserve">P. pachyrhizi </w:t>
      </w:r>
      <w:r w:rsidRPr="00E3796D">
        <w:t>coletadas em locais com altitude entre 401 e 600 m. Lages, 2018.</w:t>
      </w:r>
      <w:bookmarkEnd w:id="275"/>
    </w:p>
    <w:tbl>
      <w:tblPr>
        <w:tblW w:w="680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01"/>
        <w:gridCol w:w="1701"/>
        <w:gridCol w:w="1701"/>
        <w:gridCol w:w="1701"/>
      </w:tblGrid>
      <w:tr w:rsidR="00CE47D0" w:rsidRPr="00CE47D0" w14:paraId="23C7EBB2" w14:textId="77777777" w:rsidTr="00D74DA1">
        <w:trPr>
          <w:trHeight w:val="300"/>
          <w:jc w:val="center"/>
        </w:trPr>
        <w:tc>
          <w:tcPr>
            <w:tcW w:w="1701" w:type="dxa"/>
            <w:tcBorders>
              <w:top w:val="single" w:sz="4" w:space="0" w:color="auto"/>
              <w:bottom w:val="single" w:sz="4" w:space="0" w:color="auto"/>
            </w:tcBorders>
            <w:shd w:val="clear" w:color="auto" w:fill="FFFFFF" w:themeFill="background1"/>
            <w:noWrap/>
            <w:vAlign w:val="center"/>
            <w:hideMark/>
          </w:tcPr>
          <w:p w14:paraId="26C8918E"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Amostra</w:t>
            </w:r>
          </w:p>
        </w:tc>
        <w:tc>
          <w:tcPr>
            <w:tcW w:w="1701" w:type="dxa"/>
            <w:tcBorders>
              <w:top w:val="single" w:sz="4" w:space="0" w:color="auto"/>
              <w:bottom w:val="single" w:sz="4" w:space="0" w:color="auto"/>
            </w:tcBorders>
            <w:shd w:val="clear" w:color="auto" w:fill="FFFFFF" w:themeFill="background1"/>
            <w:noWrap/>
            <w:vAlign w:val="center"/>
            <w:hideMark/>
          </w:tcPr>
          <w:p w14:paraId="7784C295"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Município</w:t>
            </w:r>
          </w:p>
        </w:tc>
        <w:tc>
          <w:tcPr>
            <w:tcW w:w="1701" w:type="dxa"/>
            <w:tcBorders>
              <w:top w:val="single" w:sz="4" w:space="0" w:color="auto"/>
              <w:bottom w:val="single" w:sz="4" w:space="0" w:color="auto"/>
            </w:tcBorders>
            <w:shd w:val="clear" w:color="auto" w:fill="FFFFFF" w:themeFill="background1"/>
            <w:noWrap/>
            <w:vAlign w:val="center"/>
            <w:hideMark/>
          </w:tcPr>
          <w:p w14:paraId="3B29D1B4"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Altitude (m)</w:t>
            </w:r>
          </w:p>
        </w:tc>
        <w:tc>
          <w:tcPr>
            <w:tcW w:w="1701" w:type="dxa"/>
            <w:tcBorders>
              <w:top w:val="single" w:sz="4" w:space="0" w:color="auto"/>
              <w:bottom w:val="single" w:sz="4" w:space="0" w:color="auto"/>
            </w:tcBorders>
            <w:shd w:val="clear" w:color="auto" w:fill="FFFFFF" w:themeFill="background1"/>
            <w:noWrap/>
            <w:vAlign w:val="center"/>
            <w:hideMark/>
          </w:tcPr>
          <w:p w14:paraId="4E5EBEBB"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I86F (%)</w:t>
            </w:r>
          </w:p>
        </w:tc>
      </w:tr>
      <w:tr w:rsidR="00CE47D0" w:rsidRPr="00CE47D0" w14:paraId="144BBAEC" w14:textId="77777777" w:rsidTr="00D74DA1">
        <w:trPr>
          <w:trHeight w:val="300"/>
          <w:jc w:val="center"/>
        </w:trPr>
        <w:tc>
          <w:tcPr>
            <w:tcW w:w="1701" w:type="dxa"/>
            <w:tcBorders>
              <w:top w:val="single" w:sz="4" w:space="0" w:color="auto"/>
            </w:tcBorders>
            <w:shd w:val="clear" w:color="auto" w:fill="FFFFFF" w:themeFill="background1"/>
            <w:noWrap/>
            <w:vAlign w:val="bottom"/>
            <w:hideMark/>
          </w:tcPr>
          <w:p w14:paraId="47A9C46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w:t>
            </w:r>
          </w:p>
        </w:tc>
        <w:tc>
          <w:tcPr>
            <w:tcW w:w="1701" w:type="dxa"/>
            <w:tcBorders>
              <w:top w:val="single" w:sz="4" w:space="0" w:color="auto"/>
            </w:tcBorders>
            <w:shd w:val="clear" w:color="auto" w:fill="FFFFFF" w:themeFill="background1"/>
            <w:noWrap/>
            <w:vAlign w:val="center"/>
            <w:hideMark/>
          </w:tcPr>
          <w:p w14:paraId="56DFD0B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Cunha Porã</w:t>
            </w:r>
          </w:p>
        </w:tc>
        <w:tc>
          <w:tcPr>
            <w:tcW w:w="1701" w:type="dxa"/>
            <w:tcBorders>
              <w:top w:val="single" w:sz="4" w:space="0" w:color="auto"/>
            </w:tcBorders>
            <w:shd w:val="clear" w:color="auto" w:fill="FFFFFF" w:themeFill="background1"/>
            <w:noWrap/>
            <w:vAlign w:val="center"/>
            <w:hideMark/>
          </w:tcPr>
          <w:p w14:paraId="6356287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453</w:t>
            </w:r>
          </w:p>
        </w:tc>
        <w:tc>
          <w:tcPr>
            <w:tcW w:w="1701" w:type="dxa"/>
            <w:tcBorders>
              <w:top w:val="single" w:sz="4" w:space="0" w:color="auto"/>
            </w:tcBorders>
            <w:shd w:val="clear" w:color="auto" w:fill="FFFFFF" w:themeFill="background1"/>
            <w:noWrap/>
            <w:vAlign w:val="center"/>
            <w:hideMark/>
          </w:tcPr>
          <w:p w14:paraId="7B5C057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w:t>
            </w:r>
          </w:p>
        </w:tc>
      </w:tr>
      <w:tr w:rsidR="00CE47D0" w:rsidRPr="00CE47D0" w14:paraId="5FC4C9E6" w14:textId="77777777" w:rsidTr="00D74DA1">
        <w:trPr>
          <w:trHeight w:val="300"/>
          <w:jc w:val="center"/>
        </w:trPr>
        <w:tc>
          <w:tcPr>
            <w:tcW w:w="1701" w:type="dxa"/>
            <w:shd w:val="clear" w:color="auto" w:fill="FFFFFF" w:themeFill="background1"/>
            <w:noWrap/>
            <w:vAlign w:val="bottom"/>
            <w:hideMark/>
          </w:tcPr>
          <w:p w14:paraId="384EA4D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w:t>
            </w:r>
          </w:p>
        </w:tc>
        <w:tc>
          <w:tcPr>
            <w:tcW w:w="1701" w:type="dxa"/>
            <w:shd w:val="clear" w:color="auto" w:fill="FFFFFF" w:themeFill="background1"/>
            <w:noWrap/>
            <w:vAlign w:val="center"/>
            <w:hideMark/>
          </w:tcPr>
          <w:p w14:paraId="3C175D7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Ituporanga</w:t>
            </w:r>
          </w:p>
        </w:tc>
        <w:tc>
          <w:tcPr>
            <w:tcW w:w="1701" w:type="dxa"/>
            <w:shd w:val="clear" w:color="auto" w:fill="FFFFFF" w:themeFill="background1"/>
            <w:noWrap/>
            <w:vAlign w:val="center"/>
            <w:hideMark/>
          </w:tcPr>
          <w:p w14:paraId="6768A9D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468</w:t>
            </w:r>
          </w:p>
        </w:tc>
        <w:tc>
          <w:tcPr>
            <w:tcW w:w="1701" w:type="dxa"/>
            <w:shd w:val="clear" w:color="auto" w:fill="FFFFFF" w:themeFill="background1"/>
            <w:noWrap/>
            <w:vAlign w:val="center"/>
            <w:hideMark/>
          </w:tcPr>
          <w:p w14:paraId="3549801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14%</w:t>
            </w:r>
          </w:p>
        </w:tc>
      </w:tr>
      <w:tr w:rsidR="00CE47D0" w:rsidRPr="00CE47D0" w14:paraId="64276851" w14:textId="77777777" w:rsidTr="00D74DA1">
        <w:trPr>
          <w:trHeight w:val="300"/>
          <w:jc w:val="center"/>
        </w:trPr>
        <w:tc>
          <w:tcPr>
            <w:tcW w:w="1701" w:type="dxa"/>
            <w:shd w:val="clear" w:color="auto" w:fill="FFFFFF" w:themeFill="background1"/>
            <w:noWrap/>
            <w:vAlign w:val="bottom"/>
            <w:hideMark/>
          </w:tcPr>
          <w:p w14:paraId="1B8275F1"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w:t>
            </w:r>
          </w:p>
        </w:tc>
        <w:tc>
          <w:tcPr>
            <w:tcW w:w="1701" w:type="dxa"/>
            <w:shd w:val="clear" w:color="auto" w:fill="FFFFFF" w:themeFill="background1"/>
            <w:noWrap/>
            <w:vAlign w:val="center"/>
            <w:hideMark/>
          </w:tcPr>
          <w:p w14:paraId="76F35BE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Iraceminha</w:t>
            </w:r>
          </w:p>
        </w:tc>
        <w:tc>
          <w:tcPr>
            <w:tcW w:w="1701" w:type="dxa"/>
            <w:shd w:val="clear" w:color="auto" w:fill="FFFFFF" w:themeFill="background1"/>
            <w:noWrap/>
            <w:vAlign w:val="center"/>
            <w:hideMark/>
          </w:tcPr>
          <w:p w14:paraId="711A172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485</w:t>
            </w:r>
          </w:p>
        </w:tc>
        <w:tc>
          <w:tcPr>
            <w:tcW w:w="1701" w:type="dxa"/>
            <w:shd w:val="clear" w:color="auto" w:fill="FFFFFF" w:themeFill="background1"/>
            <w:noWrap/>
            <w:vAlign w:val="center"/>
            <w:hideMark/>
          </w:tcPr>
          <w:p w14:paraId="10F6B91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w:t>
            </w:r>
          </w:p>
        </w:tc>
      </w:tr>
      <w:tr w:rsidR="00CE47D0" w:rsidRPr="00CE47D0" w14:paraId="362C835B" w14:textId="77777777" w:rsidTr="00D74DA1">
        <w:trPr>
          <w:trHeight w:val="300"/>
          <w:jc w:val="center"/>
        </w:trPr>
        <w:tc>
          <w:tcPr>
            <w:tcW w:w="1701" w:type="dxa"/>
            <w:shd w:val="clear" w:color="auto" w:fill="FFFFFF" w:themeFill="background1"/>
            <w:noWrap/>
            <w:vAlign w:val="bottom"/>
            <w:hideMark/>
          </w:tcPr>
          <w:p w14:paraId="56D9D7C5"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w:t>
            </w:r>
          </w:p>
        </w:tc>
        <w:tc>
          <w:tcPr>
            <w:tcW w:w="1701" w:type="dxa"/>
            <w:shd w:val="clear" w:color="auto" w:fill="FFFFFF" w:themeFill="background1"/>
            <w:noWrap/>
            <w:vAlign w:val="center"/>
            <w:hideMark/>
          </w:tcPr>
          <w:p w14:paraId="7E37936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Cunha Porã</w:t>
            </w:r>
          </w:p>
        </w:tc>
        <w:tc>
          <w:tcPr>
            <w:tcW w:w="1701" w:type="dxa"/>
            <w:shd w:val="clear" w:color="auto" w:fill="FFFFFF" w:themeFill="background1"/>
            <w:noWrap/>
            <w:vAlign w:val="center"/>
            <w:hideMark/>
          </w:tcPr>
          <w:p w14:paraId="351FCE4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496</w:t>
            </w:r>
          </w:p>
        </w:tc>
        <w:tc>
          <w:tcPr>
            <w:tcW w:w="1701" w:type="dxa"/>
            <w:shd w:val="clear" w:color="auto" w:fill="FFFFFF" w:themeFill="background1"/>
            <w:noWrap/>
            <w:vAlign w:val="center"/>
            <w:hideMark/>
          </w:tcPr>
          <w:p w14:paraId="2038980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49%</w:t>
            </w:r>
          </w:p>
        </w:tc>
      </w:tr>
      <w:tr w:rsidR="00CE47D0" w:rsidRPr="00CE47D0" w14:paraId="0D92504F" w14:textId="77777777" w:rsidTr="00D74DA1">
        <w:trPr>
          <w:trHeight w:val="300"/>
          <w:jc w:val="center"/>
        </w:trPr>
        <w:tc>
          <w:tcPr>
            <w:tcW w:w="1701" w:type="dxa"/>
            <w:shd w:val="clear" w:color="auto" w:fill="FFFFFF" w:themeFill="background1"/>
            <w:noWrap/>
            <w:vAlign w:val="bottom"/>
            <w:hideMark/>
          </w:tcPr>
          <w:p w14:paraId="64B812D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w:t>
            </w:r>
          </w:p>
        </w:tc>
        <w:tc>
          <w:tcPr>
            <w:tcW w:w="1701" w:type="dxa"/>
            <w:shd w:val="clear" w:color="auto" w:fill="FFFFFF" w:themeFill="background1"/>
            <w:noWrap/>
            <w:vAlign w:val="center"/>
            <w:hideMark/>
          </w:tcPr>
          <w:p w14:paraId="04B7F20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Pinhalzinho</w:t>
            </w:r>
          </w:p>
        </w:tc>
        <w:tc>
          <w:tcPr>
            <w:tcW w:w="1701" w:type="dxa"/>
            <w:shd w:val="clear" w:color="auto" w:fill="FFFFFF" w:themeFill="background1"/>
            <w:noWrap/>
            <w:vAlign w:val="center"/>
            <w:hideMark/>
          </w:tcPr>
          <w:p w14:paraId="1FCD2FF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519</w:t>
            </w:r>
          </w:p>
        </w:tc>
        <w:tc>
          <w:tcPr>
            <w:tcW w:w="1701" w:type="dxa"/>
            <w:shd w:val="clear" w:color="auto" w:fill="FFFFFF" w:themeFill="background1"/>
            <w:noWrap/>
            <w:vAlign w:val="center"/>
            <w:hideMark/>
          </w:tcPr>
          <w:p w14:paraId="1DB6EC4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17%</w:t>
            </w:r>
          </w:p>
        </w:tc>
      </w:tr>
      <w:tr w:rsidR="00CE47D0" w:rsidRPr="00CE47D0" w14:paraId="2F332D11" w14:textId="77777777" w:rsidTr="00D74DA1">
        <w:trPr>
          <w:trHeight w:val="300"/>
          <w:jc w:val="center"/>
        </w:trPr>
        <w:tc>
          <w:tcPr>
            <w:tcW w:w="1701" w:type="dxa"/>
            <w:shd w:val="clear" w:color="auto" w:fill="FFFFFF" w:themeFill="background1"/>
            <w:noWrap/>
            <w:vAlign w:val="bottom"/>
            <w:hideMark/>
          </w:tcPr>
          <w:p w14:paraId="411FA03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w:t>
            </w:r>
          </w:p>
        </w:tc>
        <w:tc>
          <w:tcPr>
            <w:tcW w:w="1701" w:type="dxa"/>
            <w:shd w:val="clear" w:color="auto" w:fill="FFFFFF" w:themeFill="background1"/>
            <w:noWrap/>
            <w:vAlign w:val="center"/>
            <w:hideMark/>
          </w:tcPr>
          <w:p w14:paraId="7553578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Cunha Porã</w:t>
            </w:r>
          </w:p>
        </w:tc>
        <w:tc>
          <w:tcPr>
            <w:tcW w:w="1701" w:type="dxa"/>
            <w:shd w:val="clear" w:color="auto" w:fill="FFFFFF" w:themeFill="background1"/>
            <w:noWrap/>
            <w:vAlign w:val="center"/>
            <w:hideMark/>
          </w:tcPr>
          <w:p w14:paraId="1952545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528</w:t>
            </w:r>
          </w:p>
        </w:tc>
        <w:tc>
          <w:tcPr>
            <w:tcW w:w="1701" w:type="dxa"/>
            <w:shd w:val="clear" w:color="auto" w:fill="FFFFFF" w:themeFill="background1"/>
            <w:noWrap/>
            <w:vAlign w:val="center"/>
            <w:hideMark/>
          </w:tcPr>
          <w:p w14:paraId="067AC70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29%</w:t>
            </w:r>
          </w:p>
        </w:tc>
      </w:tr>
      <w:tr w:rsidR="00CE47D0" w:rsidRPr="00CE47D0" w14:paraId="537B8777" w14:textId="77777777" w:rsidTr="00D74DA1">
        <w:trPr>
          <w:trHeight w:val="300"/>
          <w:jc w:val="center"/>
        </w:trPr>
        <w:tc>
          <w:tcPr>
            <w:tcW w:w="1701" w:type="dxa"/>
            <w:shd w:val="clear" w:color="auto" w:fill="FFFFFF" w:themeFill="background1"/>
            <w:noWrap/>
            <w:vAlign w:val="bottom"/>
            <w:hideMark/>
          </w:tcPr>
          <w:p w14:paraId="5954BBD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9</w:t>
            </w:r>
          </w:p>
        </w:tc>
        <w:tc>
          <w:tcPr>
            <w:tcW w:w="1701" w:type="dxa"/>
            <w:shd w:val="clear" w:color="auto" w:fill="FFFFFF" w:themeFill="background1"/>
            <w:noWrap/>
            <w:vAlign w:val="center"/>
            <w:hideMark/>
          </w:tcPr>
          <w:p w14:paraId="22B8138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Chapecó</w:t>
            </w:r>
          </w:p>
        </w:tc>
        <w:tc>
          <w:tcPr>
            <w:tcW w:w="1701" w:type="dxa"/>
            <w:shd w:val="clear" w:color="auto" w:fill="FFFFFF" w:themeFill="background1"/>
            <w:noWrap/>
            <w:vAlign w:val="center"/>
            <w:hideMark/>
          </w:tcPr>
          <w:p w14:paraId="0AD31B9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530</w:t>
            </w:r>
          </w:p>
        </w:tc>
        <w:tc>
          <w:tcPr>
            <w:tcW w:w="1701" w:type="dxa"/>
            <w:shd w:val="clear" w:color="auto" w:fill="FFFFFF" w:themeFill="background1"/>
            <w:noWrap/>
            <w:vAlign w:val="center"/>
            <w:hideMark/>
          </w:tcPr>
          <w:p w14:paraId="5FD6EE2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w:t>
            </w:r>
          </w:p>
        </w:tc>
      </w:tr>
      <w:tr w:rsidR="00CE47D0" w:rsidRPr="00CE47D0" w14:paraId="180C2D68" w14:textId="77777777" w:rsidTr="00D74DA1">
        <w:trPr>
          <w:trHeight w:val="300"/>
          <w:jc w:val="center"/>
        </w:trPr>
        <w:tc>
          <w:tcPr>
            <w:tcW w:w="1701" w:type="dxa"/>
            <w:shd w:val="clear" w:color="auto" w:fill="FFFFFF" w:themeFill="background1"/>
            <w:noWrap/>
            <w:vAlign w:val="bottom"/>
            <w:hideMark/>
          </w:tcPr>
          <w:p w14:paraId="4508C1A3"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10</w:t>
            </w:r>
          </w:p>
        </w:tc>
        <w:tc>
          <w:tcPr>
            <w:tcW w:w="1701" w:type="dxa"/>
            <w:shd w:val="clear" w:color="auto" w:fill="FFFFFF" w:themeFill="background1"/>
            <w:noWrap/>
            <w:vAlign w:val="center"/>
            <w:hideMark/>
          </w:tcPr>
          <w:p w14:paraId="7BF96925"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Atalanta</w:t>
            </w:r>
          </w:p>
        </w:tc>
        <w:tc>
          <w:tcPr>
            <w:tcW w:w="1701" w:type="dxa"/>
            <w:shd w:val="clear" w:color="auto" w:fill="FFFFFF" w:themeFill="background1"/>
            <w:noWrap/>
            <w:vAlign w:val="center"/>
            <w:hideMark/>
          </w:tcPr>
          <w:p w14:paraId="2A43B5F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533</w:t>
            </w:r>
          </w:p>
        </w:tc>
        <w:tc>
          <w:tcPr>
            <w:tcW w:w="1701" w:type="dxa"/>
            <w:shd w:val="clear" w:color="auto" w:fill="FFFFFF" w:themeFill="background1"/>
            <w:noWrap/>
            <w:vAlign w:val="center"/>
            <w:hideMark/>
          </w:tcPr>
          <w:p w14:paraId="02A8929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25%</w:t>
            </w:r>
          </w:p>
        </w:tc>
      </w:tr>
      <w:tr w:rsidR="00CE47D0" w:rsidRPr="00CE47D0" w14:paraId="30873A0A" w14:textId="77777777" w:rsidTr="00D74DA1">
        <w:trPr>
          <w:trHeight w:val="300"/>
          <w:jc w:val="center"/>
        </w:trPr>
        <w:tc>
          <w:tcPr>
            <w:tcW w:w="1701" w:type="dxa"/>
            <w:tcBorders>
              <w:bottom w:val="single" w:sz="4" w:space="0" w:color="auto"/>
            </w:tcBorders>
            <w:shd w:val="clear" w:color="auto" w:fill="FFFFFF" w:themeFill="background1"/>
            <w:noWrap/>
            <w:vAlign w:val="bottom"/>
            <w:hideMark/>
          </w:tcPr>
          <w:p w14:paraId="2636A901"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13</w:t>
            </w:r>
          </w:p>
        </w:tc>
        <w:tc>
          <w:tcPr>
            <w:tcW w:w="1701" w:type="dxa"/>
            <w:tcBorders>
              <w:bottom w:val="single" w:sz="4" w:space="0" w:color="auto"/>
            </w:tcBorders>
            <w:shd w:val="clear" w:color="auto" w:fill="FFFFFF" w:themeFill="background1"/>
            <w:noWrap/>
            <w:vAlign w:val="center"/>
            <w:hideMark/>
          </w:tcPr>
          <w:p w14:paraId="19FE5B0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Ituporanga</w:t>
            </w:r>
          </w:p>
        </w:tc>
        <w:tc>
          <w:tcPr>
            <w:tcW w:w="1701" w:type="dxa"/>
            <w:tcBorders>
              <w:bottom w:val="single" w:sz="4" w:space="0" w:color="auto"/>
            </w:tcBorders>
            <w:shd w:val="clear" w:color="auto" w:fill="FFFFFF" w:themeFill="background1"/>
            <w:noWrap/>
            <w:vAlign w:val="center"/>
            <w:hideMark/>
          </w:tcPr>
          <w:p w14:paraId="4DF65F2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565</w:t>
            </w:r>
          </w:p>
        </w:tc>
        <w:tc>
          <w:tcPr>
            <w:tcW w:w="1701" w:type="dxa"/>
            <w:tcBorders>
              <w:bottom w:val="single" w:sz="4" w:space="0" w:color="auto"/>
            </w:tcBorders>
            <w:shd w:val="clear" w:color="auto" w:fill="FFFFFF" w:themeFill="background1"/>
            <w:noWrap/>
            <w:vAlign w:val="center"/>
            <w:hideMark/>
          </w:tcPr>
          <w:p w14:paraId="7FAD2591"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15%</w:t>
            </w:r>
          </w:p>
        </w:tc>
      </w:tr>
      <w:tr w:rsidR="00CE47D0" w:rsidRPr="00CE47D0" w14:paraId="7626359F" w14:textId="77777777" w:rsidTr="00D74DA1">
        <w:trPr>
          <w:trHeight w:val="300"/>
          <w:jc w:val="center"/>
        </w:trPr>
        <w:tc>
          <w:tcPr>
            <w:tcW w:w="1701" w:type="dxa"/>
            <w:tcBorders>
              <w:top w:val="single" w:sz="4" w:space="0" w:color="auto"/>
              <w:bottom w:val="single" w:sz="4" w:space="0" w:color="auto"/>
            </w:tcBorders>
            <w:shd w:val="clear" w:color="auto" w:fill="FFFFFF" w:themeFill="background1"/>
            <w:noWrap/>
            <w:vAlign w:val="center"/>
            <w:hideMark/>
          </w:tcPr>
          <w:p w14:paraId="4ECA6FF8"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Média</w:t>
            </w:r>
          </w:p>
        </w:tc>
        <w:tc>
          <w:tcPr>
            <w:tcW w:w="1701" w:type="dxa"/>
            <w:tcBorders>
              <w:top w:val="single" w:sz="4" w:space="0" w:color="auto"/>
              <w:bottom w:val="single" w:sz="4" w:space="0" w:color="auto"/>
            </w:tcBorders>
            <w:shd w:val="clear" w:color="auto" w:fill="FFFFFF" w:themeFill="background1"/>
            <w:noWrap/>
            <w:vAlign w:val="center"/>
            <w:hideMark/>
          </w:tcPr>
          <w:p w14:paraId="47364ADF"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p>
        </w:tc>
        <w:tc>
          <w:tcPr>
            <w:tcW w:w="1701" w:type="dxa"/>
            <w:tcBorders>
              <w:top w:val="single" w:sz="4" w:space="0" w:color="auto"/>
              <w:bottom w:val="single" w:sz="4" w:space="0" w:color="auto"/>
            </w:tcBorders>
            <w:shd w:val="clear" w:color="auto" w:fill="FFFFFF" w:themeFill="background1"/>
            <w:noWrap/>
            <w:vAlign w:val="center"/>
            <w:hideMark/>
          </w:tcPr>
          <w:p w14:paraId="08E31552"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401- 600</w:t>
            </w:r>
          </w:p>
        </w:tc>
        <w:tc>
          <w:tcPr>
            <w:tcW w:w="1701" w:type="dxa"/>
            <w:tcBorders>
              <w:top w:val="single" w:sz="4" w:space="0" w:color="auto"/>
              <w:bottom w:val="single" w:sz="4" w:space="0" w:color="auto"/>
            </w:tcBorders>
            <w:shd w:val="clear" w:color="auto" w:fill="FFFFFF" w:themeFill="background1"/>
            <w:noWrap/>
            <w:vAlign w:val="center"/>
            <w:hideMark/>
          </w:tcPr>
          <w:p w14:paraId="0AB5A922"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18%</w:t>
            </w:r>
          </w:p>
        </w:tc>
      </w:tr>
    </w:tbl>
    <w:p w14:paraId="407467D8" w14:textId="2629D237" w:rsidR="00A17028" w:rsidRDefault="00CE47D0" w:rsidP="00777EAF">
      <w:pPr>
        <w:spacing w:after="0" w:line="240" w:lineRule="auto"/>
        <w:ind w:firstLine="0"/>
      </w:pPr>
      <w:r w:rsidRPr="00CE47D0">
        <w:rPr>
          <w:rFonts w:eastAsiaTheme="majorEastAsia"/>
          <w:lang w:eastAsia="pt-BR"/>
        </w:rPr>
        <w:br w:type="page"/>
      </w:r>
      <w:bookmarkStart w:id="276" w:name="_Toc16173048"/>
      <w:r w:rsidR="00A17028">
        <w:t xml:space="preserve">Tabela </w:t>
      </w:r>
      <w:r w:rsidR="00D00510">
        <w:fldChar w:fldCharType="begin"/>
      </w:r>
      <w:r w:rsidR="00D00510">
        <w:instrText xml:space="preserve"> SEQ Tabela \* ARABIC </w:instrText>
      </w:r>
      <w:r w:rsidR="00D00510">
        <w:fldChar w:fldCharType="separate"/>
      </w:r>
      <w:r w:rsidR="002D15F8">
        <w:rPr>
          <w:noProof/>
        </w:rPr>
        <w:t>12</w:t>
      </w:r>
      <w:r w:rsidR="00D00510">
        <w:rPr>
          <w:noProof/>
        </w:rPr>
        <w:fldChar w:fldCharType="end"/>
      </w:r>
      <w:r w:rsidR="00A17028">
        <w:t xml:space="preserve">. </w:t>
      </w:r>
      <w:r w:rsidR="00A17028" w:rsidRPr="000745FA">
        <w:t xml:space="preserve">Frequências da mutação I86F na subunidade C da enzima succinato desidrogenase em populações de </w:t>
      </w:r>
      <w:r w:rsidR="00A17028" w:rsidRPr="004B0A23">
        <w:rPr>
          <w:i/>
        </w:rPr>
        <w:t xml:space="preserve">P. pachyrhizi </w:t>
      </w:r>
      <w:r w:rsidR="00A17028" w:rsidRPr="000745FA">
        <w:t>coletadas em locais com altitude entre 601 e 800 m. Lages, 2018.</w:t>
      </w:r>
      <w:bookmarkEnd w:id="276"/>
    </w:p>
    <w:tbl>
      <w:tblPr>
        <w:tblW w:w="680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01"/>
        <w:gridCol w:w="1701"/>
        <w:gridCol w:w="1701"/>
        <w:gridCol w:w="1701"/>
      </w:tblGrid>
      <w:tr w:rsidR="00CE47D0" w:rsidRPr="00CE47D0" w14:paraId="7BBA6621" w14:textId="77777777" w:rsidTr="00D74DA1">
        <w:trPr>
          <w:trHeight w:val="300"/>
          <w:jc w:val="center"/>
        </w:trPr>
        <w:tc>
          <w:tcPr>
            <w:tcW w:w="1701" w:type="dxa"/>
            <w:tcBorders>
              <w:top w:val="single" w:sz="4" w:space="0" w:color="auto"/>
              <w:bottom w:val="single" w:sz="4" w:space="0" w:color="auto"/>
            </w:tcBorders>
            <w:shd w:val="clear" w:color="auto" w:fill="FFFFFF" w:themeFill="background1"/>
            <w:noWrap/>
            <w:vAlign w:val="center"/>
          </w:tcPr>
          <w:p w14:paraId="7CE79C75" w14:textId="77777777" w:rsidR="00CE47D0" w:rsidRPr="00CE47D0" w:rsidRDefault="00CE47D0" w:rsidP="00CE47D0">
            <w:pPr>
              <w:autoSpaceDE/>
              <w:autoSpaceDN/>
              <w:adjustRightInd/>
              <w:spacing w:after="0" w:line="240" w:lineRule="auto"/>
              <w:ind w:firstLine="0"/>
              <w:jc w:val="center"/>
              <w:rPr>
                <w:rFonts w:eastAsia="Times New Roman"/>
                <w:b/>
                <w:bCs/>
                <w:color w:val="000000"/>
                <w:lang w:eastAsia="pt-BR"/>
              </w:rPr>
            </w:pPr>
            <w:r w:rsidRPr="00CE47D0">
              <w:rPr>
                <w:rFonts w:eastAsia="Times New Roman"/>
                <w:b/>
                <w:bCs/>
                <w:color w:val="000000"/>
                <w:lang w:eastAsia="pt-BR"/>
              </w:rPr>
              <w:t>Amostra</w:t>
            </w:r>
          </w:p>
        </w:tc>
        <w:tc>
          <w:tcPr>
            <w:tcW w:w="1701" w:type="dxa"/>
            <w:tcBorders>
              <w:top w:val="single" w:sz="4" w:space="0" w:color="auto"/>
              <w:bottom w:val="single" w:sz="4" w:space="0" w:color="auto"/>
            </w:tcBorders>
            <w:shd w:val="clear" w:color="auto" w:fill="FFFFFF" w:themeFill="background1"/>
            <w:noWrap/>
            <w:vAlign w:val="center"/>
          </w:tcPr>
          <w:p w14:paraId="5C6A2352" w14:textId="77777777" w:rsidR="00CE47D0" w:rsidRPr="00CE47D0" w:rsidRDefault="00CE47D0" w:rsidP="00CE47D0">
            <w:pPr>
              <w:autoSpaceDE/>
              <w:autoSpaceDN/>
              <w:adjustRightInd/>
              <w:spacing w:after="0" w:line="240" w:lineRule="auto"/>
              <w:ind w:firstLine="0"/>
              <w:jc w:val="center"/>
              <w:rPr>
                <w:rFonts w:eastAsia="Times New Roman"/>
                <w:b/>
                <w:bCs/>
                <w:color w:val="000000"/>
                <w:lang w:eastAsia="pt-BR"/>
              </w:rPr>
            </w:pPr>
            <w:r w:rsidRPr="00CE47D0">
              <w:rPr>
                <w:rFonts w:eastAsia="Times New Roman"/>
                <w:b/>
                <w:bCs/>
                <w:color w:val="000000"/>
                <w:lang w:eastAsia="pt-BR"/>
              </w:rPr>
              <w:t>Município</w:t>
            </w:r>
          </w:p>
        </w:tc>
        <w:tc>
          <w:tcPr>
            <w:tcW w:w="1701" w:type="dxa"/>
            <w:tcBorders>
              <w:top w:val="single" w:sz="4" w:space="0" w:color="auto"/>
              <w:bottom w:val="single" w:sz="4" w:space="0" w:color="auto"/>
            </w:tcBorders>
            <w:shd w:val="clear" w:color="auto" w:fill="FFFFFF" w:themeFill="background1"/>
            <w:noWrap/>
            <w:vAlign w:val="center"/>
          </w:tcPr>
          <w:p w14:paraId="6ED9F380" w14:textId="77777777" w:rsidR="00CE47D0" w:rsidRPr="00CE47D0" w:rsidRDefault="00CE47D0" w:rsidP="00CE47D0">
            <w:pPr>
              <w:autoSpaceDE/>
              <w:autoSpaceDN/>
              <w:adjustRightInd/>
              <w:spacing w:after="0" w:line="240" w:lineRule="auto"/>
              <w:ind w:firstLine="0"/>
              <w:jc w:val="center"/>
              <w:rPr>
                <w:rFonts w:eastAsia="Times New Roman"/>
                <w:b/>
                <w:bCs/>
                <w:color w:val="000000"/>
                <w:lang w:eastAsia="pt-BR"/>
              </w:rPr>
            </w:pPr>
            <w:r w:rsidRPr="00CE47D0">
              <w:rPr>
                <w:rFonts w:eastAsia="Times New Roman"/>
                <w:b/>
                <w:bCs/>
                <w:color w:val="000000"/>
                <w:lang w:eastAsia="pt-BR"/>
              </w:rPr>
              <w:t xml:space="preserve">Altitude </w:t>
            </w:r>
            <w:r w:rsidRPr="00CE47D0">
              <w:rPr>
                <w:rFonts w:eastAsia="Times New Roman"/>
                <w:b/>
                <w:bCs/>
                <w:color w:val="000000"/>
                <w:szCs w:val="20"/>
                <w:lang w:eastAsia="pt-BR"/>
              </w:rPr>
              <w:t>(m)</w:t>
            </w:r>
          </w:p>
        </w:tc>
        <w:tc>
          <w:tcPr>
            <w:tcW w:w="1701" w:type="dxa"/>
            <w:tcBorders>
              <w:top w:val="single" w:sz="4" w:space="0" w:color="auto"/>
              <w:bottom w:val="single" w:sz="4" w:space="0" w:color="auto"/>
            </w:tcBorders>
            <w:shd w:val="clear" w:color="auto" w:fill="FFFFFF" w:themeFill="background1"/>
            <w:noWrap/>
            <w:vAlign w:val="center"/>
          </w:tcPr>
          <w:p w14:paraId="3A5F793A" w14:textId="77777777" w:rsidR="00CE47D0" w:rsidRPr="00CE47D0" w:rsidRDefault="00CE47D0" w:rsidP="00CE47D0">
            <w:pPr>
              <w:autoSpaceDE/>
              <w:autoSpaceDN/>
              <w:adjustRightInd/>
              <w:spacing w:after="0" w:line="240" w:lineRule="auto"/>
              <w:ind w:firstLine="0"/>
              <w:jc w:val="center"/>
              <w:rPr>
                <w:rFonts w:eastAsia="Times New Roman"/>
                <w:b/>
                <w:bCs/>
                <w:color w:val="000000"/>
                <w:lang w:eastAsia="pt-BR"/>
              </w:rPr>
            </w:pPr>
            <w:r w:rsidRPr="00CE47D0">
              <w:rPr>
                <w:rFonts w:eastAsia="Times New Roman"/>
                <w:b/>
                <w:bCs/>
                <w:color w:val="000000"/>
                <w:lang w:eastAsia="pt-BR"/>
              </w:rPr>
              <w:t>I86F (%)</w:t>
            </w:r>
          </w:p>
        </w:tc>
      </w:tr>
      <w:tr w:rsidR="00CE47D0" w:rsidRPr="00CE47D0" w14:paraId="3585F40B" w14:textId="77777777" w:rsidTr="00D74DA1">
        <w:trPr>
          <w:trHeight w:val="300"/>
          <w:jc w:val="center"/>
        </w:trPr>
        <w:tc>
          <w:tcPr>
            <w:tcW w:w="1701" w:type="dxa"/>
            <w:tcBorders>
              <w:top w:val="single" w:sz="4" w:space="0" w:color="auto"/>
            </w:tcBorders>
            <w:shd w:val="clear" w:color="auto" w:fill="FFFFFF" w:themeFill="background1"/>
            <w:noWrap/>
            <w:vAlign w:val="bottom"/>
            <w:hideMark/>
          </w:tcPr>
          <w:p w14:paraId="38ED0BC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16</w:t>
            </w:r>
          </w:p>
        </w:tc>
        <w:tc>
          <w:tcPr>
            <w:tcW w:w="1701" w:type="dxa"/>
            <w:tcBorders>
              <w:top w:val="single" w:sz="4" w:space="0" w:color="auto"/>
            </w:tcBorders>
            <w:shd w:val="clear" w:color="auto" w:fill="FFFFFF" w:themeFill="background1"/>
            <w:noWrap/>
            <w:vAlign w:val="center"/>
            <w:hideMark/>
          </w:tcPr>
          <w:p w14:paraId="78EAB593"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São Bernardino</w:t>
            </w:r>
          </w:p>
        </w:tc>
        <w:tc>
          <w:tcPr>
            <w:tcW w:w="1701" w:type="dxa"/>
            <w:tcBorders>
              <w:top w:val="single" w:sz="4" w:space="0" w:color="auto"/>
            </w:tcBorders>
            <w:shd w:val="clear" w:color="auto" w:fill="FFFFFF" w:themeFill="background1"/>
            <w:noWrap/>
            <w:vAlign w:val="center"/>
            <w:hideMark/>
          </w:tcPr>
          <w:p w14:paraId="5F44BD2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622</w:t>
            </w:r>
          </w:p>
        </w:tc>
        <w:tc>
          <w:tcPr>
            <w:tcW w:w="1701" w:type="dxa"/>
            <w:tcBorders>
              <w:top w:val="single" w:sz="4" w:space="0" w:color="auto"/>
            </w:tcBorders>
            <w:shd w:val="clear" w:color="auto" w:fill="FFFFFF" w:themeFill="background1"/>
            <w:noWrap/>
            <w:vAlign w:val="center"/>
            <w:hideMark/>
          </w:tcPr>
          <w:p w14:paraId="6B18E7E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32%</w:t>
            </w:r>
          </w:p>
        </w:tc>
      </w:tr>
      <w:tr w:rsidR="00CE47D0" w:rsidRPr="00CE47D0" w14:paraId="089620DE" w14:textId="77777777" w:rsidTr="00D74DA1">
        <w:trPr>
          <w:trHeight w:val="300"/>
          <w:jc w:val="center"/>
        </w:trPr>
        <w:tc>
          <w:tcPr>
            <w:tcW w:w="1701" w:type="dxa"/>
            <w:shd w:val="clear" w:color="auto" w:fill="FFFFFF" w:themeFill="background1"/>
            <w:noWrap/>
            <w:vAlign w:val="bottom"/>
            <w:hideMark/>
          </w:tcPr>
          <w:p w14:paraId="6EF02388"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17</w:t>
            </w:r>
          </w:p>
        </w:tc>
        <w:tc>
          <w:tcPr>
            <w:tcW w:w="1701" w:type="dxa"/>
            <w:shd w:val="clear" w:color="auto" w:fill="FFFFFF" w:themeFill="background1"/>
            <w:noWrap/>
            <w:vAlign w:val="center"/>
            <w:hideMark/>
          </w:tcPr>
          <w:p w14:paraId="0D901AE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Ipuaçu</w:t>
            </w:r>
          </w:p>
        </w:tc>
        <w:tc>
          <w:tcPr>
            <w:tcW w:w="1701" w:type="dxa"/>
            <w:shd w:val="clear" w:color="auto" w:fill="FFFFFF" w:themeFill="background1"/>
            <w:noWrap/>
            <w:vAlign w:val="center"/>
            <w:hideMark/>
          </w:tcPr>
          <w:p w14:paraId="6C66067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622</w:t>
            </w:r>
          </w:p>
        </w:tc>
        <w:tc>
          <w:tcPr>
            <w:tcW w:w="1701" w:type="dxa"/>
            <w:shd w:val="clear" w:color="auto" w:fill="FFFFFF" w:themeFill="background1"/>
            <w:noWrap/>
            <w:vAlign w:val="center"/>
            <w:hideMark/>
          </w:tcPr>
          <w:p w14:paraId="21139DB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12%</w:t>
            </w:r>
          </w:p>
        </w:tc>
      </w:tr>
      <w:tr w:rsidR="00CE47D0" w:rsidRPr="00CE47D0" w14:paraId="1A480A3A" w14:textId="77777777" w:rsidTr="00D74DA1">
        <w:trPr>
          <w:trHeight w:val="300"/>
          <w:jc w:val="center"/>
        </w:trPr>
        <w:tc>
          <w:tcPr>
            <w:tcW w:w="1701" w:type="dxa"/>
            <w:shd w:val="clear" w:color="auto" w:fill="FFFFFF" w:themeFill="background1"/>
            <w:noWrap/>
            <w:vAlign w:val="bottom"/>
            <w:hideMark/>
          </w:tcPr>
          <w:p w14:paraId="02779EA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18</w:t>
            </w:r>
          </w:p>
        </w:tc>
        <w:tc>
          <w:tcPr>
            <w:tcW w:w="1701" w:type="dxa"/>
            <w:shd w:val="clear" w:color="auto" w:fill="FFFFFF" w:themeFill="background1"/>
            <w:noWrap/>
            <w:vAlign w:val="center"/>
            <w:hideMark/>
          </w:tcPr>
          <w:p w14:paraId="420DEA0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Ipuaçu</w:t>
            </w:r>
          </w:p>
        </w:tc>
        <w:tc>
          <w:tcPr>
            <w:tcW w:w="1701" w:type="dxa"/>
            <w:shd w:val="clear" w:color="auto" w:fill="FFFFFF" w:themeFill="background1"/>
            <w:noWrap/>
            <w:vAlign w:val="center"/>
            <w:hideMark/>
          </w:tcPr>
          <w:p w14:paraId="2AD89A7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632</w:t>
            </w:r>
          </w:p>
        </w:tc>
        <w:tc>
          <w:tcPr>
            <w:tcW w:w="1701" w:type="dxa"/>
            <w:shd w:val="clear" w:color="auto" w:fill="FFFFFF" w:themeFill="background1"/>
            <w:noWrap/>
            <w:vAlign w:val="center"/>
            <w:hideMark/>
          </w:tcPr>
          <w:p w14:paraId="52AB8CD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w:t>
            </w:r>
          </w:p>
        </w:tc>
      </w:tr>
      <w:tr w:rsidR="00CE47D0" w:rsidRPr="00CE47D0" w14:paraId="6FCB8914" w14:textId="77777777" w:rsidTr="00D74DA1">
        <w:trPr>
          <w:trHeight w:val="300"/>
          <w:jc w:val="center"/>
        </w:trPr>
        <w:tc>
          <w:tcPr>
            <w:tcW w:w="1701" w:type="dxa"/>
            <w:shd w:val="clear" w:color="auto" w:fill="FFFFFF" w:themeFill="background1"/>
            <w:noWrap/>
            <w:vAlign w:val="bottom"/>
            <w:hideMark/>
          </w:tcPr>
          <w:p w14:paraId="58BD03E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20</w:t>
            </w:r>
          </w:p>
        </w:tc>
        <w:tc>
          <w:tcPr>
            <w:tcW w:w="1701" w:type="dxa"/>
            <w:shd w:val="clear" w:color="auto" w:fill="FFFFFF" w:themeFill="background1"/>
            <w:noWrap/>
            <w:vAlign w:val="center"/>
            <w:hideMark/>
          </w:tcPr>
          <w:p w14:paraId="664C5F0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Bom Jesus</w:t>
            </w:r>
          </w:p>
        </w:tc>
        <w:tc>
          <w:tcPr>
            <w:tcW w:w="1701" w:type="dxa"/>
            <w:shd w:val="clear" w:color="auto" w:fill="FFFFFF" w:themeFill="background1"/>
            <w:noWrap/>
            <w:vAlign w:val="center"/>
            <w:hideMark/>
          </w:tcPr>
          <w:p w14:paraId="1AE792A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668</w:t>
            </w:r>
          </w:p>
        </w:tc>
        <w:tc>
          <w:tcPr>
            <w:tcW w:w="1701" w:type="dxa"/>
            <w:shd w:val="clear" w:color="auto" w:fill="FFFFFF" w:themeFill="background1"/>
            <w:noWrap/>
            <w:vAlign w:val="center"/>
            <w:hideMark/>
          </w:tcPr>
          <w:p w14:paraId="40F0C53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29%</w:t>
            </w:r>
          </w:p>
        </w:tc>
      </w:tr>
      <w:tr w:rsidR="00CE47D0" w:rsidRPr="00CE47D0" w14:paraId="25D76C7E" w14:textId="77777777" w:rsidTr="00D74DA1">
        <w:trPr>
          <w:trHeight w:val="300"/>
          <w:jc w:val="center"/>
        </w:trPr>
        <w:tc>
          <w:tcPr>
            <w:tcW w:w="1701" w:type="dxa"/>
            <w:shd w:val="clear" w:color="auto" w:fill="FFFFFF" w:themeFill="background1"/>
            <w:noWrap/>
            <w:vAlign w:val="bottom"/>
            <w:hideMark/>
          </w:tcPr>
          <w:p w14:paraId="6E56AEE3"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21</w:t>
            </w:r>
          </w:p>
        </w:tc>
        <w:tc>
          <w:tcPr>
            <w:tcW w:w="1701" w:type="dxa"/>
            <w:shd w:val="clear" w:color="auto" w:fill="FFFFFF" w:themeFill="background1"/>
            <w:noWrap/>
            <w:vAlign w:val="center"/>
            <w:hideMark/>
          </w:tcPr>
          <w:p w14:paraId="0E80269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Guaraciaba</w:t>
            </w:r>
          </w:p>
        </w:tc>
        <w:tc>
          <w:tcPr>
            <w:tcW w:w="1701" w:type="dxa"/>
            <w:shd w:val="clear" w:color="auto" w:fill="FFFFFF" w:themeFill="background1"/>
            <w:noWrap/>
            <w:vAlign w:val="center"/>
            <w:hideMark/>
          </w:tcPr>
          <w:p w14:paraId="6555268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675</w:t>
            </w:r>
          </w:p>
        </w:tc>
        <w:tc>
          <w:tcPr>
            <w:tcW w:w="1701" w:type="dxa"/>
            <w:shd w:val="clear" w:color="auto" w:fill="FFFFFF" w:themeFill="background1"/>
            <w:noWrap/>
            <w:vAlign w:val="center"/>
            <w:hideMark/>
          </w:tcPr>
          <w:p w14:paraId="0EB3E15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w:t>
            </w:r>
          </w:p>
        </w:tc>
      </w:tr>
      <w:tr w:rsidR="00CE47D0" w:rsidRPr="00CE47D0" w14:paraId="2277CCE4" w14:textId="77777777" w:rsidTr="00D74DA1">
        <w:trPr>
          <w:trHeight w:val="300"/>
          <w:jc w:val="center"/>
        </w:trPr>
        <w:tc>
          <w:tcPr>
            <w:tcW w:w="1701" w:type="dxa"/>
            <w:shd w:val="clear" w:color="auto" w:fill="FFFFFF" w:themeFill="background1"/>
            <w:noWrap/>
            <w:vAlign w:val="bottom"/>
            <w:hideMark/>
          </w:tcPr>
          <w:p w14:paraId="5469DA9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24</w:t>
            </w:r>
          </w:p>
        </w:tc>
        <w:tc>
          <w:tcPr>
            <w:tcW w:w="1701" w:type="dxa"/>
            <w:shd w:val="clear" w:color="auto" w:fill="FFFFFF" w:themeFill="background1"/>
            <w:noWrap/>
            <w:vAlign w:val="center"/>
            <w:hideMark/>
          </w:tcPr>
          <w:p w14:paraId="7BF4A5C1"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Galvão</w:t>
            </w:r>
          </w:p>
        </w:tc>
        <w:tc>
          <w:tcPr>
            <w:tcW w:w="1701" w:type="dxa"/>
            <w:shd w:val="clear" w:color="auto" w:fill="FFFFFF" w:themeFill="background1"/>
            <w:noWrap/>
            <w:vAlign w:val="center"/>
            <w:hideMark/>
          </w:tcPr>
          <w:p w14:paraId="7387CC7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684</w:t>
            </w:r>
          </w:p>
        </w:tc>
        <w:tc>
          <w:tcPr>
            <w:tcW w:w="1701" w:type="dxa"/>
            <w:shd w:val="clear" w:color="auto" w:fill="FFFFFF" w:themeFill="background1"/>
            <w:noWrap/>
            <w:vAlign w:val="center"/>
            <w:hideMark/>
          </w:tcPr>
          <w:p w14:paraId="3BBB7B5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0%</w:t>
            </w:r>
          </w:p>
        </w:tc>
      </w:tr>
      <w:tr w:rsidR="00CE47D0" w:rsidRPr="00CE47D0" w14:paraId="28AA1B92" w14:textId="77777777" w:rsidTr="00D74DA1">
        <w:trPr>
          <w:trHeight w:val="300"/>
          <w:jc w:val="center"/>
        </w:trPr>
        <w:tc>
          <w:tcPr>
            <w:tcW w:w="1701" w:type="dxa"/>
            <w:shd w:val="clear" w:color="auto" w:fill="FFFFFF" w:themeFill="background1"/>
            <w:noWrap/>
            <w:vAlign w:val="bottom"/>
            <w:hideMark/>
          </w:tcPr>
          <w:p w14:paraId="68FC0C3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25</w:t>
            </w:r>
          </w:p>
        </w:tc>
        <w:tc>
          <w:tcPr>
            <w:tcW w:w="1701" w:type="dxa"/>
            <w:shd w:val="clear" w:color="auto" w:fill="FFFFFF" w:themeFill="background1"/>
            <w:noWrap/>
            <w:vAlign w:val="center"/>
            <w:hideMark/>
          </w:tcPr>
          <w:p w14:paraId="286D551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Galvão</w:t>
            </w:r>
          </w:p>
        </w:tc>
        <w:tc>
          <w:tcPr>
            <w:tcW w:w="1701" w:type="dxa"/>
            <w:shd w:val="clear" w:color="auto" w:fill="FFFFFF" w:themeFill="background1"/>
            <w:noWrap/>
            <w:vAlign w:val="center"/>
            <w:hideMark/>
          </w:tcPr>
          <w:p w14:paraId="056685F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684</w:t>
            </w:r>
          </w:p>
        </w:tc>
        <w:tc>
          <w:tcPr>
            <w:tcW w:w="1701" w:type="dxa"/>
            <w:shd w:val="clear" w:color="auto" w:fill="FFFFFF" w:themeFill="background1"/>
            <w:noWrap/>
            <w:vAlign w:val="center"/>
            <w:hideMark/>
          </w:tcPr>
          <w:p w14:paraId="492EEF9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w:t>
            </w:r>
          </w:p>
        </w:tc>
      </w:tr>
      <w:tr w:rsidR="00CE47D0" w:rsidRPr="00CE47D0" w14:paraId="61D3C288" w14:textId="77777777" w:rsidTr="00D74DA1">
        <w:trPr>
          <w:trHeight w:val="300"/>
          <w:jc w:val="center"/>
        </w:trPr>
        <w:tc>
          <w:tcPr>
            <w:tcW w:w="1701" w:type="dxa"/>
            <w:shd w:val="clear" w:color="auto" w:fill="FFFFFF" w:themeFill="background1"/>
            <w:noWrap/>
            <w:vAlign w:val="bottom"/>
            <w:hideMark/>
          </w:tcPr>
          <w:p w14:paraId="20F06DD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28</w:t>
            </w:r>
          </w:p>
        </w:tc>
        <w:tc>
          <w:tcPr>
            <w:tcW w:w="1701" w:type="dxa"/>
            <w:shd w:val="clear" w:color="auto" w:fill="FFFFFF" w:themeFill="background1"/>
            <w:noWrap/>
            <w:vAlign w:val="center"/>
            <w:hideMark/>
          </w:tcPr>
          <w:p w14:paraId="42B33EC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Bom jesus</w:t>
            </w:r>
          </w:p>
        </w:tc>
        <w:tc>
          <w:tcPr>
            <w:tcW w:w="1701" w:type="dxa"/>
            <w:shd w:val="clear" w:color="auto" w:fill="FFFFFF" w:themeFill="background1"/>
            <w:noWrap/>
            <w:vAlign w:val="center"/>
            <w:hideMark/>
          </w:tcPr>
          <w:p w14:paraId="717C386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698</w:t>
            </w:r>
          </w:p>
        </w:tc>
        <w:tc>
          <w:tcPr>
            <w:tcW w:w="1701" w:type="dxa"/>
            <w:shd w:val="clear" w:color="auto" w:fill="FFFFFF" w:themeFill="background1"/>
            <w:noWrap/>
            <w:vAlign w:val="center"/>
            <w:hideMark/>
          </w:tcPr>
          <w:p w14:paraId="458D892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10%</w:t>
            </w:r>
          </w:p>
        </w:tc>
      </w:tr>
      <w:tr w:rsidR="00CE47D0" w:rsidRPr="00CE47D0" w14:paraId="318A0B8D" w14:textId="77777777" w:rsidTr="00D74DA1">
        <w:trPr>
          <w:trHeight w:val="300"/>
          <w:jc w:val="center"/>
        </w:trPr>
        <w:tc>
          <w:tcPr>
            <w:tcW w:w="1701" w:type="dxa"/>
            <w:shd w:val="clear" w:color="auto" w:fill="FFFFFF" w:themeFill="background1"/>
            <w:noWrap/>
            <w:vAlign w:val="bottom"/>
            <w:hideMark/>
          </w:tcPr>
          <w:p w14:paraId="13DAD70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29</w:t>
            </w:r>
          </w:p>
        </w:tc>
        <w:tc>
          <w:tcPr>
            <w:tcW w:w="1701" w:type="dxa"/>
            <w:shd w:val="clear" w:color="auto" w:fill="FFFFFF" w:themeFill="background1"/>
            <w:noWrap/>
            <w:vAlign w:val="center"/>
            <w:hideMark/>
          </w:tcPr>
          <w:p w14:paraId="4D78693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São José do Cedro</w:t>
            </w:r>
          </w:p>
        </w:tc>
        <w:tc>
          <w:tcPr>
            <w:tcW w:w="1701" w:type="dxa"/>
            <w:shd w:val="clear" w:color="auto" w:fill="FFFFFF" w:themeFill="background1"/>
            <w:noWrap/>
            <w:vAlign w:val="center"/>
            <w:hideMark/>
          </w:tcPr>
          <w:p w14:paraId="1F69EB08"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700</w:t>
            </w:r>
          </w:p>
        </w:tc>
        <w:tc>
          <w:tcPr>
            <w:tcW w:w="1701" w:type="dxa"/>
            <w:shd w:val="clear" w:color="auto" w:fill="FFFFFF" w:themeFill="background1"/>
            <w:noWrap/>
            <w:vAlign w:val="center"/>
            <w:hideMark/>
          </w:tcPr>
          <w:p w14:paraId="3D6A494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w:t>
            </w:r>
          </w:p>
        </w:tc>
      </w:tr>
      <w:tr w:rsidR="00CE47D0" w:rsidRPr="00CE47D0" w14:paraId="27B48DED" w14:textId="77777777" w:rsidTr="00D74DA1">
        <w:trPr>
          <w:trHeight w:val="300"/>
          <w:jc w:val="center"/>
        </w:trPr>
        <w:tc>
          <w:tcPr>
            <w:tcW w:w="1701" w:type="dxa"/>
            <w:shd w:val="clear" w:color="auto" w:fill="FFFFFF" w:themeFill="background1"/>
            <w:noWrap/>
            <w:vAlign w:val="bottom"/>
            <w:hideMark/>
          </w:tcPr>
          <w:p w14:paraId="17E9E323"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30</w:t>
            </w:r>
          </w:p>
        </w:tc>
        <w:tc>
          <w:tcPr>
            <w:tcW w:w="1701" w:type="dxa"/>
            <w:shd w:val="clear" w:color="auto" w:fill="FFFFFF" w:themeFill="background1"/>
            <w:noWrap/>
            <w:vAlign w:val="center"/>
            <w:hideMark/>
          </w:tcPr>
          <w:p w14:paraId="02BB711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São José do Cedro</w:t>
            </w:r>
          </w:p>
        </w:tc>
        <w:tc>
          <w:tcPr>
            <w:tcW w:w="1701" w:type="dxa"/>
            <w:shd w:val="clear" w:color="auto" w:fill="FFFFFF" w:themeFill="background1"/>
            <w:noWrap/>
            <w:vAlign w:val="center"/>
            <w:hideMark/>
          </w:tcPr>
          <w:p w14:paraId="6BED20E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701</w:t>
            </w:r>
          </w:p>
        </w:tc>
        <w:tc>
          <w:tcPr>
            <w:tcW w:w="1701" w:type="dxa"/>
            <w:shd w:val="clear" w:color="auto" w:fill="FFFFFF" w:themeFill="background1"/>
            <w:noWrap/>
            <w:vAlign w:val="center"/>
            <w:hideMark/>
          </w:tcPr>
          <w:p w14:paraId="0313BFD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w:t>
            </w:r>
          </w:p>
        </w:tc>
      </w:tr>
      <w:tr w:rsidR="00CE47D0" w:rsidRPr="00CE47D0" w14:paraId="55593272" w14:textId="77777777" w:rsidTr="00D74DA1">
        <w:trPr>
          <w:trHeight w:val="300"/>
          <w:jc w:val="center"/>
        </w:trPr>
        <w:tc>
          <w:tcPr>
            <w:tcW w:w="1701" w:type="dxa"/>
            <w:shd w:val="clear" w:color="auto" w:fill="FFFFFF" w:themeFill="background1"/>
            <w:noWrap/>
            <w:vAlign w:val="bottom"/>
            <w:hideMark/>
          </w:tcPr>
          <w:p w14:paraId="54B5949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31</w:t>
            </w:r>
          </w:p>
        </w:tc>
        <w:tc>
          <w:tcPr>
            <w:tcW w:w="1701" w:type="dxa"/>
            <w:shd w:val="clear" w:color="auto" w:fill="FFFFFF" w:themeFill="background1"/>
            <w:noWrap/>
            <w:vAlign w:val="center"/>
            <w:hideMark/>
          </w:tcPr>
          <w:p w14:paraId="551341D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São José do Cedro</w:t>
            </w:r>
          </w:p>
        </w:tc>
        <w:tc>
          <w:tcPr>
            <w:tcW w:w="1701" w:type="dxa"/>
            <w:shd w:val="clear" w:color="auto" w:fill="FFFFFF" w:themeFill="background1"/>
            <w:noWrap/>
            <w:vAlign w:val="center"/>
            <w:hideMark/>
          </w:tcPr>
          <w:p w14:paraId="5ED2E4F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714</w:t>
            </w:r>
          </w:p>
        </w:tc>
        <w:tc>
          <w:tcPr>
            <w:tcW w:w="1701" w:type="dxa"/>
            <w:shd w:val="clear" w:color="auto" w:fill="FFFFFF" w:themeFill="background1"/>
            <w:noWrap/>
            <w:vAlign w:val="center"/>
            <w:hideMark/>
          </w:tcPr>
          <w:p w14:paraId="5BA7F46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w:t>
            </w:r>
          </w:p>
        </w:tc>
      </w:tr>
      <w:tr w:rsidR="00CE47D0" w:rsidRPr="00CE47D0" w14:paraId="5C81590F" w14:textId="77777777" w:rsidTr="00D74DA1">
        <w:trPr>
          <w:trHeight w:val="300"/>
          <w:jc w:val="center"/>
        </w:trPr>
        <w:tc>
          <w:tcPr>
            <w:tcW w:w="1701" w:type="dxa"/>
            <w:shd w:val="clear" w:color="auto" w:fill="FFFFFF" w:themeFill="background1"/>
            <w:noWrap/>
            <w:vAlign w:val="bottom"/>
            <w:hideMark/>
          </w:tcPr>
          <w:p w14:paraId="59F11D5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32</w:t>
            </w:r>
          </w:p>
        </w:tc>
        <w:tc>
          <w:tcPr>
            <w:tcW w:w="1701" w:type="dxa"/>
            <w:shd w:val="clear" w:color="auto" w:fill="FFFFFF" w:themeFill="background1"/>
            <w:noWrap/>
            <w:vAlign w:val="center"/>
            <w:hideMark/>
          </w:tcPr>
          <w:p w14:paraId="1200BD2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Capinzal</w:t>
            </w:r>
          </w:p>
        </w:tc>
        <w:tc>
          <w:tcPr>
            <w:tcW w:w="1701" w:type="dxa"/>
            <w:shd w:val="clear" w:color="auto" w:fill="FFFFFF" w:themeFill="background1"/>
            <w:noWrap/>
            <w:vAlign w:val="center"/>
            <w:hideMark/>
          </w:tcPr>
          <w:p w14:paraId="41661DE5"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722</w:t>
            </w:r>
          </w:p>
        </w:tc>
        <w:tc>
          <w:tcPr>
            <w:tcW w:w="1701" w:type="dxa"/>
            <w:shd w:val="clear" w:color="auto" w:fill="FFFFFF" w:themeFill="background1"/>
            <w:noWrap/>
            <w:vAlign w:val="center"/>
            <w:hideMark/>
          </w:tcPr>
          <w:p w14:paraId="0595BD0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18%</w:t>
            </w:r>
          </w:p>
        </w:tc>
      </w:tr>
      <w:tr w:rsidR="00CE47D0" w:rsidRPr="00CE47D0" w14:paraId="739A2F8F" w14:textId="77777777" w:rsidTr="00D74DA1">
        <w:trPr>
          <w:trHeight w:val="300"/>
          <w:jc w:val="center"/>
        </w:trPr>
        <w:tc>
          <w:tcPr>
            <w:tcW w:w="1701" w:type="dxa"/>
            <w:shd w:val="clear" w:color="auto" w:fill="FFFFFF" w:themeFill="background1"/>
            <w:noWrap/>
            <w:vAlign w:val="bottom"/>
            <w:hideMark/>
          </w:tcPr>
          <w:p w14:paraId="69427208"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34</w:t>
            </w:r>
          </w:p>
        </w:tc>
        <w:tc>
          <w:tcPr>
            <w:tcW w:w="1701" w:type="dxa"/>
            <w:shd w:val="clear" w:color="auto" w:fill="FFFFFF" w:themeFill="background1"/>
            <w:noWrap/>
            <w:vAlign w:val="center"/>
            <w:hideMark/>
          </w:tcPr>
          <w:p w14:paraId="351D981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Jupiá</w:t>
            </w:r>
          </w:p>
        </w:tc>
        <w:tc>
          <w:tcPr>
            <w:tcW w:w="1701" w:type="dxa"/>
            <w:shd w:val="clear" w:color="auto" w:fill="FFFFFF" w:themeFill="background1"/>
            <w:noWrap/>
            <w:vAlign w:val="center"/>
            <w:hideMark/>
          </w:tcPr>
          <w:p w14:paraId="4B60758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774</w:t>
            </w:r>
          </w:p>
        </w:tc>
        <w:tc>
          <w:tcPr>
            <w:tcW w:w="1701" w:type="dxa"/>
            <w:shd w:val="clear" w:color="auto" w:fill="FFFFFF" w:themeFill="background1"/>
            <w:noWrap/>
            <w:vAlign w:val="center"/>
            <w:hideMark/>
          </w:tcPr>
          <w:p w14:paraId="4E88DD2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18%</w:t>
            </w:r>
          </w:p>
        </w:tc>
      </w:tr>
      <w:tr w:rsidR="00CE47D0" w:rsidRPr="00CE47D0" w14:paraId="62EC7878" w14:textId="77777777" w:rsidTr="00D74DA1">
        <w:trPr>
          <w:trHeight w:val="300"/>
          <w:jc w:val="center"/>
        </w:trPr>
        <w:tc>
          <w:tcPr>
            <w:tcW w:w="1701" w:type="dxa"/>
            <w:tcBorders>
              <w:bottom w:val="single" w:sz="4" w:space="0" w:color="auto"/>
            </w:tcBorders>
            <w:shd w:val="clear" w:color="auto" w:fill="FFFFFF" w:themeFill="background1"/>
            <w:noWrap/>
            <w:vAlign w:val="bottom"/>
            <w:hideMark/>
          </w:tcPr>
          <w:p w14:paraId="7D1F78D5"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36</w:t>
            </w:r>
          </w:p>
        </w:tc>
        <w:tc>
          <w:tcPr>
            <w:tcW w:w="1701" w:type="dxa"/>
            <w:tcBorders>
              <w:bottom w:val="single" w:sz="4" w:space="0" w:color="auto"/>
            </w:tcBorders>
            <w:shd w:val="clear" w:color="auto" w:fill="FFFFFF" w:themeFill="background1"/>
            <w:noWrap/>
            <w:vAlign w:val="center"/>
            <w:hideMark/>
          </w:tcPr>
          <w:p w14:paraId="3B6B753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Mafra</w:t>
            </w:r>
          </w:p>
        </w:tc>
        <w:tc>
          <w:tcPr>
            <w:tcW w:w="1701" w:type="dxa"/>
            <w:tcBorders>
              <w:bottom w:val="single" w:sz="4" w:space="0" w:color="auto"/>
            </w:tcBorders>
            <w:shd w:val="clear" w:color="auto" w:fill="FFFFFF" w:themeFill="background1"/>
            <w:noWrap/>
            <w:vAlign w:val="center"/>
            <w:hideMark/>
          </w:tcPr>
          <w:p w14:paraId="247BD5B5"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787</w:t>
            </w:r>
          </w:p>
        </w:tc>
        <w:tc>
          <w:tcPr>
            <w:tcW w:w="1701" w:type="dxa"/>
            <w:tcBorders>
              <w:bottom w:val="single" w:sz="4" w:space="0" w:color="auto"/>
            </w:tcBorders>
            <w:shd w:val="clear" w:color="auto" w:fill="FFFFFF" w:themeFill="background1"/>
            <w:noWrap/>
            <w:vAlign w:val="center"/>
            <w:hideMark/>
          </w:tcPr>
          <w:p w14:paraId="3DC252B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49%</w:t>
            </w:r>
          </w:p>
        </w:tc>
      </w:tr>
      <w:tr w:rsidR="00CE47D0" w:rsidRPr="00CE47D0" w14:paraId="52DE90DF" w14:textId="77777777" w:rsidTr="00D74DA1">
        <w:trPr>
          <w:trHeight w:val="300"/>
          <w:jc w:val="center"/>
        </w:trPr>
        <w:tc>
          <w:tcPr>
            <w:tcW w:w="1701" w:type="dxa"/>
            <w:tcBorders>
              <w:top w:val="single" w:sz="4" w:space="0" w:color="auto"/>
              <w:bottom w:val="single" w:sz="4" w:space="0" w:color="auto"/>
            </w:tcBorders>
            <w:shd w:val="clear" w:color="auto" w:fill="FFFFFF" w:themeFill="background1"/>
            <w:noWrap/>
            <w:vAlign w:val="center"/>
            <w:hideMark/>
          </w:tcPr>
          <w:p w14:paraId="24D677B3"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Média</w:t>
            </w:r>
          </w:p>
        </w:tc>
        <w:tc>
          <w:tcPr>
            <w:tcW w:w="1701" w:type="dxa"/>
            <w:tcBorders>
              <w:top w:val="single" w:sz="4" w:space="0" w:color="auto"/>
              <w:bottom w:val="single" w:sz="4" w:space="0" w:color="auto"/>
            </w:tcBorders>
            <w:shd w:val="clear" w:color="auto" w:fill="FFFFFF" w:themeFill="background1"/>
            <w:noWrap/>
            <w:vAlign w:val="center"/>
            <w:hideMark/>
          </w:tcPr>
          <w:p w14:paraId="52BADB47"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p>
        </w:tc>
        <w:tc>
          <w:tcPr>
            <w:tcW w:w="1701" w:type="dxa"/>
            <w:tcBorders>
              <w:top w:val="single" w:sz="4" w:space="0" w:color="auto"/>
              <w:bottom w:val="single" w:sz="4" w:space="0" w:color="auto"/>
            </w:tcBorders>
            <w:shd w:val="clear" w:color="auto" w:fill="FFFFFF" w:themeFill="background1"/>
            <w:noWrap/>
            <w:vAlign w:val="center"/>
            <w:hideMark/>
          </w:tcPr>
          <w:p w14:paraId="657B170C"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601-800</w:t>
            </w:r>
          </w:p>
        </w:tc>
        <w:tc>
          <w:tcPr>
            <w:tcW w:w="1701" w:type="dxa"/>
            <w:tcBorders>
              <w:top w:val="single" w:sz="4" w:space="0" w:color="auto"/>
              <w:bottom w:val="single" w:sz="4" w:space="0" w:color="auto"/>
            </w:tcBorders>
            <w:shd w:val="clear" w:color="auto" w:fill="FFFFFF" w:themeFill="background1"/>
            <w:noWrap/>
            <w:vAlign w:val="center"/>
            <w:hideMark/>
          </w:tcPr>
          <w:p w14:paraId="3E30028C"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14%</w:t>
            </w:r>
          </w:p>
        </w:tc>
      </w:tr>
    </w:tbl>
    <w:p w14:paraId="3F6896F3" w14:textId="77777777" w:rsidR="00CE47D0" w:rsidRPr="00CE47D0" w:rsidRDefault="00CE47D0" w:rsidP="00777EAF">
      <w:pPr>
        <w:spacing w:after="0" w:line="360" w:lineRule="auto"/>
        <w:rPr>
          <w:lang w:eastAsia="pt-BR"/>
        </w:rPr>
      </w:pPr>
    </w:p>
    <w:p w14:paraId="4AE290F5" w14:textId="3283936C" w:rsidR="00444018" w:rsidRDefault="00444018" w:rsidP="00444018">
      <w:pPr>
        <w:pStyle w:val="Legenda"/>
        <w:keepNext/>
        <w:ind w:firstLine="0"/>
      </w:pPr>
      <w:bookmarkStart w:id="277" w:name="_Toc16173049"/>
      <w:r>
        <w:t xml:space="preserve">Tabela </w:t>
      </w:r>
      <w:r w:rsidR="00D00510">
        <w:fldChar w:fldCharType="begin"/>
      </w:r>
      <w:r w:rsidR="00D00510">
        <w:instrText xml:space="preserve"> SEQ Tabela \* ARABIC </w:instrText>
      </w:r>
      <w:r w:rsidR="00D00510">
        <w:fldChar w:fldCharType="separate"/>
      </w:r>
      <w:r w:rsidR="002D15F8">
        <w:rPr>
          <w:noProof/>
        </w:rPr>
        <w:t>13</w:t>
      </w:r>
      <w:r w:rsidR="00D00510">
        <w:rPr>
          <w:noProof/>
        </w:rPr>
        <w:fldChar w:fldCharType="end"/>
      </w:r>
      <w:r>
        <w:t xml:space="preserve">. </w:t>
      </w:r>
      <w:r w:rsidRPr="007F0BE2">
        <w:t xml:space="preserve">Frequências da mutação I86F na subunidade C da enzima succinato desidrogenase em populações de </w:t>
      </w:r>
      <w:r w:rsidRPr="004B0A23">
        <w:rPr>
          <w:i/>
        </w:rPr>
        <w:t xml:space="preserve">P. pachyrhizi </w:t>
      </w:r>
      <w:r w:rsidRPr="007F0BE2">
        <w:t>coletadas em locais com altitude entre 401 e 600 m.</w:t>
      </w:r>
      <w:bookmarkEnd w:id="277"/>
    </w:p>
    <w:tbl>
      <w:tblPr>
        <w:tblW w:w="680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01"/>
        <w:gridCol w:w="1701"/>
        <w:gridCol w:w="1701"/>
        <w:gridCol w:w="1701"/>
      </w:tblGrid>
      <w:tr w:rsidR="00CE47D0" w:rsidRPr="00CE47D0" w14:paraId="5981B5DC" w14:textId="77777777" w:rsidTr="00D74DA1">
        <w:trPr>
          <w:trHeight w:val="300"/>
          <w:jc w:val="center"/>
        </w:trPr>
        <w:tc>
          <w:tcPr>
            <w:tcW w:w="1701" w:type="dxa"/>
            <w:tcBorders>
              <w:top w:val="single" w:sz="4" w:space="0" w:color="auto"/>
              <w:bottom w:val="single" w:sz="4" w:space="0" w:color="auto"/>
            </w:tcBorders>
            <w:shd w:val="clear" w:color="auto" w:fill="FFFFFF" w:themeFill="background1"/>
            <w:noWrap/>
            <w:vAlign w:val="center"/>
            <w:hideMark/>
          </w:tcPr>
          <w:p w14:paraId="352FF2FA"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lang w:eastAsia="pt-BR"/>
              </w:rPr>
              <w:t>Amostra</w:t>
            </w:r>
          </w:p>
        </w:tc>
        <w:tc>
          <w:tcPr>
            <w:tcW w:w="1701" w:type="dxa"/>
            <w:tcBorders>
              <w:top w:val="single" w:sz="4" w:space="0" w:color="auto"/>
              <w:bottom w:val="single" w:sz="4" w:space="0" w:color="auto"/>
            </w:tcBorders>
            <w:shd w:val="clear" w:color="auto" w:fill="FFFFFF" w:themeFill="background1"/>
            <w:noWrap/>
            <w:vAlign w:val="center"/>
            <w:hideMark/>
          </w:tcPr>
          <w:p w14:paraId="0B89398A"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lang w:eastAsia="pt-BR"/>
              </w:rPr>
              <w:t>Município</w:t>
            </w:r>
          </w:p>
        </w:tc>
        <w:tc>
          <w:tcPr>
            <w:tcW w:w="1701" w:type="dxa"/>
            <w:tcBorders>
              <w:top w:val="single" w:sz="4" w:space="0" w:color="auto"/>
              <w:bottom w:val="single" w:sz="4" w:space="0" w:color="auto"/>
            </w:tcBorders>
            <w:shd w:val="clear" w:color="auto" w:fill="FFFFFF" w:themeFill="background1"/>
            <w:noWrap/>
            <w:vAlign w:val="center"/>
            <w:hideMark/>
          </w:tcPr>
          <w:p w14:paraId="2A711902"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lang w:eastAsia="pt-BR"/>
              </w:rPr>
              <w:t xml:space="preserve">Altitude </w:t>
            </w:r>
            <w:r w:rsidRPr="00CE47D0">
              <w:rPr>
                <w:rFonts w:eastAsia="Times New Roman"/>
                <w:b/>
                <w:bCs/>
                <w:color w:val="000000"/>
                <w:szCs w:val="20"/>
                <w:lang w:eastAsia="pt-BR"/>
              </w:rPr>
              <w:t>(m)</w:t>
            </w:r>
          </w:p>
        </w:tc>
        <w:tc>
          <w:tcPr>
            <w:tcW w:w="1701" w:type="dxa"/>
            <w:tcBorders>
              <w:top w:val="single" w:sz="4" w:space="0" w:color="auto"/>
              <w:bottom w:val="single" w:sz="4" w:space="0" w:color="auto"/>
            </w:tcBorders>
            <w:shd w:val="clear" w:color="auto" w:fill="FFFFFF" w:themeFill="background1"/>
            <w:noWrap/>
            <w:vAlign w:val="center"/>
            <w:hideMark/>
          </w:tcPr>
          <w:p w14:paraId="4FD92C34"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lang w:eastAsia="pt-BR"/>
              </w:rPr>
              <w:t>I86F (%)</w:t>
            </w:r>
          </w:p>
        </w:tc>
      </w:tr>
      <w:tr w:rsidR="00CE47D0" w:rsidRPr="00CE47D0" w14:paraId="6726C9BD" w14:textId="77777777" w:rsidTr="00D74DA1">
        <w:trPr>
          <w:trHeight w:val="300"/>
          <w:jc w:val="center"/>
        </w:trPr>
        <w:tc>
          <w:tcPr>
            <w:tcW w:w="1701" w:type="dxa"/>
            <w:shd w:val="clear" w:color="auto" w:fill="FFFFFF" w:themeFill="background1"/>
            <w:noWrap/>
            <w:vAlign w:val="bottom"/>
            <w:hideMark/>
          </w:tcPr>
          <w:p w14:paraId="602A932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38</w:t>
            </w:r>
          </w:p>
        </w:tc>
        <w:tc>
          <w:tcPr>
            <w:tcW w:w="1701" w:type="dxa"/>
            <w:shd w:val="clear" w:color="auto" w:fill="FFFFFF" w:themeFill="background1"/>
            <w:noWrap/>
            <w:vAlign w:val="center"/>
            <w:hideMark/>
          </w:tcPr>
          <w:p w14:paraId="5C5B73D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Imbúia</w:t>
            </w:r>
          </w:p>
        </w:tc>
        <w:tc>
          <w:tcPr>
            <w:tcW w:w="1701" w:type="dxa"/>
            <w:shd w:val="clear" w:color="auto" w:fill="FFFFFF" w:themeFill="background1"/>
            <w:noWrap/>
            <w:vAlign w:val="center"/>
            <w:hideMark/>
          </w:tcPr>
          <w:p w14:paraId="3B78D06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802</w:t>
            </w:r>
          </w:p>
        </w:tc>
        <w:tc>
          <w:tcPr>
            <w:tcW w:w="1701" w:type="dxa"/>
            <w:shd w:val="clear" w:color="auto" w:fill="FFFFFF" w:themeFill="background1"/>
            <w:noWrap/>
            <w:vAlign w:val="center"/>
            <w:hideMark/>
          </w:tcPr>
          <w:p w14:paraId="24E1026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w:t>
            </w:r>
          </w:p>
        </w:tc>
      </w:tr>
      <w:tr w:rsidR="00CE47D0" w:rsidRPr="00CE47D0" w14:paraId="68F7C444" w14:textId="77777777" w:rsidTr="00D74DA1">
        <w:trPr>
          <w:trHeight w:val="300"/>
          <w:jc w:val="center"/>
        </w:trPr>
        <w:tc>
          <w:tcPr>
            <w:tcW w:w="1701" w:type="dxa"/>
            <w:shd w:val="clear" w:color="auto" w:fill="FFFFFF" w:themeFill="background1"/>
            <w:noWrap/>
            <w:vAlign w:val="bottom"/>
            <w:hideMark/>
          </w:tcPr>
          <w:p w14:paraId="5616561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39</w:t>
            </w:r>
          </w:p>
        </w:tc>
        <w:tc>
          <w:tcPr>
            <w:tcW w:w="1701" w:type="dxa"/>
            <w:shd w:val="clear" w:color="auto" w:fill="FFFFFF" w:themeFill="background1"/>
            <w:noWrap/>
            <w:vAlign w:val="center"/>
            <w:hideMark/>
          </w:tcPr>
          <w:p w14:paraId="31F08E1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Abelardo Luz</w:t>
            </w:r>
          </w:p>
        </w:tc>
        <w:tc>
          <w:tcPr>
            <w:tcW w:w="1701" w:type="dxa"/>
            <w:shd w:val="clear" w:color="auto" w:fill="FFFFFF" w:themeFill="background1"/>
            <w:noWrap/>
            <w:vAlign w:val="center"/>
            <w:hideMark/>
          </w:tcPr>
          <w:p w14:paraId="7486C50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821</w:t>
            </w:r>
          </w:p>
        </w:tc>
        <w:tc>
          <w:tcPr>
            <w:tcW w:w="1701" w:type="dxa"/>
            <w:shd w:val="clear" w:color="auto" w:fill="FFFFFF" w:themeFill="background1"/>
            <w:noWrap/>
            <w:vAlign w:val="center"/>
            <w:hideMark/>
          </w:tcPr>
          <w:p w14:paraId="7141160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w:t>
            </w:r>
          </w:p>
        </w:tc>
      </w:tr>
      <w:tr w:rsidR="00CE47D0" w:rsidRPr="00CE47D0" w14:paraId="0679FF6B" w14:textId="77777777" w:rsidTr="00D74DA1">
        <w:trPr>
          <w:trHeight w:val="300"/>
          <w:jc w:val="center"/>
        </w:trPr>
        <w:tc>
          <w:tcPr>
            <w:tcW w:w="1701" w:type="dxa"/>
            <w:shd w:val="clear" w:color="auto" w:fill="FFFFFF" w:themeFill="background1"/>
            <w:noWrap/>
            <w:vAlign w:val="bottom"/>
            <w:hideMark/>
          </w:tcPr>
          <w:p w14:paraId="043152E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41</w:t>
            </w:r>
          </w:p>
        </w:tc>
        <w:tc>
          <w:tcPr>
            <w:tcW w:w="1701" w:type="dxa"/>
            <w:shd w:val="clear" w:color="auto" w:fill="FFFFFF" w:themeFill="background1"/>
            <w:noWrap/>
            <w:vAlign w:val="center"/>
            <w:hideMark/>
          </w:tcPr>
          <w:p w14:paraId="734708F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Campos Novos</w:t>
            </w:r>
          </w:p>
        </w:tc>
        <w:tc>
          <w:tcPr>
            <w:tcW w:w="1701" w:type="dxa"/>
            <w:shd w:val="clear" w:color="auto" w:fill="FFFFFF" w:themeFill="background1"/>
            <w:noWrap/>
            <w:vAlign w:val="center"/>
            <w:hideMark/>
          </w:tcPr>
          <w:p w14:paraId="0730C94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843</w:t>
            </w:r>
          </w:p>
        </w:tc>
        <w:tc>
          <w:tcPr>
            <w:tcW w:w="1701" w:type="dxa"/>
            <w:shd w:val="clear" w:color="auto" w:fill="FFFFFF" w:themeFill="background1"/>
            <w:noWrap/>
            <w:vAlign w:val="center"/>
            <w:hideMark/>
          </w:tcPr>
          <w:p w14:paraId="75A6438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24%</w:t>
            </w:r>
          </w:p>
        </w:tc>
      </w:tr>
      <w:tr w:rsidR="00CE47D0" w:rsidRPr="00CE47D0" w14:paraId="17236804" w14:textId="77777777" w:rsidTr="00D74DA1">
        <w:trPr>
          <w:trHeight w:val="300"/>
          <w:jc w:val="center"/>
        </w:trPr>
        <w:tc>
          <w:tcPr>
            <w:tcW w:w="1701" w:type="dxa"/>
            <w:shd w:val="clear" w:color="auto" w:fill="FFFFFF" w:themeFill="background1"/>
            <w:noWrap/>
            <w:vAlign w:val="bottom"/>
            <w:hideMark/>
          </w:tcPr>
          <w:p w14:paraId="1148702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43</w:t>
            </w:r>
          </w:p>
        </w:tc>
        <w:tc>
          <w:tcPr>
            <w:tcW w:w="1701" w:type="dxa"/>
            <w:shd w:val="clear" w:color="auto" w:fill="FFFFFF" w:themeFill="background1"/>
            <w:noWrap/>
            <w:vAlign w:val="center"/>
            <w:hideMark/>
          </w:tcPr>
          <w:p w14:paraId="23028E0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Abelardo Luz</w:t>
            </w:r>
          </w:p>
        </w:tc>
        <w:tc>
          <w:tcPr>
            <w:tcW w:w="1701" w:type="dxa"/>
            <w:shd w:val="clear" w:color="auto" w:fill="FFFFFF" w:themeFill="background1"/>
            <w:noWrap/>
            <w:vAlign w:val="center"/>
            <w:hideMark/>
          </w:tcPr>
          <w:p w14:paraId="340FC643"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861</w:t>
            </w:r>
          </w:p>
        </w:tc>
        <w:tc>
          <w:tcPr>
            <w:tcW w:w="1701" w:type="dxa"/>
            <w:shd w:val="clear" w:color="auto" w:fill="FFFFFF" w:themeFill="background1"/>
            <w:noWrap/>
            <w:vAlign w:val="center"/>
            <w:hideMark/>
          </w:tcPr>
          <w:p w14:paraId="5C35CDC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24%</w:t>
            </w:r>
          </w:p>
        </w:tc>
      </w:tr>
      <w:tr w:rsidR="00CE47D0" w:rsidRPr="00CE47D0" w14:paraId="63F7A59F" w14:textId="77777777" w:rsidTr="00D74DA1">
        <w:trPr>
          <w:trHeight w:val="300"/>
          <w:jc w:val="center"/>
        </w:trPr>
        <w:tc>
          <w:tcPr>
            <w:tcW w:w="1701" w:type="dxa"/>
            <w:shd w:val="clear" w:color="auto" w:fill="FFFFFF" w:themeFill="background1"/>
            <w:noWrap/>
            <w:vAlign w:val="bottom"/>
            <w:hideMark/>
          </w:tcPr>
          <w:p w14:paraId="445A2171"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44</w:t>
            </w:r>
          </w:p>
        </w:tc>
        <w:tc>
          <w:tcPr>
            <w:tcW w:w="1701" w:type="dxa"/>
            <w:shd w:val="clear" w:color="auto" w:fill="FFFFFF" w:themeFill="background1"/>
            <w:noWrap/>
            <w:vAlign w:val="center"/>
            <w:hideMark/>
          </w:tcPr>
          <w:p w14:paraId="50C1CA8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Palmeira</w:t>
            </w:r>
          </w:p>
        </w:tc>
        <w:tc>
          <w:tcPr>
            <w:tcW w:w="1701" w:type="dxa"/>
            <w:shd w:val="clear" w:color="auto" w:fill="FFFFFF" w:themeFill="background1"/>
            <w:noWrap/>
            <w:vAlign w:val="center"/>
            <w:hideMark/>
          </w:tcPr>
          <w:p w14:paraId="3583C57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864</w:t>
            </w:r>
          </w:p>
        </w:tc>
        <w:tc>
          <w:tcPr>
            <w:tcW w:w="1701" w:type="dxa"/>
            <w:shd w:val="clear" w:color="auto" w:fill="FFFFFF" w:themeFill="background1"/>
            <w:noWrap/>
            <w:vAlign w:val="center"/>
            <w:hideMark/>
          </w:tcPr>
          <w:p w14:paraId="1B3BE61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0%</w:t>
            </w:r>
          </w:p>
        </w:tc>
      </w:tr>
      <w:tr w:rsidR="00CE47D0" w:rsidRPr="00CE47D0" w14:paraId="05A44049" w14:textId="77777777" w:rsidTr="00D74DA1">
        <w:trPr>
          <w:trHeight w:val="300"/>
          <w:jc w:val="center"/>
        </w:trPr>
        <w:tc>
          <w:tcPr>
            <w:tcW w:w="1701" w:type="dxa"/>
            <w:shd w:val="clear" w:color="auto" w:fill="FFFFFF" w:themeFill="background1"/>
            <w:noWrap/>
            <w:vAlign w:val="bottom"/>
            <w:hideMark/>
          </w:tcPr>
          <w:p w14:paraId="2E99C2B8"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45</w:t>
            </w:r>
          </w:p>
        </w:tc>
        <w:tc>
          <w:tcPr>
            <w:tcW w:w="1701" w:type="dxa"/>
            <w:shd w:val="clear" w:color="auto" w:fill="FFFFFF" w:themeFill="background1"/>
            <w:noWrap/>
            <w:vAlign w:val="center"/>
            <w:hideMark/>
          </w:tcPr>
          <w:p w14:paraId="5BCFCD48"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Lages</w:t>
            </w:r>
          </w:p>
        </w:tc>
        <w:tc>
          <w:tcPr>
            <w:tcW w:w="1701" w:type="dxa"/>
            <w:shd w:val="clear" w:color="auto" w:fill="FFFFFF" w:themeFill="background1"/>
            <w:noWrap/>
            <w:vAlign w:val="center"/>
            <w:hideMark/>
          </w:tcPr>
          <w:p w14:paraId="4E03251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870</w:t>
            </w:r>
          </w:p>
        </w:tc>
        <w:tc>
          <w:tcPr>
            <w:tcW w:w="1701" w:type="dxa"/>
            <w:shd w:val="clear" w:color="auto" w:fill="FFFFFF" w:themeFill="background1"/>
            <w:noWrap/>
            <w:vAlign w:val="center"/>
            <w:hideMark/>
          </w:tcPr>
          <w:p w14:paraId="69B2A65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3%</w:t>
            </w:r>
          </w:p>
        </w:tc>
      </w:tr>
      <w:tr w:rsidR="00CE47D0" w:rsidRPr="00CE47D0" w14:paraId="37413305" w14:textId="77777777" w:rsidTr="00D74DA1">
        <w:trPr>
          <w:trHeight w:val="300"/>
          <w:jc w:val="center"/>
        </w:trPr>
        <w:tc>
          <w:tcPr>
            <w:tcW w:w="1701" w:type="dxa"/>
            <w:shd w:val="clear" w:color="auto" w:fill="FFFFFF" w:themeFill="background1"/>
            <w:noWrap/>
            <w:vAlign w:val="bottom"/>
            <w:hideMark/>
          </w:tcPr>
          <w:p w14:paraId="0942DA7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46</w:t>
            </w:r>
          </w:p>
        </w:tc>
        <w:tc>
          <w:tcPr>
            <w:tcW w:w="1701" w:type="dxa"/>
            <w:shd w:val="clear" w:color="auto" w:fill="FFFFFF" w:themeFill="background1"/>
            <w:noWrap/>
            <w:vAlign w:val="center"/>
            <w:hideMark/>
          </w:tcPr>
          <w:p w14:paraId="64C46FB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Bom Retiro</w:t>
            </w:r>
          </w:p>
        </w:tc>
        <w:tc>
          <w:tcPr>
            <w:tcW w:w="1701" w:type="dxa"/>
            <w:shd w:val="clear" w:color="auto" w:fill="FFFFFF" w:themeFill="background1"/>
            <w:noWrap/>
            <w:vAlign w:val="center"/>
            <w:hideMark/>
          </w:tcPr>
          <w:p w14:paraId="5EFF4AF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875</w:t>
            </w:r>
          </w:p>
        </w:tc>
        <w:tc>
          <w:tcPr>
            <w:tcW w:w="1701" w:type="dxa"/>
            <w:shd w:val="clear" w:color="auto" w:fill="FFFFFF" w:themeFill="background1"/>
            <w:noWrap/>
            <w:vAlign w:val="center"/>
            <w:hideMark/>
          </w:tcPr>
          <w:p w14:paraId="02EC1DD5"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w:t>
            </w:r>
          </w:p>
        </w:tc>
      </w:tr>
      <w:tr w:rsidR="00CE47D0" w:rsidRPr="00CE47D0" w14:paraId="27D5CE10" w14:textId="77777777" w:rsidTr="00D74DA1">
        <w:trPr>
          <w:trHeight w:val="300"/>
          <w:jc w:val="center"/>
        </w:trPr>
        <w:tc>
          <w:tcPr>
            <w:tcW w:w="1701" w:type="dxa"/>
            <w:shd w:val="clear" w:color="auto" w:fill="FFFFFF" w:themeFill="background1"/>
            <w:noWrap/>
            <w:vAlign w:val="bottom"/>
            <w:hideMark/>
          </w:tcPr>
          <w:p w14:paraId="5B4F1AF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48</w:t>
            </w:r>
          </w:p>
        </w:tc>
        <w:tc>
          <w:tcPr>
            <w:tcW w:w="1701" w:type="dxa"/>
            <w:shd w:val="clear" w:color="auto" w:fill="FFFFFF" w:themeFill="background1"/>
            <w:noWrap/>
            <w:vAlign w:val="center"/>
            <w:hideMark/>
          </w:tcPr>
          <w:p w14:paraId="04CA3F8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Campos novos</w:t>
            </w:r>
          </w:p>
        </w:tc>
        <w:tc>
          <w:tcPr>
            <w:tcW w:w="1701" w:type="dxa"/>
            <w:shd w:val="clear" w:color="auto" w:fill="FFFFFF" w:themeFill="background1"/>
            <w:noWrap/>
            <w:vAlign w:val="center"/>
            <w:hideMark/>
          </w:tcPr>
          <w:p w14:paraId="5DF44163"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890</w:t>
            </w:r>
          </w:p>
        </w:tc>
        <w:tc>
          <w:tcPr>
            <w:tcW w:w="1701" w:type="dxa"/>
            <w:shd w:val="clear" w:color="auto" w:fill="FFFFFF" w:themeFill="background1"/>
            <w:noWrap/>
            <w:vAlign w:val="center"/>
            <w:hideMark/>
          </w:tcPr>
          <w:p w14:paraId="7E7D4BE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w:t>
            </w:r>
          </w:p>
        </w:tc>
      </w:tr>
      <w:tr w:rsidR="00CE47D0" w:rsidRPr="00CE47D0" w14:paraId="2BC5A0C0" w14:textId="77777777" w:rsidTr="00D74DA1">
        <w:trPr>
          <w:trHeight w:val="300"/>
          <w:jc w:val="center"/>
        </w:trPr>
        <w:tc>
          <w:tcPr>
            <w:tcW w:w="1701" w:type="dxa"/>
            <w:shd w:val="clear" w:color="auto" w:fill="FFFFFF" w:themeFill="background1"/>
            <w:noWrap/>
            <w:vAlign w:val="bottom"/>
            <w:hideMark/>
          </w:tcPr>
          <w:p w14:paraId="504EFA1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49</w:t>
            </w:r>
          </w:p>
        </w:tc>
        <w:tc>
          <w:tcPr>
            <w:tcW w:w="1701" w:type="dxa"/>
            <w:shd w:val="clear" w:color="auto" w:fill="FFFFFF" w:themeFill="background1"/>
            <w:noWrap/>
            <w:vAlign w:val="center"/>
            <w:hideMark/>
          </w:tcPr>
          <w:p w14:paraId="00DCA8F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Brunópolis</w:t>
            </w:r>
          </w:p>
        </w:tc>
        <w:tc>
          <w:tcPr>
            <w:tcW w:w="1701" w:type="dxa"/>
            <w:shd w:val="clear" w:color="auto" w:fill="FFFFFF" w:themeFill="background1"/>
            <w:noWrap/>
            <w:vAlign w:val="center"/>
            <w:hideMark/>
          </w:tcPr>
          <w:p w14:paraId="2C49A03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897</w:t>
            </w:r>
          </w:p>
        </w:tc>
        <w:tc>
          <w:tcPr>
            <w:tcW w:w="1701" w:type="dxa"/>
            <w:shd w:val="clear" w:color="auto" w:fill="FFFFFF" w:themeFill="background1"/>
            <w:noWrap/>
            <w:vAlign w:val="center"/>
            <w:hideMark/>
          </w:tcPr>
          <w:p w14:paraId="1F94D53F"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8%</w:t>
            </w:r>
          </w:p>
        </w:tc>
      </w:tr>
      <w:tr w:rsidR="00CE47D0" w:rsidRPr="00CE47D0" w14:paraId="4882735A" w14:textId="77777777" w:rsidTr="00D74DA1">
        <w:trPr>
          <w:trHeight w:val="300"/>
          <w:jc w:val="center"/>
        </w:trPr>
        <w:tc>
          <w:tcPr>
            <w:tcW w:w="1701" w:type="dxa"/>
            <w:shd w:val="clear" w:color="auto" w:fill="FFFFFF" w:themeFill="background1"/>
            <w:noWrap/>
            <w:vAlign w:val="bottom"/>
            <w:hideMark/>
          </w:tcPr>
          <w:p w14:paraId="57B4B33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51</w:t>
            </w:r>
          </w:p>
        </w:tc>
        <w:tc>
          <w:tcPr>
            <w:tcW w:w="1701" w:type="dxa"/>
            <w:shd w:val="clear" w:color="auto" w:fill="FFFFFF" w:themeFill="background1"/>
            <w:noWrap/>
            <w:vAlign w:val="center"/>
            <w:hideMark/>
          </w:tcPr>
          <w:p w14:paraId="4A4B1AEE"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Correia pinto</w:t>
            </w:r>
          </w:p>
        </w:tc>
        <w:tc>
          <w:tcPr>
            <w:tcW w:w="1701" w:type="dxa"/>
            <w:shd w:val="clear" w:color="auto" w:fill="FFFFFF" w:themeFill="background1"/>
            <w:noWrap/>
            <w:vAlign w:val="center"/>
            <w:hideMark/>
          </w:tcPr>
          <w:p w14:paraId="3E550091"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903</w:t>
            </w:r>
          </w:p>
        </w:tc>
        <w:tc>
          <w:tcPr>
            <w:tcW w:w="1701" w:type="dxa"/>
            <w:shd w:val="clear" w:color="auto" w:fill="FFFFFF" w:themeFill="background1"/>
            <w:noWrap/>
            <w:vAlign w:val="center"/>
            <w:hideMark/>
          </w:tcPr>
          <w:p w14:paraId="5E0387E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0%</w:t>
            </w:r>
          </w:p>
        </w:tc>
      </w:tr>
      <w:tr w:rsidR="00CE47D0" w:rsidRPr="00CE47D0" w14:paraId="55CDAF30" w14:textId="77777777" w:rsidTr="00D74DA1">
        <w:trPr>
          <w:trHeight w:val="300"/>
          <w:jc w:val="center"/>
        </w:trPr>
        <w:tc>
          <w:tcPr>
            <w:tcW w:w="1701" w:type="dxa"/>
            <w:shd w:val="clear" w:color="auto" w:fill="FFFFFF" w:themeFill="background1"/>
            <w:noWrap/>
            <w:vAlign w:val="bottom"/>
            <w:hideMark/>
          </w:tcPr>
          <w:p w14:paraId="4F901EE2"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53</w:t>
            </w:r>
          </w:p>
        </w:tc>
        <w:tc>
          <w:tcPr>
            <w:tcW w:w="1701" w:type="dxa"/>
            <w:shd w:val="clear" w:color="auto" w:fill="FFFFFF" w:themeFill="background1"/>
            <w:noWrap/>
            <w:vAlign w:val="center"/>
            <w:hideMark/>
          </w:tcPr>
          <w:p w14:paraId="66FDA01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Xanxerê</w:t>
            </w:r>
          </w:p>
        </w:tc>
        <w:tc>
          <w:tcPr>
            <w:tcW w:w="1701" w:type="dxa"/>
            <w:shd w:val="clear" w:color="auto" w:fill="FFFFFF" w:themeFill="background1"/>
            <w:noWrap/>
            <w:vAlign w:val="center"/>
            <w:hideMark/>
          </w:tcPr>
          <w:p w14:paraId="2AF4547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910</w:t>
            </w:r>
          </w:p>
        </w:tc>
        <w:tc>
          <w:tcPr>
            <w:tcW w:w="1701" w:type="dxa"/>
            <w:shd w:val="clear" w:color="auto" w:fill="FFFFFF" w:themeFill="background1"/>
            <w:noWrap/>
            <w:vAlign w:val="center"/>
            <w:hideMark/>
          </w:tcPr>
          <w:p w14:paraId="7A597AEC"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w:t>
            </w:r>
          </w:p>
        </w:tc>
      </w:tr>
      <w:tr w:rsidR="00CE47D0" w:rsidRPr="00CE47D0" w14:paraId="11BE5080" w14:textId="77777777" w:rsidTr="00D74DA1">
        <w:trPr>
          <w:trHeight w:val="300"/>
          <w:jc w:val="center"/>
        </w:trPr>
        <w:tc>
          <w:tcPr>
            <w:tcW w:w="1701" w:type="dxa"/>
            <w:shd w:val="clear" w:color="auto" w:fill="FFFFFF" w:themeFill="background1"/>
            <w:noWrap/>
            <w:vAlign w:val="bottom"/>
            <w:hideMark/>
          </w:tcPr>
          <w:p w14:paraId="4EC69D3A"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56</w:t>
            </w:r>
          </w:p>
        </w:tc>
        <w:tc>
          <w:tcPr>
            <w:tcW w:w="1701" w:type="dxa"/>
            <w:shd w:val="clear" w:color="auto" w:fill="FFFFFF" w:themeFill="background1"/>
            <w:noWrap/>
            <w:vAlign w:val="center"/>
            <w:hideMark/>
          </w:tcPr>
          <w:p w14:paraId="348A9D4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Monte Carlo</w:t>
            </w:r>
          </w:p>
        </w:tc>
        <w:tc>
          <w:tcPr>
            <w:tcW w:w="1701" w:type="dxa"/>
            <w:shd w:val="clear" w:color="auto" w:fill="FFFFFF" w:themeFill="background1"/>
            <w:noWrap/>
            <w:vAlign w:val="center"/>
            <w:hideMark/>
          </w:tcPr>
          <w:p w14:paraId="44C07327"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975</w:t>
            </w:r>
          </w:p>
        </w:tc>
        <w:tc>
          <w:tcPr>
            <w:tcW w:w="1701" w:type="dxa"/>
            <w:shd w:val="clear" w:color="auto" w:fill="FFFFFF" w:themeFill="background1"/>
            <w:noWrap/>
            <w:vAlign w:val="center"/>
            <w:hideMark/>
          </w:tcPr>
          <w:p w14:paraId="260E6826"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w:t>
            </w:r>
          </w:p>
        </w:tc>
      </w:tr>
      <w:tr w:rsidR="00CE47D0" w:rsidRPr="00CE47D0" w14:paraId="6E5B96B0" w14:textId="77777777" w:rsidTr="00D74DA1">
        <w:trPr>
          <w:trHeight w:val="300"/>
          <w:jc w:val="center"/>
        </w:trPr>
        <w:tc>
          <w:tcPr>
            <w:tcW w:w="1701" w:type="dxa"/>
            <w:shd w:val="clear" w:color="auto" w:fill="FFFFFF" w:themeFill="background1"/>
            <w:noWrap/>
            <w:vAlign w:val="bottom"/>
            <w:hideMark/>
          </w:tcPr>
          <w:p w14:paraId="4D22F80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62</w:t>
            </w:r>
          </w:p>
        </w:tc>
        <w:tc>
          <w:tcPr>
            <w:tcW w:w="1701" w:type="dxa"/>
            <w:shd w:val="clear" w:color="auto" w:fill="FFFFFF" w:themeFill="background1"/>
            <w:noWrap/>
            <w:vAlign w:val="center"/>
            <w:hideMark/>
          </w:tcPr>
          <w:p w14:paraId="5192AB0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Curitibanos</w:t>
            </w:r>
          </w:p>
        </w:tc>
        <w:tc>
          <w:tcPr>
            <w:tcW w:w="1701" w:type="dxa"/>
            <w:shd w:val="clear" w:color="auto" w:fill="FFFFFF" w:themeFill="background1"/>
            <w:noWrap/>
            <w:vAlign w:val="center"/>
            <w:hideMark/>
          </w:tcPr>
          <w:p w14:paraId="02B79D5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1073</w:t>
            </w:r>
          </w:p>
        </w:tc>
        <w:tc>
          <w:tcPr>
            <w:tcW w:w="1701" w:type="dxa"/>
            <w:shd w:val="clear" w:color="auto" w:fill="FFFFFF" w:themeFill="background1"/>
            <w:noWrap/>
            <w:vAlign w:val="center"/>
            <w:hideMark/>
          </w:tcPr>
          <w:p w14:paraId="591AA5E8"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25%</w:t>
            </w:r>
          </w:p>
        </w:tc>
      </w:tr>
      <w:tr w:rsidR="00CE47D0" w:rsidRPr="00CE47D0" w14:paraId="752544C1" w14:textId="77777777" w:rsidTr="00D74DA1">
        <w:trPr>
          <w:trHeight w:val="300"/>
          <w:jc w:val="center"/>
        </w:trPr>
        <w:tc>
          <w:tcPr>
            <w:tcW w:w="1701" w:type="dxa"/>
            <w:shd w:val="clear" w:color="auto" w:fill="FFFFFF" w:themeFill="background1"/>
            <w:noWrap/>
            <w:vAlign w:val="bottom"/>
            <w:hideMark/>
          </w:tcPr>
          <w:p w14:paraId="4AB0D3E0"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63</w:t>
            </w:r>
          </w:p>
        </w:tc>
        <w:tc>
          <w:tcPr>
            <w:tcW w:w="1701" w:type="dxa"/>
            <w:shd w:val="clear" w:color="auto" w:fill="FFFFFF" w:themeFill="background1"/>
            <w:noWrap/>
            <w:vAlign w:val="center"/>
            <w:hideMark/>
          </w:tcPr>
          <w:p w14:paraId="7CBD0E9D"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Água Doce</w:t>
            </w:r>
          </w:p>
        </w:tc>
        <w:tc>
          <w:tcPr>
            <w:tcW w:w="1701" w:type="dxa"/>
            <w:shd w:val="clear" w:color="auto" w:fill="FFFFFF" w:themeFill="background1"/>
            <w:noWrap/>
            <w:vAlign w:val="center"/>
            <w:hideMark/>
          </w:tcPr>
          <w:p w14:paraId="7BE69FD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1076</w:t>
            </w:r>
          </w:p>
        </w:tc>
        <w:tc>
          <w:tcPr>
            <w:tcW w:w="1701" w:type="dxa"/>
            <w:shd w:val="clear" w:color="auto" w:fill="FFFFFF" w:themeFill="background1"/>
            <w:noWrap/>
            <w:vAlign w:val="center"/>
            <w:hideMark/>
          </w:tcPr>
          <w:p w14:paraId="598F9A74"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10%</w:t>
            </w:r>
          </w:p>
        </w:tc>
      </w:tr>
      <w:tr w:rsidR="00CE47D0" w:rsidRPr="00CE47D0" w14:paraId="1A33AE15" w14:textId="77777777" w:rsidTr="00D74DA1">
        <w:trPr>
          <w:trHeight w:val="300"/>
          <w:jc w:val="center"/>
        </w:trPr>
        <w:tc>
          <w:tcPr>
            <w:tcW w:w="1701" w:type="dxa"/>
            <w:tcBorders>
              <w:bottom w:val="single" w:sz="4" w:space="0" w:color="auto"/>
            </w:tcBorders>
            <w:shd w:val="clear" w:color="auto" w:fill="FFFFFF" w:themeFill="background1"/>
            <w:noWrap/>
            <w:vAlign w:val="bottom"/>
            <w:hideMark/>
          </w:tcPr>
          <w:p w14:paraId="31CBA08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64</w:t>
            </w:r>
          </w:p>
        </w:tc>
        <w:tc>
          <w:tcPr>
            <w:tcW w:w="1701" w:type="dxa"/>
            <w:tcBorders>
              <w:bottom w:val="single" w:sz="4" w:space="0" w:color="auto"/>
            </w:tcBorders>
            <w:shd w:val="clear" w:color="auto" w:fill="FFFFFF" w:themeFill="background1"/>
            <w:noWrap/>
            <w:vAlign w:val="center"/>
            <w:hideMark/>
          </w:tcPr>
          <w:p w14:paraId="6BDAB4DB"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Passos maia</w:t>
            </w:r>
          </w:p>
        </w:tc>
        <w:tc>
          <w:tcPr>
            <w:tcW w:w="1701" w:type="dxa"/>
            <w:tcBorders>
              <w:bottom w:val="single" w:sz="4" w:space="0" w:color="auto"/>
            </w:tcBorders>
            <w:shd w:val="clear" w:color="auto" w:fill="FFFFFF" w:themeFill="background1"/>
            <w:noWrap/>
            <w:vAlign w:val="center"/>
            <w:hideMark/>
          </w:tcPr>
          <w:p w14:paraId="405936E3"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1134</w:t>
            </w:r>
          </w:p>
        </w:tc>
        <w:tc>
          <w:tcPr>
            <w:tcW w:w="1701" w:type="dxa"/>
            <w:tcBorders>
              <w:bottom w:val="single" w:sz="4" w:space="0" w:color="auto"/>
            </w:tcBorders>
            <w:shd w:val="clear" w:color="auto" w:fill="FFFFFF" w:themeFill="background1"/>
            <w:noWrap/>
            <w:vAlign w:val="center"/>
            <w:hideMark/>
          </w:tcPr>
          <w:p w14:paraId="399B69B9" w14:textId="77777777" w:rsidR="00CE47D0" w:rsidRPr="00CE47D0" w:rsidRDefault="00CE47D0" w:rsidP="00CE47D0">
            <w:pPr>
              <w:autoSpaceDE/>
              <w:autoSpaceDN/>
              <w:adjustRightInd/>
              <w:spacing w:after="0" w:line="240" w:lineRule="auto"/>
              <w:ind w:firstLine="0"/>
              <w:jc w:val="center"/>
              <w:rPr>
                <w:rFonts w:eastAsia="Times New Roman"/>
                <w:color w:val="000000"/>
                <w:sz w:val="20"/>
                <w:szCs w:val="20"/>
                <w:lang w:eastAsia="pt-BR"/>
              </w:rPr>
            </w:pPr>
            <w:r w:rsidRPr="00CE47D0">
              <w:rPr>
                <w:rFonts w:eastAsia="Times New Roman"/>
                <w:color w:val="000000"/>
                <w:sz w:val="20"/>
                <w:szCs w:val="20"/>
                <w:lang w:eastAsia="pt-BR"/>
              </w:rPr>
              <w:t>26%</w:t>
            </w:r>
          </w:p>
        </w:tc>
      </w:tr>
      <w:tr w:rsidR="00CE47D0" w:rsidRPr="00CE47D0" w14:paraId="216D658F" w14:textId="77777777" w:rsidTr="00D74DA1">
        <w:trPr>
          <w:trHeight w:val="300"/>
          <w:jc w:val="center"/>
        </w:trPr>
        <w:tc>
          <w:tcPr>
            <w:tcW w:w="1701" w:type="dxa"/>
            <w:tcBorders>
              <w:top w:val="single" w:sz="4" w:space="0" w:color="auto"/>
              <w:bottom w:val="single" w:sz="4" w:space="0" w:color="auto"/>
            </w:tcBorders>
            <w:shd w:val="clear" w:color="auto" w:fill="FFFFFF" w:themeFill="background1"/>
            <w:noWrap/>
            <w:vAlign w:val="bottom"/>
            <w:hideMark/>
          </w:tcPr>
          <w:p w14:paraId="4BAA273B"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Média</w:t>
            </w:r>
          </w:p>
        </w:tc>
        <w:tc>
          <w:tcPr>
            <w:tcW w:w="1701" w:type="dxa"/>
            <w:tcBorders>
              <w:top w:val="single" w:sz="4" w:space="0" w:color="auto"/>
              <w:bottom w:val="single" w:sz="4" w:space="0" w:color="auto"/>
            </w:tcBorders>
            <w:shd w:val="clear" w:color="auto" w:fill="FFFFFF" w:themeFill="background1"/>
            <w:noWrap/>
            <w:vAlign w:val="bottom"/>
            <w:hideMark/>
          </w:tcPr>
          <w:p w14:paraId="59AFE6D6"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 </w:t>
            </w:r>
          </w:p>
        </w:tc>
        <w:tc>
          <w:tcPr>
            <w:tcW w:w="1701" w:type="dxa"/>
            <w:tcBorders>
              <w:top w:val="single" w:sz="4" w:space="0" w:color="auto"/>
              <w:bottom w:val="single" w:sz="4" w:space="0" w:color="auto"/>
            </w:tcBorders>
            <w:shd w:val="clear" w:color="auto" w:fill="FFFFFF" w:themeFill="background1"/>
            <w:noWrap/>
            <w:vAlign w:val="bottom"/>
            <w:hideMark/>
          </w:tcPr>
          <w:p w14:paraId="4C3788DE"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&gt; 800</w:t>
            </w:r>
          </w:p>
        </w:tc>
        <w:tc>
          <w:tcPr>
            <w:tcW w:w="1701" w:type="dxa"/>
            <w:tcBorders>
              <w:top w:val="single" w:sz="4" w:space="0" w:color="auto"/>
              <w:bottom w:val="single" w:sz="4" w:space="0" w:color="auto"/>
            </w:tcBorders>
            <w:shd w:val="clear" w:color="auto" w:fill="FFFFFF" w:themeFill="background1"/>
            <w:noWrap/>
            <w:vAlign w:val="bottom"/>
            <w:hideMark/>
          </w:tcPr>
          <w:p w14:paraId="098A806C" w14:textId="77777777" w:rsidR="00CE47D0" w:rsidRPr="00CE47D0" w:rsidRDefault="00CE47D0" w:rsidP="00CE47D0">
            <w:pPr>
              <w:autoSpaceDE/>
              <w:autoSpaceDN/>
              <w:adjustRightInd/>
              <w:spacing w:after="0" w:line="240" w:lineRule="auto"/>
              <w:ind w:firstLine="0"/>
              <w:jc w:val="center"/>
              <w:rPr>
                <w:rFonts w:eastAsia="Times New Roman"/>
                <w:b/>
                <w:bCs/>
                <w:color w:val="000000"/>
                <w:szCs w:val="20"/>
                <w:lang w:eastAsia="pt-BR"/>
              </w:rPr>
            </w:pPr>
            <w:r w:rsidRPr="00CE47D0">
              <w:rPr>
                <w:rFonts w:eastAsia="Times New Roman"/>
                <w:b/>
                <w:bCs/>
                <w:color w:val="000000"/>
                <w:szCs w:val="20"/>
                <w:lang w:eastAsia="pt-BR"/>
              </w:rPr>
              <w:t>9%</w:t>
            </w:r>
          </w:p>
        </w:tc>
      </w:tr>
    </w:tbl>
    <w:p w14:paraId="5D60B1AE" w14:textId="77777777" w:rsidR="00444018" w:rsidRDefault="00444018" w:rsidP="00777EAF">
      <w:pPr>
        <w:spacing w:after="0" w:line="360" w:lineRule="auto"/>
        <w:ind w:firstLine="0"/>
        <w:rPr>
          <w:lang w:eastAsia="pt-BR"/>
        </w:rPr>
      </w:pPr>
    </w:p>
    <w:p w14:paraId="3C6036A3" w14:textId="77777777" w:rsidR="00444018" w:rsidRDefault="00E75456" w:rsidP="00777EAF">
      <w:pPr>
        <w:spacing w:after="0" w:line="360" w:lineRule="auto"/>
        <w:ind w:firstLine="708"/>
        <w:rPr>
          <w:lang w:eastAsia="pt-BR"/>
        </w:rPr>
      </w:pPr>
      <w:r w:rsidRPr="00B7238F">
        <w:rPr>
          <w:lang w:eastAsia="pt-BR"/>
        </w:rPr>
        <w:t>Ao avaliar as amostras dentro de cada faixa de altitude, percebe-se haver variação de tal maneira que o maior e o menor valor detectado são superiores a metade e dobro do valor da média, respectivamente.</w:t>
      </w:r>
    </w:p>
    <w:p w14:paraId="237C4F94" w14:textId="77777777" w:rsidR="00444018" w:rsidRDefault="00E75456" w:rsidP="00777EAF">
      <w:pPr>
        <w:spacing w:after="0" w:line="360" w:lineRule="auto"/>
        <w:ind w:firstLine="708"/>
        <w:rPr>
          <w:lang w:eastAsia="pt-BR"/>
        </w:rPr>
      </w:pPr>
      <w:r w:rsidRPr="00B7238F">
        <w:rPr>
          <w:lang w:eastAsia="pt-BR"/>
        </w:rPr>
        <w:t>Para as populações do patógeno coletadas em altitudes entre 401 e 600 m, os valores da mutação I86F variaram de 3 a 49%, com média de 18 %. Das nove amostras avaliadas nesta faixa de altitude três apresentaram valores superiores a média (Tabela 11).</w:t>
      </w:r>
    </w:p>
    <w:p w14:paraId="213D9D44" w14:textId="77777777" w:rsidR="00444018" w:rsidRDefault="00E75456" w:rsidP="00777EAF">
      <w:pPr>
        <w:spacing w:after="0" w:line="360" w:lineRule="auto"/>
        <w:ind w:firstLine="708"/>
        <w:rPr>
          <w:lang w:eastAsia="pt-BR"/>
        </w:rPr>
      </w:pPr>
      <w:r w:rsidRPr="00B7238F">
        <w:rPr>
          <w:lang w:eastAsia="pt-BR"/>
        </w:rPr>
        <w:t>Na faixa de altitude de 601 a 800 m, foram observados valores de frequência de mutação entre 0 e 49 %, com média de 14 %. Entre as quatorze amostras coletadas nesta faixa de altitude, cinco amostras apresentaram valores superiores a média (Tabela 12).</w:t>
      </w:r>
    </w:p>
    <w:p w14:paraId="53003231" w14:textId="77777777" w:rsidR="00444018" w:rsidRDefault="00E75456" w:rsidP="00777EAF">
      <w:pPr>
        <w:spacing w:after="0" w:line="360" w:lineRule="auto"/>
        <w:ind w:firstLine="708"/>
        <w:rPr>
          <w:lang w:eastAsia="pt-BR"/>
        </w:rPr>
      </w:pPr>
      <w:r w:rsidRPr="00B7238F">
        <w:rPr>
          <w:lang w:eastAsia="pt-BR"/>
        </w:rPr>
        <w:t xml:space="preserve">As populações de </w:t>
      </w:r>
      <w:r w:rsidRPr="00B7238F">
        <w:rPr>
          <w:i/>
          <w:lang w:eastAsia="pt-BR"/>
        </w:rPr>
        <w:t>P. pachyrhizi</w:t>
      </w:r>
      <w:r w:rsidRPr="00B7238F">
        <w:rPr>
          <w:lang w:eastAsia="pt-BR"/>
        </w:rPr>
        <w:t xml:space="preserve"> coletadas e avaliadas em locais com altitudes superiores a 800 m, apresentaram valores entre 0 e 25 % de frequência da mutação I86F, com média de 9 %. Cinco amostras de um total de quinze apresentaram valores superiores a média (Tabela 13).</w:t>
      </w:r>
    </w:p>
    <w:p w14:paraId="7A671850" w14:textId="1458D615" w:rsidR="001B32D0" w:rsidRDefault="00E75456" w:rsidP="00777EAF">
      <w:pPr>
        <w:spacing w:after="0" w:line="360" w:lineRule="auto"/>
        <w:ind w:firstLine="708"/>
        <w:rPr>
          <w:lang w:eastAsia="pt-BR"/>
        </w:rPr>
      </w:pPr>
      <w:r w:rsidRPr="00B7238F">
        <w:rPr>
          <w:lang w:eastAsia="pt-BR"/>
        </w:rPr>
        <w:t>Quando as populações foram separadas por regiões, as médias das frequências da mutação I86F foram 14, 9, 19 e 11 % para</w:t>
      </w:r>
      <w:r w:rsidR="002B49B3" w:rsidRPr="00B7238F">
        <w:rPr>
          <w:lang w:eastAsia="pt-BR"/>
        </w:rPr>
        <w:t xml:space="preserve"> </w:t>
      </w:r>
      <w:r w:rsidRPr="00B7238F">
        <w:rPr>
          <w:lang w:eastAsia="pt-BR"/>
        </w:rPr>
        <w:t>Alto vale do Itajaí, planalto</w:t>
      </w:r>
      <w:r w:rsidR="0027557E" w:rsidRPr="00B7238F">
        <w:rPr>
          <w:lang w:eastAsia="pt-BR"/>
        </w:rPr>
        <w:t xml:space="preserve"> catarinense</w:t>
      </w:r>
      <w:r w:rsidRPr="00B7238F">
        <w:rPr>
          <w:lang w:eastAsia="pt-BR"/>
        </w:rPr>
        <w:t>, oeste e extremo oeste, respectivamente (Tabela 14, 15, 16,17).</w:t>
      </w:r>
    </w:p>
    <w:p w14:paraId="2F19A558" w14:textId="05E8DFEA" w:rsidR="002C295B" w:rsidRDefault="002C295B" w:rsidP="00777EAF">
      <w:pPr>
        <w:spacing w:after="0" w:line="360" w:lineRule="auto"/>
        <w:ind w:firstLine="708"/>
        <w:rPr>
          <w:lang w:eastAsia="pt-BR"/>
        </w:rPr>
      </w:pPr>
    </w:p>
    <w:p w14:paraId="3D88E25F" w14:textId="4190B00D" w:rsidR="00753F74" w:rsidRDefault="00753F74" w:rsidP="00753F74">
      <w:pPr>
        <w:pStyle w:val="Legenda"/>
        <w:keepNext/>
        <w:ind w:firstLine="0"/>
      </w:pPr>
      <w:bookmarkStart w:id="278" w:name="_Toc16173050"/>
      <w:r>
        <w:t xml:space="preserve">Tabela </w:t>
      </w:r>
      <w:r w:rsidR="00D00510">
        <w:fldChar w:fldCharType="begin"/>
      </w:r>
      <w:r w:rsidR="00D00510">
        <w:instrText xml:space="preserve"> SEQ Tabela \* ARABIC </w:instrText>
      </w:r>
      <w:r w:rsidR="00D00510">
        <w:fldChar w:fldCharType="separate"/>
      </w:r>
      <w:r w:rsidR="002D15F8">
        <w:rPr>
          <w:noProof/>
        </w:rPr>
        <w:t>14</w:t>
      </w:r>
      <w:r w:rsidR="00D00510">
        <w:rPr>
          <w:noProof/>
        </w:rPr>
        <w:fldChar w:fldCharType="end"/>
      </w:r>
      <w:r>
        <w:t xml:space="preserve">. </w:t>
      </w:r>
      <w:r w:rsidRPr="00243B4A">
        <w:t xml:space="preserve">Frequências da mutação I86F na subunidade C da enzima succinato desidrogenase em populações de </w:t>
      </w:r>
      <w:r w:rsidRPr="004B0A23">
        <w:rPr>
          <w:i/>
        </w:rPr>
        <w:t xml:space="preserve">P. pachyrhizi </w:t>
      </w:r>
      <w:r w:rsidRPr="00243B4A">
        <w:t>coletadas na região do Alto vale do Itajaí. Lages, 2018.</w:t>
      </w:r>
      <w:bookmarkEnd w:id="278"/>
    </w:p>
    <w:tbl>
      <w:tblPr>
        <w:tblW w:w="7760" w:type="dxa"/>
        <w:jc w:val="center"/>
        <w:tblCellMar>
          <w:left w:w="70" w:type="dxa"/>
          <w:right w:w="70" w:type="dxa"/>
        </w:tblCellMar>
        <w:tblLook w:val="04A0" w:firstRow="1" w:lastRow="0" w:firstColumn="1" w:lastColumn="0" w:noHBand="0" w:noVBand="1"/>
      </w:tblPr>
      <w:tblGrid>
        <w:gridCol w:w="1600"/>
        <w:gridCol w:w="3200"/>
        <w:gridCol w:w="1420"/>
        <w:gridCol w:w="1540"/>
      </w:tblGrid>
      <w:tr w:rsidR="002C295B" w:rsidRPr="002C295B" w14:paraId="34850B39" w14:textId="77777777" w:rsidTr="00D74DA1">
        <w:trPr>
          <w:trHeight w:val="300"/>
          <w:jc w:val="center"/>
        </w:trPr>
        <w:tc>
          <w:tcPr>
            <w:tcW w:w="1600" w:type="dxa"/>
            <w:tcBorders>
              <w:top w:val="single" w:sz="4" w:space="0" w:color="auto"/>
              <w:bottom w:val="single" w:sz="4" w:space="0" w:color="auto"/>
            </w:tcBorders>
            <w:shd w:val="clear" w:color="auto" w:fill="FFFFFF" w:themeFill="background1"/>
            <w:noWrap/>
            <w:vAlign w:val="center"/>
          </w:tcPr>
          <w:p w14:paraId="019ECDA8" w14:textId="77777777" w:rsidR="002C295B" w:rsidRPr="002C295B" w:rsidRDefault="002C295B" w:rsidP="002C295B">
            <w:pPr>
              <w:autoSpaceDE/>
              <w:autoSpaceDN/>
              <w:adjustRightInd/>
              <w:spacing w:after="0" w:line="240" w:lineRule="auto"/>
              <w:ind w:firstLine="0"/>
              <w:jc w:val="center"/>
              <w:rPr>
                <w:rFonts w:eastAsia="Times New Roman"/>
                <w:b/>
                <w:bCs/>
                <w:color w:val="000000"/>
                <w:szCs w:val="20"/>
                <w:lang w:eastAsia="pt-BR"/>
              </w:rPr>
            </w:pPr>
            <w:r w:rsidRPr="002C295B">
              <w:rPr>
                <w:rFonts w:eastAsia="Times New Roman"/>
                <w:b/>
                <w:bCs/>
                <w:color w:val="000000"/>
                <w:szCs w:val="20"/>
                <w:lang w:eastAsia="pt-BR"/>
              </w:rPr>
              <w:t>Amostra</w:t>
            </w:r>
          </w:p>
        </w:tc>
        <w:tc>
          <w:tcPr>
            <w:tcW w:w="3200" w:type="dxa"/>
            <w:tcBorders>
              <w:top w:val="single" w:sz="4" w:space="0" w:color="auto"/>
              <w:bottom w:val="single" w:sz="4" w:space="0" w:color="auto"/>
            </w:tcBorders>
            <w:shd w:val="clear" w:color="auto" w:fill="FFFFFF" w:themeFill="background1"/>
            <w:noWrap/>
            <w:vAlign w:val="center"/>
          </w:tcPr>
          <w:p w14:paraId="444460DA" w14:textId="77777777" w:rsidR="002C295B" w:rsidRPr="002C295B" w:rsidRDefault="002C295B" w:rsidP="002C295B">
            <w:pPr>
              <w:autoSpaceDE/>
              <w:autoSpaceDN/>
              <w:adjustRightInd/>
              <w:spacing w:after="0" w:line="240" w:lineRule="auto"/>
              <w:ind w:firstLine="0"/>
              <w:jc w:val="center"/>
              <w:rPr>
                <w:rFonts w:eastAsia="Times New Roman"/>
                <w:b/>
                <w:bCs/>
                <w:color w:val="000000"/>
                <w:szCs w:val="20"/>
                <w:lang w:eastAsia="pt-BR"/>
              </w:rPr>
            </w:pPr>
            <w:r w:rsidRPr="002C295B">
              <w:rPr>
                <w:rFonts w:eastAsia="Times New Roman"/>
                <w:b/>
                <w:bCs/>
                <w:color w:val="000000"/>
                <w:szCs w:val="20"/>
                <w:lang w:eastAsia="pt-BR"/>
              </w:rPr>
              <w:t>Cidade</w:t>
            </w:r>
          </w:p>
        </w:tc>
        <w:tc>
          <w:tcPr>
            <w:tcW w:w="1420" w:type="dxa"/>
            <w:tcBorders>
              <w:top w:val="single" w:sz="4" w:space="0" w:color="auto"/>
              <w:bottom w:val="single" w:sz="4" w:space="0" w:color="auto"/>
            </w:tcBorders>
            <w:shd w:val="clear" w:color="auto" w:fill="FFFFFF" w:themeFill="background1"/>
            <w:noWrap/>
            <w:vAlign w:val="center"/>
          </w:tcPr>
          <w:p w14:paraId="0E44553B" w14:textId="77777777" w:rsidR="002C295B" w:rsidRPr="002C295B" w:rsidRDefault="002C295B" w:rsidP="002C295B">
            <w:pPr>
              <w:autoSpaceDE/>
              <w:autoSpaceDN/>
              <w:adjustRightInd/>
              <w:spacing w:after="0" w:line="240" w:lineRule="auto"/>
              <w:ind w:firstLine="0"/>
              <w:jc w:val="center"/>
              <w:rPr>
                <w:rFonts w:eastAsia="Times New Roman"/>
                <w:b/>
                <w:bCs/>
                <w:color w:val="000000"/>
                <w:szCs w:val="20"/>
                <w:lang w:eastAsia="pt-BR"/>
              </w:rPr>
            </w:pPr>
            <w:r w:rsidRPr="002C295B">
              <w:rPr>
                <w:rFonts w:eastAsia="Times New Roman"/>
                <w:b/>
                <w:bCs/>
                <w:color w:val="000000"/>
                <w:szCs w:val="20"/>
                <w:lang w:eastAsia="pt-BR"/>
              </w:rPr>
              <w:t>Altitude (m)</w:t>
            </w:r>
          </w:p>
        </w:tc>
        <w:tc>
          <w:tcPr>
            <w:tcW w:w="1540" w:type="dxa"/>
            <w:tcBorders>
              <w:top w:val="single" w:sz="4" w:space="0" w:color="auto"/>
              <w:bottom w:val="single" w:sz="4" w:space="0" w:color="auto"/>
            </w:tcBorders>
            <w:shd w:val="clear" w:color="auto" w:fill="FFFFFF" w:themeFill="background1"/>
            <w:noWrap/>
            <w:vAlign w:val="center"/>
          </w:tcPr>
          <w:p w14:paraId="6E8662B1" w14:textId="77777777" w:rsidR="002C295B" w:rsidRPr="002C295B" w:rsidRDefault="002C295B" w:rsidP="002C295B">
            <w:pPr>
              <w:autoSpaceDE/>
              <w:autoSpaceDN/>
              <w:adjustRightInd/>
              <w:spacing w:after="0" w:line="240" w:lineRule="auto"/>
              <w:ind w:firstLine="0"/>
              <w:jc w:val="center"/>
              <w:rPr>
                <w:rFonts w:eastAsia="Times New Roman"/>
                <w:b/>
                <w:bCs/>
                <w:color w:val="000000"/>
                <w:szCs w:val="20"/>
                <w:lang w:eastAsia="pt-BR"/>
              </w:rPr>
            </w:pPr>
            <w:r w:rsidRPr="002C295B">
              <w:rPr>
                <w:rFonts w:eastAsia="Times New Roman"/>
                <w:b/>
                <w:bCs/>
                <w:color w:val="000000"/>
                <w:szCs w:val="20"/>
                <w:lang w:eastAsia="pt-BR"/>
              </w:rPr>
              <w:t>I86F (%)</w:t>
            </w:r>
          </w:p>
        </w:tc>
      </w:tr>
      <w:tr w:rsidR="002C295B" w:rsidRPr="002C295B" w14:paraId="2AE33A4E" w14:textId="77777777" w:rsidTr="00D74DA1">
        <w:trPr>
          <w:trHeight w:val="300"/>
          <w:jc w:val="center"/>
        </w:trPr>
        <w:tc>
          <w:tcPr>
            <w:tcW w:w="1600" w:type="dxa"/>
            <w:tcBorders>
              <w:top w:val="single" w:sz="4" w:space="0" w:color="auto"/>
            </w:tcBorders>
            <w:shd w:val="clear" w:color="auto" w:fill="FFFFFF" w:themeFill="background1"/>
            <w:noWrap/>
            <w:vAlign w:val="center"/>
            <w:hideMark/>
          </w:tcPr>
          <w:p w14:paraId="6F0C6B56"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4</w:t>
            </w:r>
          </w:p>
        </w:tc>
        <w:tc>
          <w:tcPr>
            <w:tcW w:w="3200" w:type="dxa"/>
            <w:tcBorders>
              <w:top w:val="single" w:sz="4" w:space="0" w:color="auto"/>
            </w:tcBorders>
            <w:shd w:val="clear" w:color="auto" w:fill="FFFFFF" w:themeFill="background1"/>
            <w:noWrap/>
            <w:vAlign w:val="center"/>
            <w:hideMark/>
          </w:tcPr>
          <w:p w14:paraId="4A7EB615"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Ituporanga</w:t>
            </w:r>
          </w:p>
        </w:tc>
        <w:tc>
          <w:tcPr>
            <w:tcW w:w="1420" w:type="dxa"/>
            <w:tcBorders>
              <w:top w:val="single" w:sz="4" w:space="0" w:color="auto"/>
            </w:tcBorders>
            <w:shd w:val="clear" w:color="auto" w:fill="FFFFFF" w:themeFill="background1"/>
            <w:noWrap/>
            <w:vAlign w:val="center"/>
            <w:hideMark/>
          </w:tcPr>
          <w:p w14:paraId="7A1C1692"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468</w:t>
            </w:r>
          </w:p>
        </w:tc>
        <w:tc>
          <w:tcPr>
            <w:tcW w:w="1540" w:type="dxa"/>
            <w:tcBorders>
              <w:top w:val="single" w:sz="4" w:space="0" w:color="auto"/>
            </w:tcBorders>
            <w:shd w:val="clear" w:color="auto" w:fill="FFFFFF" w:themeFill="background1"/>
            <w:noWrap/>
            <w:vAlign w:val="center"/>
            <w:hideMark/>
          </w:tcPr>
          <w:p w14:paraId="229AE22A"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14%</w:t>
            </w:r>
          </w:p>
        </w:tc>
      </w:tr>
      <w:tr w:rsidR="002C295B" w:rsidRPr="002C295B" w14:paraId="16810124" w14:textId="77777777" w:rsidTr="00D74DA1">
        <w:trPr>
          <w:trHeight w:val="300"/>
          <w:jc w:val="center"/>
        </w:trPr>
        <w:tc>
          <w:tcPr>
            <w:tcW w:w="1600" w:type="dxa"/>
            <w:shd w:val="clear" w:color="auto" w:fill="FFFFFF" w:themeFill="background1"/>
            <w:noWrap/>
            <w:vAlign w:val="center"/>
            <w:hideMark/>
          </w:tcPr>
          <w:p w14:paraId="6A407C07"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10</w:t>
            </w:r>
          </w:p>
        </w:tc>
        <w:tc>
          <w:tcPr>
            <w:tcW w:w="3200" w:type="dxa"/>
            <w:shd w:val="clear" w:color="auto" w:fill="FFFFFF" w:themeFill="background1"/>
            <w:noWrap/>
            <w:vAlign w:val="center"/>
            <w:hideMark/>
          </w:tcPr>
          <w:p w14:paraId="46E31380"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Atalanta</w:t>
            </w:r>
          </w:p>
        </w:tc>
        <w:tc>
          <w:tcPr>
            <w:tcW w:w="1420" w:type="dxa"/>
            <w:shd w:val="clear" w:color="auto" w:fill="FFFFFF" w:themeFill="background1"/>
            <w:noWrap/>
            <w:vAlign w:val="center"/>
            <w:hideMark/>
          </w:tcPr>
          <w:p w14:paraId="106FF21D"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533</w:t>
            </w:r>
          </w:p>
        </w:tc>
        <w:tc>
          <w:tcPr>
            <w:tcW w:w="1540" w:type="dxa"/>
            <w:shd w:val="clear" w:color="auto" w:fill="FFFFFF" w:themeFill="background1"/>
            <w:noWrap/>
            <w:vAlign w:val="center"/>
            <w:hideMark/>
          </w:tcPr>
          <w:p w14:paraId="31A8097E"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25%</w:t>
            </w:r>
          </w:p>
        </w:tc>
      </w:tr>
      <w:tr w:rsidR="002C295B" w:rsidRPr="002C295B" w14:paraId="31BEA6B3" w14:textId="77777777" w:rsidTr="00D74DA1">
        <w:trPr>
          <w:trHeight w:val="300"/>
          <w:jc w:val="center"/>
        </w:trPr>
        <w:tc>
          <w:tcPr>
            <w:tcW w:w="1600" w:type="dxa"/>
            <w:shd w:val="clear" w:color="auto" w:fill="FFFFFF" w:themeFill="background1"/>
            <w:noWrap/>
            <w:vAlign w:val="center"/>
            <w:hideMark/>
          </w:tcPr>
          <w:p w14:paraId="6E1577CD"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13</w:t>
            </w:r>
          </w:p>
        </w:tc>
        <w:tc>
          <w:tcPr>
            <w:tcW w:w="3200" w:type="dxa"/>
            <w:shd w:val="clear" w:color="auto" w:fill="FFFFFF" w:themeFill="background1"/>
            <w:noWrap/>
            <w:vAlign w:val="center"/>
            <w:hideMark/>
          </w:tcPr>
          <w:p w14:paraId="48A1D661"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Ituporanga</w:t>
            </w:r>
          </w:p>
        </w:tc>
        <w:tc>
          <w:tcPr>
            <w:tcW w:w="1420" w:type="dxa"/>
            <w:shd w:val="clear" w:color="auto" w:fill="FFFFFF" w:themeFill="background1"/>
            <w:noWrap/>
            <w:vAlign w:val="center"/>
            <w:hideMark/>
          </w:tcPr>
          <w:p w14:paraId="03AA1817"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565</w:t>
            </w:r>
          </w:p>
        </w:tc>
        <w:tc>
          <w:tcPr>
            <w:tcW w:w="1540" w:type="dxa"/>
            <w:shd w:val="clear" w:color="auto" w:fill="FFFFFF" w:themeFill="background1"/>
            <w:noWrap/>
            <w:vAlign w:val="center"/>
            <w:hideMark/>
          </w:tcPr>
          <w:p w14:paraId="2F6ADD75"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15%</w:t>
            </w:r>
          </w:p>
        </w:tc>
      </w:tr>
      <w:tr w:rsidR="002C295B" w:rsidRPr="002C295B" w14:paraId="2407822B" w14:textId="77777777" w:rsidTr="00D74DA1">
        <w:trPr>
          <w:trHeight w:val="300"/>
          <w:jc w:val="center"/>
        </w:trPr>
        <w:tc>
          <w:tcPr>
            <w:tcW w:w="1600" w:type="dxa"/>
            <w:tcBorders>
              <w:bottom w:val="single" w:sz="4" w:space="0" w:color="auto"/>
            </w:tcBorders>
            <w:shd w:val="clear" w:color="auto" w:fill="FFFFFF" w:themeFill="background1"/>
            <w:noWrap/>
            <w:vAlign w:val="center"/>
            <w:hideMark/>
          </w:tcPr>
          <w:p w14:paraId="7A0DE8A8"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38</w:t>
            </w:r>
          </w:p>
        </w:tc>
        <w:tc>
          <w:tcPr>
            <w:tcW w:w="3200" w:type="dxa"/>
            <w:tcBorders>
              <w:bottom w:val="single" w:sz="4" w:space="0" w:color="auto"/>
            </w:tcBorders>
            <w:shd w:val="clear" w:color="auto" w:fill="FFFFFF" w:themeFill="background1"/>
            <w:noWrap/>
            <w:vAlign w:val="center"/>
            <w:hideMark/>
          </w:tcPr>
          <w:p w14:paraId="02A367C0"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Imbúia</w:t>
            </w:r>
          </w:p>
        </w:tc>
        <w:tc>
          <w:tcPr>
            <w:tcW w:w="1420" w:type="dxa"/>
            <w:tcBorders>
              <w:bottom w:val="single" w:sz="4" w:space="0" w:color="auto"/>
            </w:tcBorders>
            <w:shd w:val="clear" w:color="auto" w:fill="FFFFFF" w:themeFill="background1"/>
            <w:noWrap/>
            <w:vAlign w:val="center"/>
            <w:hideMark/>
          </w:tcPr>
          <w:p w14:paraId="51CFE7D2"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802</w:t>
            </w:r>
          </w:p>
        </w:tc>
        <w:tc>
          <w:tcPr>
            <w:tcW w:w="1540" w:type="dxa"/>
            <w:tcBorders>
              <w:bottom w:val="single" w:sz="4" w:space="0" w:color="auto"/>
            </w:tcBorders>
            <w:shd w:val="clear" w:color="auto" w:fill="FFFFFF" w:themeFill="background1"/>
            <w:noWrap/>
            <w:vAlign w:val="center"/>
            <w:hideMark/>
          </w:tcPr>
          <w:p w14:paraId="2FFD508A" w14:textId="77777777" w:rsidR="002C295B" w:rsidRPr="002C295B" w:rsidRDefault="002C295B" w:rsidP="002C295B">
            <w:pPr>
              <w:autoSpaceDE/>
              <w:autoSpaceDN/>
              <w:adjustRightInd/>
              <w:spacing w:after="0" w:line="240" w:lineRule="auto"/>
              <w:ind w:firstLine="0"/>
              <w:jc w:val="center"/>
              <w:rPr>
                <w:rFonts w:eastAsia="Times New Roman"/>
                <w:color w:val="000000"/>
                <w:sz w:val="20"/>
                <w:szCs w:val="20"/>
                <w:lang w:eastAsia="pt-BR"/>
              </w:rPr>
            </w:pPr>
            <w:r w:rsidRPr="002C295B">
              <w:rPr>
                <w:rFonts w:eastAsia="Times New Roman"/>
                <w:color w:val="000000"/>
                <w:sz w:val="20"/>
                <w:szCs w:val="20"/>
                <w:lang w:eastAsia="pt-BR"/>
              </w:rPr>
              <w:t>1%</w:t>
            </w:r>
          </w:p>
        </w:tc>
      </w:tr>
      <w:tr w:rsidR="002C295B" w:rsidRPr="002C295B" w14:paraId="03FE74C1" w14:textId="77777777" w:rsidTr="00D74DA1">
        <w:trPr>
          <w:trHeight w:val="300"/>
          <w:jc w:val="center"/>
        </w:trPr>
        <w:tc>
          <w:tcPr>
            <w:tcW w:w="1600" w:type="dxa"/>
            <w:tcBorders>
              <w:top w:val="single" w:sz="4" w:space="0" w:color="auto"/>
              <w:bottom w:val="single" w:sz="4" w:space="0" w:color="auto"/>
            </w:tcBorders>
            <w:shd w:val="clear" w:color="auto" w:fill="FFFFFF" w:themeFill="background1"/>
            <w:noWrap/>
            <w:vAlign w:val="center"/>
            <w:hideMark/>
          </w:tcPr>
          <w:p w14:paraId="4F1982C3" w14:textId="77777777" w:rsidR="002C295B" w:rsidRPr="002C295B" w:rsidRDefault="002C295B" w:rsidP="002C295B">
            <w:pPr>
              <w:autoSpaceDE/>
              <w:autoSpaceDN/>
              <w:adjustRightInd/>
              <w:spacing w:after="0" w:line="240" w:lineRule="auto"/>
              <w:ind w:firstLine="0"/>
              <w:jc w:val="center"/>
              <w:rPr>
                <w:rFonts w:eastAsia="Times New Roman"/>
                <w:b/>
                <w:bCs/>
                <w:color w:val="000000"/>
                <w:szCs w:val="20"/>
                <w:lang w:eastAsia="pt-BR"/>
              </w:rPr>
            </w:pPr>
            <w:r w:rsidRPr="002C295B">
              <w:rPr>
                <w:rFonts w:eastAsia="Times New Roman"/>
                <w:b/>
                <w:bCs/>
                <w:color w:val="000000"/>
                <w:szCs w:val="20"/>
                <w:lang w:eastAsia="pt-BR"/>
              </w:rPr>
              <w:t>Média</w:t>
            </w:r>
          </w:p>
        </w:tc>
        <w:tc>
          <w:tcPr>
            <w:tcW w:w="3200" w:type="dxa"/>
            <w:tcBorders>
              <w:top w:val="single" w:sz="4" w:space="0" w:color="auto"/>
              <w:bottom w:val="single" w:sz="4" w:space="0" w:color="auto"/>
            </w:tcBorders>
            <w:shd w:val="clear" w:color="auto" w:fill="FFFFFF" w:themeFill="background1"/>
            <w:noWrap/>
            <w:vAlign w:val="center"/>
            <w:hideMark/>
          </w:tcPr>
          <w:p w14:paraId="20BA5632" w14:textId="77777777" w:rsidR="002C295B" w:rsidRPr="002C295B" w:rsidRDefault="002C295B" w:rsidP="002C295B">
            <w:pPr>
              <w:autoSpaceDE/>
              <w:autoSpaceDN/>
              <w:adjustRightInd/>
              <w:spacing w:after="0" w:line="240" w:lineRule="auto"/>
              <w:ind w:firstLine="0"/>
              <w:jc w:val="center"/>
              <w:rPr>
                <w:rFonts w:eastAsia="Times New Roman"/>
                <w:b/>
                <w:bCs/>
                <w:color w:val="000000"/>
                <w:szCs w:val="20"/>
                <w:lang w:eastAsia="pt-BR"/>
              </w:rPr>
            </w:pPr>
            <w:r w:rsidRPr="002C295B">
              <w:rPr>
                <w:rFonts w:eastAsia="Times New Roman"/>
                <w:b/>
                <w:bCs/>
                <w:color w:val="000000"/>
                <w:szCs w:val="20"/>
                <w:lang w:eastAsia="pt-BR"/>
              </w:rPr>
              <w:t>Região Alto Vale Do Itajaí</w:t>
            </w:r>
          </w:p>
        </w:tc>
        <w:tc>
          <w:tcPr>
            <w:tcW w:w="1420" w:type="dxa"/>
            <w:tcBorders>
              <w:top w:val="single" w:sz="4" w:space="0" w:color="auto"/>
              <w:bottom w:val="single" w:sz="4" w:space="0" w:color="auto"/>
            </w:tcBorders>
            <w:shd w:val="clear" w:color="auto" w:fill="FFFFFF" w:themeFill="background1"/>
            <w:noWrap/>
            <w:vAlign w:val="center"/>
            <w:hideMark/>
          </w:tcPr>
          <w:p w14:paraId="27899076" w14:textId="77777777" w:rsidR="002C295B" w:rsidRPr="002C295B" w:rsidRDefault="002C295B" w:rsidP="002C295B">
            <w:pPr>
              <w:autoSpaceDE/>
              <w:autoSpaceDN/>
              <w:adjustRightInd/>
              <w:spacing w:after="0" w:line="240" w:lineRule="auto"/>
              <w:ind w:firstLine="0"/>
              <w:jc w:val="center"/>
              <w:rPr>
                <w:rFonts w:eastAsia="Times New Roman"/>
                <w:color w:val="000000"/>
                <w:szCs w:val="20"/>
                <w:lang w:eastAsia="pt-BR"/>
              </w:rPr>
            </w:pPr>
          </w:p>
        </w:tc>
        <w:tc>
          <w:tcPr>
            <w:tcW w:w="1540" w:type="dxa"/>
            <w:tcBorders>
              <w:top w:val="single" w:sz="4" w:space="0" w:color="auto"/>
              <w:bottom w:val="single" w:sz="4" w:space="0" w:color="auto"/>
            </w:tcBorders>
            <w:shd w:val="clear" w:color="auto" w:fill="FFFFFF" w:themeFill="background1"/>
            <w:noWrap/>
            <w:vAlign w:val="center"/>
            <w:hideMark/>
          </w:tcPr>
          <w:p w14:paraId="6377BF9A" w14:textId="77777777" w:rsidR="002C295B" w:rsidRPr="002C295B" w:rsidRDefault="002C295B" w:rsidP="002C295B">
            <w:pPr>
              <w:autoSpaceDE/>
              <w:autoSpaceDN/>
              <w:adjustRightInd/>
              <w:spacing w:after="0" w:line="240" w:lineRule="auto"/>
              <w:ind w:firstLine="0"/>
              <w:jc w:val="center"/>
              <w:rPr>
                <w:rFonts w:eastAsia="Times New Roman"/>
                <w:b/>
                <w:bCs/>
                <w:color w:val="000000"/>
                <w:szCs w:val="20"/>
                <w:lang w:eastAsia="pt-BR"/>
              </w:rPr>
            </w:pPr>
            <w:r w:rsidRPr="002C295B">
              <w:rPr>
                <w:rFonts w:eastAsia="Times New Roman"/>
                <w:b/>
                <w:bCs/>
                <w:color w:val="000000"/>
                <w:szCs w:val="20"/>
                <w:lang w:eastAsia="pt-BR"/>
              </w:rPr>
              <w:t>14%</w:t>
            </w:r>
          </w:p>
        </w:tc>
      </w:tr>
    </w:tbl>
    <w:p w14:paraId="11DE5C11" w14:textId="510909FA" w:rsidR="00753F74" w:rsidRDefault="00753F74" w:rsidP="00777EAF">
      <w:pPr>
        <w:spacing w:after="0" w:line="360" w:lineRule="auto"/>
        <w:ind w:firstLine="0"/>
        <w:rPr>
          <w:lang w:eastAsia="pt-BR"/>
        </w:rPr>
      </w:pPr>
    </w:p>
    <w:p w14:paraId="72EA9CFD" w14:textId="1DC5FB99" w:rsidR="00DC16AB" w:rsidRDefault="00DC16AB" w:rsidP="00DC16AB">
      <w:pPr>
        <w:pStyle w:val="Legenda"/>
        <w:keepNext/>
        <w:ind w:firstLine="0"/>
      </w:pPr>
      <w:bookmarkStart w:id="279" w:name="_Toc16173051"/>
      <w:r>
        <w:t xml:space="preserve">Tabela </w:t>
      </w:r>
      <w:r w:rsidR="00D00510">
        <w:fldChar w:fldCharType="begin"/>
      </w:r>
      <w:r w:rsidR="00D00510">
        <w:instrText xml:space="preserve"> SEQ Tabela \* ARABIC </w:instrText>
      </w:r>
      <w:r w:rsidR="00D00510">
        <w:fldChar w:fldCharType="separate"/>
      </w:r>
      <w:r w:rsidR="002D15F8">
        <w:rPr>
          <w:noProof/>
        </w:rPr>
        <w:t>15</w:t>
      </w:r>
      <w:r w:rsidR="00D00510">
        <w:rPr>
          <w:noProof/>
        </w:rPr>
        <w:fldChar w:fldCharType="end"/>
      </w:r>
      <w:r>
        <w:t xml:space="preserve">. </w:t>
      </w:r>
      <w:r w:rsidRPr="00BD6EAD">
        <w:t xml:space="preserve">Frequências da mutação I86F na subunidade C da enzima succinato desidrogenase em populações de </w:t>
      </w:r>
      <w:r w:rsidRPr="00DC16AB">
        <w:rPr>
          <w:i/>
        </w:rPr>
        <w:t>P. pachyrhizi</w:t>
      </w:r>
      <w:r w:rsidRPr="00BD6EAD">
        <w:t xml:space="preserve"> coletadas na região do planalto catarinense. Lages, 2018.</w:t>
      </w:r>
      <w:bookmarkEnd w:id="279"/>
    </w:p>
    <w:tbl>
      <w:tblPr>
        <w:tblW w:w="7760" w:type="dxa"/>
        <w:jc w:val="center"/>
        <w:tblCellMar>
          <w:left w:w="70" w:type="dxa"/>
          <w:right w:w="70" w:type="dxa"/>
        </w:tblCellMar>
        <w:tblLook w:val="04A0" w:firstRow="1" w:lastRow="0" w:firstColumn="1" w:lastColumn="0" w:noHBand="0" w:noVBand="1"/>
      </w:tblPr>
      <w:tblGrid>
        <w:gridCol w:w="1418"/>
        <w:gridCol w:w="2835"/>
        <w:gridCol w:w="1967"/>
        <w:gridCol w:w="1540"/>
      </w:tblGrid>
      <w:tr w:rsidR="006542BB" w:rsidRPr="006542BB" w14:paraId="3B217670" w14:textId="77777777" w:rsidTr="00D74DA1">
        <w:trPr>
          <w:trHeight w:val="300"/>
          <w:jc w:val="center"/>
        </w:trPr>
        <w:tc>
          <w:tcPr>
            <w:tcW w:w="1418" w:type="dxa"/>
            <w:tcBorders>
              <w:top w:val="single" w:sz="4" w:space="0" w:color="auto"/>
              <w:bottom w:val="single" w:sz="4" w:space="0" w:color="auto"/>
            </w:tcBorders>
            <w:shd w:val="clear" w:color="auto" w:fill="FFFFFF" w:themeFill="background1"/>
            <w:noWrap/>
            <w:vAlign w:val="center"/>
          </w:tcPr>
          <w:p w14:paraId="67AB46B6" w14:textId="77777777" w:rsidR="006542BB" w:rsidRPr="006542BB" w:rsidRDefault="006542BB" w:rsidP="006542BB">
            <w:pPr>
              <w:autoSpaceDE/>
              <w:autoSpaceDN/>
              <w:adjustRightInd/>
              <w:spacing w:after="0" w:line="240" w:lineRule="auto"/>
              <w:ind w:firstLine="0"/>
              <w:jc w:val="center"/>
              <w:rPr>
                <w:rFonts w:eastAsia="Times New Roman"/>
                <w:b/>
                <w:bCs/>
                <w:color w:val="000000"/>
                <w:szCs w:val="20"/>
                <w:lang w:eastAsia="pt-BR"/>
              </w:rPr>
            </w:pPr>
            <w:r w:rsidRPr="006542BB">
              <w:rPr>
                <w:rFonts w:eastAsia="Times New Roman"/>
                <w:b/>
                <w:bCs/>
                <w:color w:val="000000"/>
                <w:szCs w:val="20"/>
                <w:lang w:eastAsia="pt-BR"/>
              </w:rPr>
              <w:t>Amostra</w:t>
            </w:r>
          </w:p>
        </w:tc>
        <w:tc>
          <w:tcPr>
            <w:tcW w:w="2835" w:type="dxa"/>
            <w:tcBorders>
              <w:top w:val="single" w:sz="4" w:space="0" w:color="auto"/>
              <w:bottom w:val="single" w:sz="4" w:space="0" w:color="auto"/>
            </w:tcBorders>
            <w:shd w:val="clear" w:color="auto" w:fill="FFFFFF" w:themeFill="background1"/>
            <w:noWrap/>
            <w:vAlign w:val="center"/>
          </w:tcPr>
          <w:p w14:paraId="30C4AA6E" w14:textId="77777777" w:rsidR="006542BB" w:rsidRPr="006542BB" w:rsidRDefault="006542BB" w:rsidP="006542BB">
            <w:pPr>
              <w:autoSpaceDE/>
              <w:autoSpaceDN/>
              <w:adjustRightInd/>
              <w:spacing w:after="0" w:line="240" w:lineRule="auto"/>
              <w:ind w:firstLine="0"/>
              <w:jc w:val="center"/>
              <w:rPr>
                <w:rFonts w:eastAsia="Times New Roman"/>
                <w:b/>
                <w:bCs/>
                <w:color w:val="000000"/>
                <w:szCs w:val="20"/>
                <w:lang w:eastAsia="pt-BR"/>
              </w:rPr>
            </w:pPr>
            <w:r w:rsidRPr="006542BB">
              <w:rPr>
                <w:rFonts w:eastAsia="Times New Roman"/>
                <w:b/>
                <w:bCs/>
                <w:color w:val="000000"/>
                <w:szCs w:val="20"/>
                <w:lang w:eastAsia="pt-BR"/>
              </w:rPr>
              <w:t>Cidade</w:t>
            </w:r>
          </w:p>
        </w:tc>
        <w:tc>
          <w:tcPr>
            <w:tcW w:w="1967" w:type="dxa"/>
            <w:tcBorders>
              <w:top w:val="single" w:sz="4" w:space="0" w:color="auto"/>
              <w:bottom w:val="single" w:sz="4" w:space="0" w:color="auto"/>
            </w:tcBorders>
            <w:shd w:val="clear" w:color="auto" w:fill="FFFFFF" w:themeFill="background1"/>
            <w:noWrap/>
            <w:vAlign w:val="center"/>
          </w:tcPr>
          <w:p w14:paraId="03CB1089" w14:textId="77777777" w:rsidR="006542BB" w:rsidRPr="006542BB" w:rsidRDefault="006542BB" w:rsidP="006542BB">
            <w:pPr>
              <w:autoSpaceDE/>
              <w:autoSpaceDN/>
              <w:adjustRightInd/>
              <w:spacing w:after="0" w:line="240" w:lineRule="auto"/>
              <w:ind w:firstLine="0"/>
              <w:jc w:val="center"/>
              <w:rPr>
                <w:rFonts w:eastAsia="Times New Roman"/>
                <w:b/>
                <w:bCs/>
                <w:color w:val="000000"/>
                <w:szCs w:val="20"/>
                <w:lang w:eastAsia="pt-BR"/>
              </w:rPr>
            </w:pPr>
            <w:r w:rsidRPr="006542BB">
              <w:rPr>
                <w:rFonts w:eastAsia="Times New Roman"/>
                <w:b/>
                <w:bCs/>
                <w:color w:val="000000"/>
                <w:szCs w:val="20"/>
                <w:lang w:eastAsia="pt-BR"/>
              </w:rPr>
              <w:t>Altitude (m)</w:t>
            </w:r>
          </w:p>
        </w:tc>
        <w:tc>
          <w:tcPr>
            <w:tcW w:w="1540" w:type="dxa"/>
            <w:tcBorders>
              <w:top w:val="single" w:sz="4" w:space="0" w:color="auto"/>
              <w:bottom w:val="single" w:sz="4" w:space="0" w:color="auto"/>
            </w:tcBorders>
            <w:shd w:val="clear" w:color="auto" w:fill="FFFFFF" w:themeFill="background1"/>
            <w:noWrap/>
            <w:vAlign w:val="center"/>
          </w:tcPr>
          <w:p w14:paraId="204611B1" w14:textId="77777777" w:rsidR="006542BB" w:rsidRPr="006542BB" w:rsidRDefault="006542BB" w:rsidP="006542BB">
            <w:pPr>
              <w:autoSpaceDE/>
              <w:autoSpaceDN/>
              <w:adjustRightInd/>
              <w:spacing w:after="0" w:line="240" w:lineRule="auto"/>
              <w:ind w:firstLine="0"/>
              <w:jc w:val="center"/>
              <w:rPr>
                <w:rFonts w:eastAsia="Times New Roman"/>
                <w:b/>
                <w:bCs/>
                <w:color w:val="000000"/>
                <w:szCs w:val="20"/>
                <w:lang w:eastAsia="pt-BR"/>
              </w:rPr>
            </w:pPr>
            <w:r w:rsidRPr="006542BB">
              <w:rPr>
                <w:rFonts w:eastAsia="Times New Roman"/>
                <w:b/>
                <w:bCs/>
                <w:color w:val="000000"/>
                <w:szCs w:val="20"/>
                <w:lang w:eastAsia="pt-BR"/>
              </w:rPr>
              <w:t>I86F (%)</w:t>
            </w:r>
          </w:p>
        </w:tc>
      </w:tr>
      <w:tr w:rsidR="006542BB" w:rsidRPr="006542BB" w14:paraId="2080DEAF" w14:textId="77777777" w:rsidTr="00D74DA1">
        <w:trPr>
          <w:trHeight w:val="300"/>
          <w:jc w:val="center"/>
        </w:trPr>
        <w:tc>
          <w:tcPr>
            <w:tcW w:w="1418" w:type="dxa"/>
            <w:tcBorders>
              <w:top w:val="single" w:sz="4" w:space="0" w:color="auto"/>
            </w:tcBorders>
            <w:shd w:val="clear" w:color="auto" w:fill="FFFFFF" w:themeFill="background1"/>
            <w:noWrap/>
            <w:vAlign w:val="center"/>
            <w:hideMark/>
          </w:tcPr>
          <w:p w14:paraId="0DC976F0"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32</w:t>
            </w:r>
          </w:p>
        </w:tc>
        <w:tc>
          <w:tcPr>
            <w:tcW w:w="2835" w:type="dxa"/>
            <w:tcBorders>
              <w:top w:val="single" w:sz="4" w:space="0" w:color="auto"/>
            </w:tcBorders>
            <w:shd w:val="clear" w:color="auto" w:fill="FFFFFF" w:themeFill="background1"/>
            <w:noWrap/>
            <w:vAlign w:val="center"/>
            <w:hideMark/>
          </w:tcPr>
          <w:p w14:paraId="04E49D46"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Capinzal</w:t>
            </w:r>
          </w:p>
        </w:tc>
        <w:tc>
          <w:tcPr>
            <w:tcW w:w="1967" w:type="dxa"/>
            <w:tcBorders>
              <w:top w:val="single" w:sz="4" w:space="0" w:color="auto"/>
            </w:tcBorders>
            <w:shd w:val="clear" w:color="auto" w:fill="FFFFFF" w:themeFill="background1"/>
            <w:noWrap/>
            <w:vAlign w:val="center"/>
            <w:hideMark/>
          </w:tcPr>
          <w:p w14:paraId="51722FDD"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722</w:t>
            </w:r>
          </w:p>
        </w:tc>
        <w:tc>
          <w:tcPr>
            <w:tcW w:w="1540" w:type="dxa"/>
            <w:tcBorders>
              <w:top w:val="single" w:sz="4" w:space="0" w:color="auto"/>
            </w:tcBorders>
            <w:shd w:val="clear" w:color="auto" w:fill="FFFFFF" w:themeFill="background1"/>
            <w:noWrap/>
            <w:vAlign w:val="center"/>
            <w:hideMark/>
          </w:tcPr>
          <w:p w14:paraId="24A31C49"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18%</w:t>
            </w:r>
          </w:p>
        </w:tc>
      </w:tr>
      <w:tr w:rsidR="006542BB" w:rsidRPr="006542BB" w14:paraId="19F901BE" w14:textId="77777777" w:rsidTr="00D74DA1">
        <w:trPr>
          <w:trHeight w:val="300"/>
          <w:jc w:val="center"/>
        </w:trPr>
        <w:tc>
          <w:tcPr>
            <w:tcW w:w="1418" w:type="dxa"/>
            <w:shd w:val="clear" w:color="auto" w:fill="FFFFFF" w:themeFill="background1"/>
            <w:noWrap/>
            <w:vAlign w:val="center"/>
            <w:hideMark/>
          </w:tcPr>
          <w:p w14:paraId="0AEBA1F7"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41</w:t>
            </w:r>
          </w:p>
        </w:tc>
        <w:tc>
          <w:tcPr>
            <w:tcW w:w="2835" w:type="dxa"/>
            <w:shd w:val="clear" w:color="auto" w:fill="FFFFFF" w:themeFill="background1"/>
            <w:noWrap/>
            <w:vAlign w:val="center"/>
            <w:hideMark/>
          </w:tcPr>
          <w:p w14:paraId="0CB131A9"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Campos Novos</w:t>
            </w:r>
          </w:p>
        </w:tc>
        <w:tc>
          <w:tcPr>
            <w:tcW w:w="1967" w:type="dxa"/>
            <w:shd w:val="clear" w:color="auto" w:fill="FFFFFF" w:themeFill="background1"/>
            <w:noWrap/>
            <w:vAlign w:val="center"/>
            <w:hideMark/>
          </w:tcPr>
          <w:p w14:paraId="04CAEB54"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843</w:t>
            </w:r>
          </w:p>
        </w:tc>
        <w:tc>
          <w:tcPr>
            <w:tcW w:w="1540" w:type="dxa"/>
            <w:shd w:val="clear" w:color="auto" w:fill="FFFFFF" w:themeFill="background1"/>
            <w:noWrap/>
            <w:vAlign w:val="center"/>
            <w:hideMark/>
          </w:tcPr>
          <w:p w14:paraId="77B29B34"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24%</w:t>
            </w:r>
          </w:p>
        </w:tc>
      </w:tr>
      <w:tr w:rsidR="006542BB" w:rsidRPr="006542BB" w14:paraId="519AB77A" w14:textId="77777777" w:rsidTr="00D74DA1">
        <w:trPr>
          <w:trHeight w:val="300"/>
          <w:jc w:val="center"/>
        </w:trPr>
        <w:tc>
          <w:tcPr>
            <w:tcW w:w="1418" w:type="dxa"/>
            <w:shd w:val="clear" w:color="auto" w:fill="FFFFFF" w:themeFill="background1"/>
            <w:noWrap/>
            <w:vAlign w:val="center"/>
            <w:hideMark/>
          </w:tcPr>
          <w:p w14:paraId="00C4A693"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44</w:t>
            </w:r>
          </w:p>
        </w:tc>
        <w:tc>
          <w:tcPr>
            <w:tcW w:w="2835" w:type="dxa"/>
            <w:shd w:val="clear" w:color="auto" w:fill="FFFFFF" w:themeFill="background1"/>
            <w:noWrap/>
            <w:vAlign w:val="center"/>
            <w:hideMark/>
          </w:tcPr>
          <w:p w14:paraId="133712FF"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Palmeira</w:t>
            </w:r>
          </w:p>
        </w:tc>
        <w:tc>
          <w:tcPr>
            <w:tcW w:w="1967" w:type="dxa"/>
            <w:shd w:val="clear" w:color="auto" w:fill="FFFFFF" w:themeFill="background1"/>
            <w:noWrap/>
            <w:vAlign w:val="center"/>
            <w:hideMark/>
          </w:tcPr>
          <w:p w14:paraId="42E07FF4"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864</w:t>
            </w:r>
          </w:p>
        </w:tc>
        <w:tc>
          <w:tcPr>
            <w:tcW w:w="1540" w:type="dxa"/>
            <w:shd w:val="clear" w:color="auto" w:fill="FFFFFF" w:themeFill="background1"/>
            <w:noWrap/>
            <w:vAlign w:val="center"/>
            <w:hideMark/>
          </w:tcPr>
          <w:p w14:paraId="39998547"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0%</w:t>
            </w:r>
          </w:p>
        </w:tc>
      </w:tr>
      <w:tr w:rsidR="006542BB" w:rsidRPr="006542BB" w14:paraId="4A1C56C3" w14:textId="77777777" w:rsidTr="00D74DA1">
        <w:trPr>
          <w:trHeight w:val="300"/>
          <w:jc w:val="center"/>
        </w:trPr>
        <w:tc>
          <w:tcPr>
            <w:tcW w:w="1418" w:type="dxa"/>
            <w:shd w:val="clear" w:color="auto" w:fill="FFFFFF" w:themeFill="background1"/>
            <w:noWrap/>
            <w:vAlign w:val="center"/>
            <w:hideMark/>
          </w:tcPr>
          <w:p w14:paraId="377DB67C"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45</w:t>
            </w:r>
          </w:p>
        </w:tc>
        <w:tc>
          <w:tcPr>
            <w:tcW w:w="2835" w:type="dxa"/>
            <w:shd w:val="clear" w:color="auto" w:fill="FFFFFF" w:themeFill="background1"/>
            <w:noWrap/>
            <w:vAlign w:val="center"/>
            <w:hideMark/>
          </w:tcPr>
          <w:p w14:paraId="6CCE93DA"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Lages</w:t>
            </w:r>
          </w:p>
        </w:tc>
        <w:tc>
          <w:tcPr>
            <w:tcW w:w="1967" w:type="dxa"/>
            <w:shd w:val="clear" w:color="auto" w:fill="FFFFFF" w:themeFill="background1"/>
            <w:noWrap/>
            <w:vAlign w:val="center"/>
            <w:hideMark/>
          </w:tcPr>
          <w:p w14:paraId="4C0B061C"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870</w:t>
            </w:r>
          </w:p>
        </w:tc>
        <w:tc>
          <w:tcPr>
            <w:tcW w:w="1540" w:type="dxa"/>
            <w:shd w:val="clear" w:color="auto" w:fill="FFFFFF" w:themeFill="background1"/>
            <w:noWrap/>
            <w:vAlign w:val="center"/>
            <w:hideMark/>
          </w:tcPr>
          <w:p w14:paraId="5DF63A02"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3%</w:t>
            </w:r>
          </w:p>
        </w:tc>
      </w:tr>
      <w:tr w:rsidR="006542BB" w:rsidRPr="006542BB" w14:paraId="6F93027B" w14:textId="77777777" w:rsidTr="00D74DA1">
        <w:trPr>
          <w:trHeight w:val="300"/>
          <w:jc w:val="center"/>
        </w:trPr>
        <w:tc>
          <w:tcPr>
            <w:tcW w:w="1418" w:type="dxa"/>
            <w:shd w:val="clear" w:color="auto" w:fill="FFFFFF" w:themeFill="background1"/>
            <w:noWrap/>
            <w:vAlign w:val="center"/>
            <w:hideMark/>
          </w:tcPr>
          <w:p w14:paraId="3C39503B"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46</w:t>
            </w:r>
          </w:p>
        </w:tc>
        <w:tc>
          <w:tcPr>
            <w:tcW w:w="2835" w:type="dxa"/>
            <w:shd w:val="clear" w:color="auto" w:fill="FFFFFF" w:themeFill="background1"/>
            <w:noWrap/>
            <w:vAlign w:val="center"/>
            <w:hideMark/>
          </w:tcPr>
          <w:p w14:paraId="7DC7B5A8"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Bom Retiro</w:t>
            </w:r>
          </w:p>
        </w:tc>
        <w:tc>
          <w:tcPr>
            <w:tcW w:w="1967" w:type="dxa"/>
            <w:shd w:val="clear" w:color="auto" w:fill="FFFFFF" w:themeFill="background1"/>
            <w:noWrap/>
            <w:vAlign w:val="center"/>
            <w:hideMark/>
          </w:tcPr>
          <w:p w14:paraId="7190E025"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875</w:t>
            </w:r>
          </w:p>
        </w:tc>
        <w:tc>
          <w:tcPr>
            <w:tcW w:w="1540" w:type="dxa"/>
            <w:shd w:val="clear" w:color="auto" w:fill="FFFFFF" w:themeFill="background1"/>
            <w:noWrap/>
            <w:vAlign w:val="center"/>
            <w:hideMark/>
          </w:tcPr>
          <w:p w14:paraId="5DF3DDDB"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w:t>
            </w:r>
          </w:p>
        </w:tc>
      </w:tr>
      <w:tr w:rsidR="006542BB" w:rsidRPr="006542BB" w14:paraId="372F4C4B" w14:textId="77777777" w:rsidTr="00D74DA1">
        <w:trPr>
          <w:trHeight w:val="300"/>
          <w:jc w:val="center"/>
        </w:trPr>
        <w:tc>
          <w:tcPr>
            <w:tcW w:w="1418" w:type="dxa"/>
            <w:shd w:val="clear" w:color="auto" w:fill="FFFFFF" w:themeFill="background1"/>
            <w:noWrap/>
            <w:vAlign w:val="center"/>
            <w:hideMark/>
          </w:tcPr>
          <w:p w14:paraId="75D32669"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48</w:t>
            </w:r>
          </w:p>
        </w:tc>
        <w:tc>
          <w:tcPr>
            <w:tcW w:w="2835" w:type="dxa"/>
            <w:shd w:val="clear" w:color="auto" w:fill="FFFFFF" w:themeFill="background1"/>
            <w:noWrap/>
            <w:vAlign w:val="center"/>
            <w:hideMark/>
          </w:tcPr>
          <w:p w14:paraId="4075828E"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Campos Novos</w:t>
            </w:r>
          </w:p>
        </w:tc>
        <w:tc>
          <w:tcPr>
            <w:tcW w:w="1967" w:type="dxa"/>
            <w:shd w:val="clear" w:color="auto" w:fill="FFFFFF" w:themeFill="background1"/>
            <w:noWrap/>
            <w:vAlign w:val="center"/>
            <w:hideMark/>
          </w:tcPr>
          <w:p w14:paraId="771E5787"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890</w:t>
            </w:r>
          </w:p>
        </w:tc>
        <w:tc>
          <w:tcPr>
            <w:tcW w:w="1540" w:type="dxa"/>
            <w:shd w:val="clear" w:color="auto" w:fill="FFFFFF" w:themeFill="background1"/>
            <w:noWrap/>
            <w:vAlign w:val="center"/>
            <w:hideMark/>
          </w:tcPr>
          <w:p w14:paraId="6210BCFE"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1%</w:t>
            </w:r>
          </w:p>
        </w:tc>
      </w:tr>
      <w:tr w:rsidR="006542BB" w:rsidRPr="006542BB" w14:paraId="7AC1B628" w14:textId="77777777" w:rsidTr="00D74DA1">
        <w:trPr>
          <w:trHeight w:val="300"/>
          <w:jc w:val="center"/>
        </w:trPr>
        <w:tc>
          <w:tcPr>
            <w:tcW w:w="1418" w:type="dxa"/>
            <w:shd w:val="clear" w:color="auto" w:fill="FFFFFF" w:themeFill="background1"/>
            <w:noWrap/>
            <w:vAlign w:val="center"/>
            <w:hideMark/>
          </w:tcPr>
          <w:p w14:paraId="2C8EA1EE"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49</w:t>
            </w:r>
          </w:p>
        </w:tc>
        <w:tc>
          <w:tcPr>
            <w:tcW w:w="2835" w:type="dxa"/>
            <w:shd w:val="clear" w:color="auto" w:fill="FFFFFF" w:themeFill="background1"/>
            <w:noWrap/>
            <w:vAlign w:val="center"/>
            <w:hideMark/>
          </w:tcPr>
          <w:p w14:paraId="76E6E247"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Brunópolis</w:t>
            </w:r>
          </w:p>
        </w:tc>
        <w:tc>
          <w:tcPr>
            <w:tcW w:w="1967" w:type="dxa"/>
            <w:shd w:val="clear" w:color="auto" w:fill="FFFFFF" w:themeFill="background1"/>
            <w:noWrap/>
            <w:vAlign w:val="center"/>
            <w:hideMark/>
          </w:tcPr>
          <w:p w14:paraId="1283AE30"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897</w:t>
            </w:r>
          </w:p>
        </w:tc>
        <w:tc>
          <w:tcPr>
            <w:tcW w:w="1540" w:type="dxa"/>
            <w:shd w:val="clear" w:color="auto" w:fill="FFFFFF" w:themeFill="background1"/>
            <w:noWrap/>
            <w:vAlign w:val="center"/>
            <w:hideMark/>
          </w:tcPr>
          <w:p w14:paraId="60BE2C98"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8%</w:t>
            </w:r>
          </w:p>
        </w:tc>
      </w:tr>
      <w:tr w:rsidR="006542BB" w:rsidRPr="006542BB" w14:paraId="708A8796" w14:textId="77777777" w:rsidTr="00D74DA1">
        <w:trPr>
          <w:trHeight w:val="300"/>
          <w:jc w:val="center"/>
        </w:trPr>
        <w:tc>
          <w:tcPr>
            <w:tcW w:w="1418" w:type="dxa"/>
            <w:shd w:val="clear" w:color="auto" w:fill="FFFFFF" w:themeFill="background1"/>
            <w:noWrap/>
            <w:vAlign w:val="center"/>
            <w:hideMark/>
          </w:tcPr>
          <w:p w14:paraId="74760ECB"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51</w:t>
            </w:r>
          </w:p>
        </w:tc>
        <w:tc>
          <w:tcPr>
            <w:tcW w:w="2835" w:type="dxa"/>
            <w:shd w:val="clear" w:color="auto" w:fill="FFFFFF" w:themeFill="background1"/>
            <w:noWrap/>
            <w:vAlign w:val="center"/>
            <w:hideMark/>
          </w:tcPr>
          <w:p w14:paraId="70228218"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Correia Pinto</w:t>
            </w:r>
          </w:p>
        </w:tc>
        <w:tc>
          <w:tcPr>
            <w:tcW w:w="1967" w:type="dxa"/>
            <w:shd w:val="clear" w:color="auto" w:fill="FFFFFF" w:themeFill="background1"/>
            <w:noWrap/>
            <w:vAlign w:val="center"/>
            <w:hideMark/>
          </w:tcPr>
          <w:p w14:paraId="76E5D8C3"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903</w:t>
            </w:r>
          </w:p>
        </w:tc>
        <w:tc>
          <w:tcPr>
            <w:tcW w:w="1540" w:type="dxa"/>
            <w:shd w:val="clear" w:color="auto" w:fill="FFFFFF" w:themeFill="background1"/>
            <w:noWrap/>
            <w:vAlign w:val="center"/>
            <w:hideMark/>
          </w:tcPr>
          <w:p w14:paraId="6AB9AF64"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0%</w:t>
            </w:r>
          </w:p>
        </w:tc>
      </w:tr>
      <w:tr w:rsidR="006542BB" w:rsidRPr="006542BB" w14:paraId="6B2301D3" w14:textId="77777777" w:rsidTr="00D74DA1">
        <w:trPr>
          <w:trHeight w:val="300"/>
          <w:jc w:val="center"/>
        </w:trPr>
        <w:tc>
          <w:tcPr>
            <w:tcW w:w="1418" w:type="dxa"/>
            <w:shd w:val="clear" w:color="auto" w:fill="FFFFFF" w:themeFill="background1"/>
            <w:noWrap/>
            <w:vAlign w:val="center"/>
            <w:hideMark/>
          </w:tcPr>
          <w:p w14:paraId="0D8073CA"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56</w:t>
            </w:r>
          </w:p>
        </w:tc>
        <w:tc>
          <w:tcPr>
            <w:tcW w:w="2835" w:type="dxa"/>
            <w:shd w:val="clear" w:color="auto" w:fill="FFFFFF" w:themeFill="background1"/>
            <w:noWrap/>
            <w:vAlign w:val="center"/>
            <w:hideMark/>
          </w:tcPr>
          <w:p w14:paraId="13E6CE3F"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Monte Carlo</w:t>
            </w:r>
          </w:p>
        </w:tc>
        <w:tc>
          <w:tcPr>
            <w:tcW w:w="1967" w:type="dxa"/>
            <w:shd w:val="clear" w:color="auto" w:fill="FFFFFF" w:themeFill="background1"/>
            <w:noWrap/>
            <w:vAlign w:val="center"/>
            <w:hideMark/>
          </w:tcPr>
          <w:p w14:paraId="188313C4"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975</w:t>
            </w:r>
          </w:p>
        </w:tc>
        <w:tc>
          <w:tcPr>
            <w:tcW w:w="1540" w:type="dxa"/>
            <w:shd w:val="clear" w:color="auto" w:fill="FFFFFF" w:themeFill="background1"/>
            <w:noWrap/>
            <w:vAlign w:val="center"/>
            <w:hideMark/>
          </w:tcPr>
          <w:p w14:paraId="779A079D"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2%</w:t>
            </w:r>
          </w:p>
        </w:tc>
      </w:tr>
      <w:tr w:rsidR="006542BB" w:rsidRPr="006542BB" w14:paraId="447FB72B" w14:textId="77777777" w:rsidTr="00D74DA1">
        <w:trPr>
          <w:trHeight w:val="300"/>
          <w:jc w:val="center"/>
        </w:trPr>
        <w:tc>
          <w:tcPr>
            <w:tcW w:w="1418" w:type="dxa"/>
            <w:shd w:val="clear" w:color="auto" w:fill="FFFFFF" w:themeFill="background1"/>
            <w:noWrap/>
            <w:vAlign w:val="center"/>
            <w:hideMark/>
          </w:tcPr>
          <w:p w14:paraId="3909FC28"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62</w:t>
            </w:r>
          </w:p>
        </w:tc>
        <w:tc>
          <w:tcPr>
            <w:tcW w:w="2835" w:type="dxa"/>
            <w:shd w:val="clear" w:color="auto" w:fill="FFFFFF" w:themeFill="background1"/>
            <w:noWrap/>
            <w:vAlign w:val="center"/>
            <w:hideMark/>
          </w:tcPr>
          <w:p w14:paraId="4F1B51CA"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Curitibanos</w:t>
            </w:r>
          </w:p>
        </w:tc>
        <w:tc>
          <w:tcPr>
            <w:tcW w:w="1967" w:type="dxa"/>
            <w:shd w:val="clear" w:color="auto" w:fill="FFFFFF" w:themeFill="background1"/>
            <w:noWrap/>
            <w:vAlign w:val="center"/>
            <w:hideMark/>
          </w:tcPr>
          <w:p w14:paraId="661D8241"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1073</w:t>
            </w:r>
          </w:p>
        </w:tc>
        <w:tc>
          <w:tcPr>
            <w:tcW w:w="1540" w:type="dxa"/>
            <w:shd w:val="clear" w:color="auto" w:fill="FFFFFF" w:themeFill="background1"/>
            <w:noWrap/>
            <w:vAlign w:val="center"/>
            <w:hideMark/>
          </w:tcPr>
          <w:p w14:paraId="151AE995"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25%</w:t>
            </w:r>
          </w:p>
        </w:tc>
      </w:tr>
      <w:tr w:rsidR="006542BB" w:rsidRPr="006542BB" w14:paraId="738D21F5" w14:textId="77777777" w:rsidTr="00D74DA1">
        <w:trPr>
          <w:trHeight w:val="300"/>
          <w:jc w:val="center"/>
        </w:trPr>
        <w:tc>
          <w:tcPr>
            <w:tcW w:w="1418" w:type="dxa"/>
            <w:tcBorders>
              <w:bottom w:val="single" w:sz="4" w:space="0" w:color="auto"/>
            </w:tcBorders>
            <w:shd w:val="clear" w:color="auto" w:fill="FFFFFF" w:themeFill="background1"/>
            <w:noWrap/>
            <w:vAlign w:val="center"/>
            <w:hideMark/>
          </w:tcPr>
          <w:p w14:paraId="72A2D5BE"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63</w:t>
            </w:r>
          </w:p>
        </w:tc>
        <w:tc>
          <w:tcPr>
            <w:tcW w:w="2835" w:type="dxa"/>
            <w:tcBorders>
              <w:bottom w:val="single" w:sz="4" w:space="0" w:color="auto"/>
            </w:tcBorders>
            <w:shd w:val="clear" w:color="auto" w:fill="FFFFFF" w:themeFill="background1"/>
            <w:noWrap/>
            <w:vAlign w:val="center"/>
            <w:hideMark/>
          </w:tcPr>
          <w:p w14:paraId="6BEED427"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Água Doce</w:t>
            </w:r>
          </w:p>
        </w:tc>
        <w:tc>
          <w:tcPr>
            <w:tcW w:w="1967" w:type="dxa"/>
            <w:tcBorders>
              <w:bottom w:val="single" w:sz="4" w:space="0" w:color="auto"/>
            </w:tcBorders>
            <w:shd w:val="clear" w:color="auto" w:fill="FFFFFF" w:themeFill="background1"/>
            <w:noWrap/>
            <w:vAlign w:val="center"/>
            <w:hideMark/>
          </w:tcPr>
          <w:p w14:paraId="444DDF5E"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1076</w:t>
            </w:r>
          </w:p>
        </w:tc>
        <w:tc>
          <w:tcPr>
            <w:tcW w:w="1540" w:type="dxa"/>
            <w:tcBorders>
              <w:bottom w:val="single" w:sz="4" w:space="0" w:color="auto"/>
            </w:tcBorders>
            <w:shd w:val="clear" w:color="auto" w:fill="FFFFFF" w:themeFill="background1"/>
            <w:noWrap/>
            <w:vAlign w:val="center"/>
            <w:hideMark/>
          </w:tcPr>
          <w:p w14:paraId="7A7EF515" w14:textId="77777777" w:rsidR="006542BB" w:rsidRPr="006542BB" w:rsidRDefault="006542BB" w:rsidP="006542BB">
            <w:pPr>
              <w:autoSpaceDE/>
              <w:autoSpaceDN/>
              <w:adjustRightInd/>
              <w:spacing w:after="0" w:line="240" w:lineRule="auto"/>
              <w:ind w:firstLine="0"/>
              <w:jc w:val="center"/>
              <w:rPr>
                <w:rFonts w:eastAsia="Times New Roman"/>
                <w:color w:val="000000"/>
                <w:sz w:val="20"/>
                <w:szCs w:val="20"/>
                <w:lang w:eastAsia="pt-BR"/>
              </w:rPr>
            </w:pPr>
            <w:r w:rsidRPr="006542BB">
              <w:rPr>
                <w:rFonts w:eastAsia="Times New Roman"/>
                <w:color w:val="000000"/>
                <w:sz w:val="20"/>
                <w:szCs w:val="20"/>
                <w:lang w:eastAsia="pt-BR"/>
              </w:rPr>
              <w:t>10%</w:t>
            </w:r>
          </w:p>
        </w:tc>
      </w:tr>
      <w:tr w:rsidR="006542BB" w:rsidRPr="006542BB" w14:paraId="27EA5638" w14:textId="77777777" w:rsidTr="00D74DA1">
        <w:trPr>
          <w:trHeight w:val="300"/>
          <w:jc w:val="center"/>
        </w:trPr>
        <w:tc>
          <w:tcPr>
            <w:tcW w:w="1418" w:type="dxa"/>
            <w:tcBorders>
              <w:top w:val="single" w:sz="4" w:space="0" w:color="auto"/>
              <w:bottom w:val="single" w:sz="4" w:space="0" w:color="auto"/>
            </w:tcBorders>
            <w:shd w:val="clear" w:color="auto" w:fill="FFFFFF" w:themeFill="background1"/>
            <w:noWrap/>
            <w:vAlign w:val="center"/>
            <w:hideMark/>
          </w:tcPr>
          <w:p w14:paraId="085CB39C" w14:textId="77777777" w:rsidR="006542BB" w:rsidRPr="006542BB" w:rsidRDefault="006542BB" w:rsidP="006542BB">
            <w:pPr>
              <w:autoSpaceDE/>
              <w:autoSpaceDN/>
              <w:adjustRightInd/>
              <w:spacing w:after="0" w:line="240" w:lineRule="auto"/>
              <w:ind w:firstLine="0"/>
              <w:jc w:val="center"/>
              <w:rPr>
                <w:rFonts w:eastAsia="Times New Roman"/>
                <w:b/>
                <w:bCs/>
                <w:color w:val="000000"/>
                <w:szCs w:val="20"/>
                <w:lang w:eastAsia="pt-BR"/>
              </w:rPr>
            </w:pPr>
            <w:r w:rsidRPr="006542BB">
              <w:rPr>
                <w:rFonts w:eastAsia="Times New Roman"/>
                <w:b/>
                <w:bCs/>
                <w:color w:val="000000"/>
                <w:szCs w:val="20"/>
                <w:lang w:eastAsia="pt-BR"/>
              </w:rPr>
              <w:t>Média</w:t>
            </w:r>
          </w:p>
        </w:tc>
        <w:tc>
          <w:tcPr>
            <w:tcW w:w="2835" w:type="dxa"/>
            <w:tcBorders>
              <w:top w:val="single" w:sz="4" w:space="0" w:color="auto"/>
              <w:bottom w:val="single" w:sz="4" w:space="0" w:color="auto"/>
            </w:tcBorders>
            <w:shd w:val="clear" w:color="auto" w:fill="FFFFFF" w:themeFill="background1"/>
            <w:noWrap/>
            <w:vAlign w:val="center"/>
            <w:hideMark/>
          </w:tcPr>
          <w:p w14:paraId="67632808" w14:textId="77777777" w:rsidR="006542BB" w:rsidRPr="006542BB" w:rsidRDefault="006542BB" w:rsidP="006542BB">
            <w:pPr>
              <w:autoSpaceDE/>
              <w:autoSpaceDN/>
              <w:adjustRightInd/>
              <w:spacing w:after="0" w:line="240" w:lineRule="auto"/>
              <w:ind w:firstLine="0"/>
              <w:jc w:val="center"/>
              <w:rPr>
                <w:rFonts w:eastAsia="Times New Roman"/>
                <w:b/>
                <w:bCs/>
                <w:color w:val="000000"/>
                <w:szCs w:val="20"/>
                <w:lang w:eastAsia="pt-BR"/>
              </w:rPr>
            </w:pPr>
            <w:r w:rsidRPr="006542BB">
              <w:rPr>
                <w:rFonts w:eastAsia="Times New Roman"/>
                <w:b/>
                <w:bCs/>
                <w:color w:val="000000"/>
                <w:szCs w:val="20"/>
                <w:lang w:eastAsia="pt-BR"/>
              </w:rPr>
              <w:t>Região Planalto</w:t>
            </w:r>
          </w:p>
        </w:tc>
        <w:tc>
          <w:tcPr>
            <w:tcW w:w="1967" w:type="dxa"/>
            <w:tcBorders>
              <w:top w:val="single" w:sz="4" w:space="0" w:color="auto"/>
              <w:bottom w:val="single" w:sz="4" w:space="0" w:color="auto"/>
            </w:tcBorders>
            <w:shd w:val="clear" w:color="auto" w:fill="FFFFFF" w:themeFill="background1"/>
            <w:noWrap/>
            <w:vAlign w:val="center"/>
            <w:hideMark/>
          </w:tcPr>
          <w:p w14:paraId="6203BC3B" w14:textId="77777777" w:rsidR="006542BB" w:rsidRPr="006542BB" w:rsidRDefault="006542BB" w:rsidP="006542BB">
            <w:pPr>
              <w:autoSpaceDE/>
              <w:autoSpaceDN/>
              <w:adjustRightInd/>
              <w:spacing w:after="0" w:line="240" w:lineRule="auto"/>
              <w:ind w:firstLine="0"/>
              <w:jc w:val="center"/>
              <w:rPr>
                <w:rFonts w:eastAsia="Times New Roman"/>
                <w:color w:val="000000"/>
                <w:szCs w:val="20"/>
                <w:lang w:eastAsia="pt-BR"/>
              </w:rPr>
            </w:pPr>
          </w:p>
        </w:tc>
        <w:tc>
          <w:tcPr>
            <w:tcW w:w="1540" w:type="dxa"/>
            <w:tcBorders>
              <w:top w:val="single" w:sz="4" w:space="0" w:color="auto"/>
              <w:bottom w:val="single" w:sz="4" w:space="0" w:color="auto"/>
            </w:tcBorders>
            <w:shd w:val="clear" w:color="auto" w:fill="FFFFFF" w:themeFill="background1"/>
            <w:noWrap/>
            <w:vAlign w:val="center"/>
            <w:hideMark/>
          </w:tcPr>
          <w:p w14:paraId="445910E7" w14:textId="77777777" w:rsidR="006542BB" w:rsidRPr="006542BB" w:rsidRDefault="006542BB" w:rsidP="006542BB">
            <w:pPr>
              <w:autoSpaceDE/>
              <w:autoSpaceDN/>
              <w:adjustRightInd/>
              <w:spacing w:after="0" w:line="240" w:lineRule="auto"/>
              <w:ind w:firstLine="0"/>
              <w:jc w:val="center"/>
              <w:rPr>
                <w:rFonts w:eastAsia="Times New Roman"/>
                <w:b/>
                <w:bCs/>
                <w:color w:val="000000"/>
                <w:szCs w:val="20"/>
                <w:lang w:eastAsia="pt-BR"/>
              </w:rPr>
            </w:pPr>
            <w:r w:rsidRPr="006542BB">
              <w:rPr>
                <w:rFonts w:eastAsia="Times New Roman"/>
                <w:b/>
                <w:bCs/>
                <w:color w:val="000000"/>
                <w:szCs w:val="20"/>
                <w:lang w:eastAsia="pt-BR"/>
              </w:rPr>
              <w:t>9%</w:t>
            </w:r>
          </w:p>
        </w:tc>
      </w:tr>
    </w:tbl>
    <w:p w14:paraId="62D0A551" w14:textId="03B57A76" w:rsidR="006542BB" w:rsidRDefault="006542BB" w:rsidP="00753F74">
      <w:pPr>
        <w:ind w:firstLine="0"/>
        <w:rPr>
          <w:lang w:eastAsia="pt-BR"/>
        </w:rPr>
      </w:pPr>
    </w:p>
    <w:p w14:paraId="2380ADDA" w14:textId="4E17C0AB" w:rsidR="000825CC" w:rsidRDefault="000825CC" w:rsidP="000825CC">
      <w:pPr>
        <w:pStyle w:val="Legenda"/>
        <w:keepNext/>
        <w:ind w:firstLine="0"/>
      </w:pPr>
      <w:bookmarkStart w:id="280" w:name="_Toc16173052"/>
      <w:r>
        <w:t xml:space="preserve">Tabela </w:t>
      </w:r>
      <w:r w:rsidR="00D00510">
        <w:fldChar w:fldCharType="begin"/>
      </w:r>
      <w:r w:rsidR="00D00510">
        <w:instrText xml:space="preserve"> SEQ Tabela \* ARABIC </w:instrText>
      </w:r>
      <w:r w:rsidR="00D00510">
        <w:fldChar w:fldCharType="separate"/>
      </w:r>
      <w:r w:rsidR="002D15F8">
        <w:rPr>
          <w:noProof/>
        </w:rPr>
        <w:t>16</w:t>
      </w:r>
      <w:r w:rsidR="00D00510">
        <w:rPr>
          <w:noProof/>
        </w:rPr>
        <w:fldChar w:fldCharType="end"/>
      </w:r>
      <w:r>
        <w:t xml:space="preserve">. </w:t>
      </w:r>
      <w:r w:rsidRPr="005F10FA">
        <w:t xml:space="preserve">Frequências da mutação I86F na subunidade C da enzima succinato desidrogenase em populações de </w:t>
      </w:r>
      <w:r w:rsidRPr="000825CC">
        <w:rPr>
          <w:i/>
        </w:rPr>
        <w:t>P. pachyrhizi</w:t>
      </w:r>
      <w:r w:rsidRPr="005F10FA">
        <w:t xml:space="preserve"> coletadas na região oeste. Lages, SC.</w:t>
      </w:r>
      <w:bookmarkEnd w:id="280"/>
    </w:p>
    <w:tbl>
      <w:tblPr>
        <w:tblW w:w="7513" w:type="dxa"/>
        <w:jc w:val="center"/>
        <w:tblCellMar>
          <w:left w:w="70" w:type="dxa"/>
          <w:right w:w="70" w:type="dxa"/>
        </w:tblCellMar>
        <w:tblLook w:val="04A0" w:firstRow="1" w:lastRow="0" w:firstColumn="1" w:lastColumn="0" w:noHBand="0" w:noVBand="1"/>
      </w:tblPr>
      <w:tblGrid>
        <w:gridCol w:w="1600"/>
        <w:gridCol w:w="3200"/>
        <w:gridCol w:w="1420"/>
        <w:gridCol w:w="1293"/>
      </w:tblGrid>
      <w:tr w:rsidR="00BB7DE9" w:rsidRPr="00BB7DE9" w14:paraId="380A69C7" w14:textId="77777777" w:rsidTr="00D74DA1">
        <w:trPr>
          <w:trHeight w:val="300"/>
          <w:jc w:val="center"/>
        </w:trPr>
        <w:tc>
          <w:tcPr>
            <w:tcW w:w="1600" w:type="dxa"/>
            <w:tcBorders>
              <w:top w:val="single" w:sz="4" w:space="0" w:color="auto"/>
              <w:bottom w:val="single" w:sz="4" w:space="0" w:color="auto"/>
            </w:tcBorders>
            <w:shd w:val="clear" w:color="auto" w:fill="FFFFFF" w:themeFill="background1"/>
            <w:noWrap/>
            <w:vAlign w:val="center"/>
            <w:hideMark/>
          </w:tcPr>
          <w:p w14:paraId="73FEE6EA"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r w:rsidRPr="00BB7DE9">
              <w:rPr>
                <w:rFonts w:eastAsia="Times New Roman"/>
                <w:b/>
                <w:bCs/>
                <w:color w:val="000000"/>
                <w:szCs w:val="20"/>
                <w:lang w:eastAsia="pt-BR"/>
              </w:rPr>
              <w:t>Amostra</w:t>
            </w:r>
          </w:p>
        </w:tc>
        <w:tc>
          <w:tcPr>
            <w:tcW w:w="3200" w:type="dxa"/>
            <w:tcBorders>
              <w:top w:val="single" w:sz="4" w:space="0" w:color="auto"/>
              <w:bottom w:val="single" w:sz="4" w:space="0" w:color="auto"/>
            </w:tcBorders>
            <w:shd w:val="clear" w:color="auto" w:fill="FFFFFF" w:themeFill="background1"/>
            <w:noWrap/>
            <w:vAlign w:val="center"/>
            <w:hideMark/>
          </w:tcPr>
          <w:p w14:paraId="14ED8E34"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r w:rsidRPr="00BB7DE9">
              <w:rPr>
                <w:rFonts w:eastAsia="Times New Roman"/>
                <w:b/>
                <w:bCs/>
                <w:color w:val="000000"/>
                <w:szCs w:val="20"/>
                <w:lang w:eastAsia="pt-BR"/>
              </w:rPr>
              <w:t>Cidade</w:t>
            </w:r>
          </w:p>
        </w:tc>
        <w:tc>
          <w:tcPr>
            <w:tcW w:w="1420" w:type="dxa"/>
            <w:tcBorders>
              <w:top w:val="single" w:sz="4" w:space="0" w:color="auto"/>
              <w:bottom w:val="single" w:sz="4" w:space="0" w:color="auto"/>
            </w:tcBorders>
            <w:shd w:val="clear" w:color="auto" w:fill="FFFFFF" w:themeFill="background1"/>
            <w:noWrap/>
            <w:vAlign w:val="center"/>
            <w:hideMark/>
          </w:tcPr>
          <w:p w14:paraId="787529A5"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r w:rsidRPr="00BB7DE9">
              <w:rPr>
                <w:rFonts w:eastAsia="Times New Roman"/>
                <w:b/>
                <w:bCs/>
                <w:color w:val="000000"/>
                <w:szCs w:val="20"/>
                <w:lang w:eastAsia="pt-BR"/>
              </w:rPr>
              <w:t>Altitude</w:t>
            </w:r>
          </w:p>
        </w:tc>
        <w:tc>
          <w:tcPr>
            <w:tcW w:w="1293" w:type="dxa"/>
            <w:tcBorders>
              <w:top w:val="single" w:sz="4" w:space="0" w:color="auto"/>
              <w:bottom w:val="single" w:sz="4" w:space="0" w:color="auto"/>
            </w:tcBorders>
            <w:shd w:val="clear" w:color="auto" w:fill="FFFFFF" w:themeFill="background1"/>
            <w:noWrap/>
            <w:vAlign w:val="center"/>
            <w:hideMark/>
          </w:tcPr>
          <w:p w14:paraId="41CB8718"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r w:rsidRPr="00BB7DE9">
              <w:rPr>
                <w:rFonts w:eastAsia="Times New Roman"/>
                <w:b/>
                <w:bCs/>
                <w:color w:val="000000"/>
                <w:szCs w:val="20"/>
                <w:lang w:eastAsia="pt-BR"/>
              </w:rPr>
              <w:t>I86F (%)</w:t>
            </w:r>
          </w:p>
        </w:tc>
      </w:tr>
      <w:tr w:rsidR="00BB7DE9" w:rsidRPr="00BB7DE9" w14:paraId="7376AF63" w14:textId="77777777" w:rsidTr="00D74DA1">
        <w:trPr>
          <w:trHeight w:val="300"/>
          <w:jc w:val="center"/>
        </w:trPr>
        <w:tc>
          <w:tcPr>
            <w:tcW w:w="1600" w:type="dxa"/>
            <w:tcBorders>
              <w:top w:val="single" w:sz="4" w:space="0" w:color="auto"/>
            </w:tcBorders>
            <w:shd w:val="clear" w:color="auto" w:fill="FFFFFF" w:themeFill="background1"/>
            <w:noWrap/>
            <w:vAlign w:val="center"/>
            <w:hideMark/>
          </w:tcPr>
          <w:p w14:paraId="0288CAC4"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3</w:t>
            </w:r>
          </w:p>
        </w:tc>
        <w:tc>
          <w:tcPr>
            <w:tcW w:w="3200" w:type="dxa"/>
            <w:tcBorders>
              <w:top w:val="single" w:sz="4" w:space="0" w:color="auto"/>
            </w:tcBorders>
            <w:shd w:val="clear" w:color="auto" w:fill="FFFFFF" w:themeFill="background1"/>
            <w:noWrap/>
            <w:vAlign w:val="center"/>
            <w:hideMark/>
          </w:tcPr>
          <w:p w14:paraId="54D78204"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Cunha Porã</w:t>
            </w:r>
          </w:p>
        </w:tc>
        <w:tc>
          <w:tcPr>
            <w:tcW w:w="1420" w:type="dxa"/>
            <w:tcBorders>
              <w:top w:val="single" w:sz="4" w:space="0" w:color="auto"/>
            </w:tcBorders>
            <w:shd w:val="clear" w:color="auto" w:fill="FFFFFF" w:themeFill="background1"/>
            <w:noWrap/>
            <w:vAlign w:val="center"/>
            <w:hideMark/>
          </w:tcPr>
          <w:p w14:paraId="6AA3B1DD"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453</w:t>
            </w:r>
          </w:p>
        </w:tc>
        <w:tc>
          <w:tcPr>
            <w:tcW w:w="1293" w:type="dxa"/>
            <w:tcBorders>
              <w:top w:val="single" w:sz="4" w:space="0" w:color="auto"/>
            </w:tcBorders>
            <w:shd w:val="clear" w:color="auto" w:fill="FFFFFF" w:themeFill="background1"/>
            <w:noWrap/>
            <w:vAlign w:val="center"/>
            <w:hideMark/>
          </w:tcPr>
          <w:p w14:paraId="24EB5709"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7%</w:t>
            </w:r>
          </w:p>
        </w:tc>
      </w:tr>
      <w:tr w:rsidR="00BB7DE9" w:rsidRPr="00BB7DE9" w14:paraId="40F62D49" w14:textId="77777777" w:rsidTr="00D74DA1">
        <w:trPr>
          <w:trHeight w:val="300"/>
          <w:jc w:val="center"/>
        </w:trPr>
        <w:tc>
          <w:tcPr>
            <w:tcW w:w="1600" w:type="dxa"/>
            <w:shd w:val="clear" w:color="auto" w:fill="FFFFFF" w:themeFill="background1"/>
            <w:noWrap/>
            <w:vAlign w:val="center"/>
            <w:hideMark/>
          </w:tcPr>
          <w:p w14:paraId="2B334EDE"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6</w:t>
            </w:r>
          </w:p>
        </w:tc>
        <w:tc>
          <w:tcPr>
            <w:tcW w:w="3200" w:type="dxa"/>
            <w:shd w:val="clear" w:color="auto" w:fill="FFFFFF" w:themeFill="background1"/>
            <w:noWrap/>
            <w:vAlign w:val="center"/>
            <w:hideMark/>
          </w:tcPr>
          <w:p w14:paraId="6A6575AF"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Cunha Porã</w:t>
            </w:r>
          </w:p>
        </w:tc>
        <w:tc>
          <w:tcPr>
            <w:tcW w:w="1420" w:type="dxa"/>
            <w:shd w:val="clear" w:color="auto" w:fill="FFFFFF" w:themeFill="background1"/>
            <w:noWrap/>
            <w:vAlign w:val="center"/>
            <w:hideMark/>
          </w:tcPr>
          <w:p w14:paraId="5160AF03"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496</w:t>
            </w:r>
          </w:p>
        </w:tc>
        <w:tc>
          <w:tcPr>
            <w:tcW w:w="1293" w:type="dxa"/>
            <w:shd w:val="clear" w:color="auto" w:fill="FFFFFF" w:themeFill="background1"/>
            <w:noWrap/>
            <w:vAlign w:val="center"/>
            <w:hideMark/>
          </w:tcPr>
          <w:p w14:paraId="0526EA46"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49%</w:t>
            </w:r>
          </w:p>
        </w:tc>
      </w:tr>
      <w:tr w:rsidR="00BB7DE9" w:rsidRPr="00BB7DE9" w14:paraId="1A65DBCE" w14:textId="77777777" w:rsidTr="00D74DA1">
        <w:trPr>
          <w:trHeight w:val="300"/>
          <w:jc w:val="center"/>
        </w:trPr>
        <w:tc>
          <w:tcPr>
            <w:tcW w:w="1600" w:type="dxa"/>
            <w:shd w:val="clear" w:color="auto" w:fill="FFFFFF" w:themeFill="background1"/>
            <w:noWrap/>
            <w:vAlign w:val="center"/>
            <w:hideMark/>
          </w:tcPr>
          <w:p w14:paraId="3F3429A7"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7</w:t>
            </w:r>
          </w:p>
        </w:tc>
        <w:tc>
          <w:tcPr>
            <w:tcW w:w="3200" w:type="dxa"/>
            <w:shd w:val="clear" w:color="auto" w:fill="FFFFFF" w:themeFill="background1"/>
            <w:noWrap/>
            <w:vAlign w:val="center"/>
            <w:hideMark/>
          </w:tcPr>
          <w:p w14:paraId="4F2EC73B"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Pinhalzinho</w:t>
            </w:r>
          </w:p>
        </w:tc>
        <w:tc>
          <w:tcPr>
            <w:tcW w:w="1420" w:type="dxa"/>
            <w:shd w:val="clear" w:color="auto" w:fill="FFFFFF" w:themeFill="background1"/>
            <w:noWrap/>
            <w:vAlign w:val="center"/>
            <w:hideMark/>
          </w:tcPr>
          <w:p w14:paraId="509DFAEC"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519</w:t>
            </w:r>
          </w:p>
        </w:tc>
        <w:tc>
          <w:tcPr>
            <w:tcW w:w="1293" w:type="dxa"/>
            <w:shd w:val="clear" w:color="auto" w:fill="FFFFFF" w:themeFill="background1"/>
            <w:noWrap/>
            <w:vAlign w:val="center"/>
            <w:hideMark/>
          </w:tcPr>
          <w:p w14:paraId="57B01D6E"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17%</w:t>
            </w:r>
          </w:p>
        </w:tc>
      </w:tr>
      <w:tr w:rsidR="00BB7DE9" w:rsidRPr="00BB7DE9" w14:paraId="49A55088" w14:textId="77777777" w:rsidTr="00D74DA1">
        <w:trPr>
          <w:trHeight w:val="300"/>
          <w:jc w:val="center"/>
        </w:trPr>
        <w:tc>
          <w:tcPr>
            <w:tcW w:w="1600" w:type="dxa"/>
            <w:shd w:val="clear" w:color="auto" w:fill="FFFFFF" w:themeFill="background1"/>
            <w:noWrap/>
            <w:vAlign w:val="center"/>
            <w:hideMark/>
          </w:tcPr>
          <w:p w14:paraId="50AE3551"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8</w:t>
            </w:r>
          </w:p>
        </w:tc>
        <w:tc>
          <w:tcPr>
            <w:tcW w:w="3200" w:type="dxa"/>
            <w:shd w:val="clear" w:color="auto" w:fill="FFFFFF" w:themeFill="background1"/>
            <w:noWrap/>
            <w:vAlign w:val="center"/>
            <w:hideMark/>
          </w:tcPr>
          <w:p w14:paraId="46404934"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Cunha Porã</w:t>
            </w:r>
          </w:p>
        </w:tc>
        <w:tc>
          <w:tcPr>
            <w:tcW w:w="1420" w:type="dxa"/>
            <w:shd w:val="clear" w:color="auto" w:fill="FFFFFF" w:themeFill="background1"/>
            <w:noWrap/>
            <w:vAlign w:val="center"/>
            <w:hideMark/>
          </w:tcPr>
          <w:p w14:paraId="2B45357F"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528</w:t>
            </w:r>
          </w:p>
        </w:tc>
        <w:tc>
          <w:tcPr>
            <w:tcW w:w="1293" w:type="dxa"/>
            <w:shd w:val="clear" w:color="auto" w:fill="FFFFFF" w:themeFill="background1"/>
            <w:noWrap/>
            <w:vAlign w:val="center"/>
            <w:hideMark/>
          </w:tcPr>
          <w:p w14:paraId="1922084E"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29%</w:t>
            </w:r>
          </w:p>
        </w:tc>
      </w:tr>
      <w:tr w:rsidR="00BB7DE9" w:rsidRPr="00BB7DE9" w14:paraId="179D3B9F" w14:textId="77777777" w:rsidTr="00D74DA1">
        <w:trPr>
          <w:trHeight w:val="300"/>
          <w:jc w:val="center"/>
        </w:trPr>
        <w:tc>
          <w:tcPr>
            <w:tcW w:w="1600" w:type="dxa"/>
            <w:shd w:val="clear" w:color="auto" w:fill="FFFFFF" w:themeFill="background1"/>
            <w:noWrap/>
            <w:vAlign w:val="center"/>
            <w:hideMark/>
          </w:tcPr>
          <w:p w14:paraId="660F5416"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9</w:t>
            </w:r>
          </w:p>
        </w:tc>
        <w:tc>
          <w:tcPr>
            <w:tcW w:w="3200" w:type="dxa"/>
            <w:shd w:val="clear" w:color="auto" w:fill="FFFFFF" w:themeFill="background1"/>
            <w:noWrap/>
            <w:vAlign w:val="center"/>
            <w:hideMark/>
          </w:tcPr>
          <w:p w14:paraId="7519B24C"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Chapecó</w:t>
            </w:r>
          </w:p>
        </w:tc>
        <w:tc>
          <w:tcPr>
            <w:tcW w:w="1420" w:type="dxa"/>
            <w:shd w:val="clear" w:color="auto" w:fill="FFFFFF" w:themeFill="background1"/>
            <w:noWrap/>
            <w:vAlign w:val="center"/>
            <w:hideMark/>
          </w:tcPr>
          <w:p w14:paraId="75D9F36F"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530</w:t>
            </w:r>
          </w:p>
        </w:tc>
        <w:tc>
          <w:tcPr>
            <w:tcW w:w="1293" w:type="dxa"/>
            <w:shd w:val="clear" w:color="auto" w:fill="FFFFFF" w:themeFill="background1"/>
            <w:noWrap/>
            <w:vAlign w:val="center"/>
            <w:hideMark/>
          </w:tcPr>
          <w:p w14:paraId="455CE3D5"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6%</w:t>
            </w:r>
          </w:p>
        </w:tc>
      </w:tr>
      <w:tr w:rsidR="00BB7DE9" w:rsidRPr="00BB7DE9" w14:paraId="1503BD9A" w14:textId="77777777" w:rsidTr="00D74DA1">
        <w:trPr>
          <w:trHeight w:val="300"/>
          <w:jc w:val="center"/>
        </w:trPr>
        <w:tc>
          <w:tcPr>
            <w:tcW w:w="1600" w:type="dxa"/>
            <w:shd w:val="clear" w:color="auto" w:fill="FFFFFF" w:themeFill="background1"/>
            <w:noWrap/>
            <w:vAlign w:val="center"/>
            <w:hideMark/>
          </w:tcPr>
          <w:p w14:paraId="0605030E"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53</w:t>
            </w:r>
          </w:p>
        </w:tc>
        <w:tc>
          <w:tcPr>
            <w:tcW w:w="3200" w:type="dxa"/>
            <w:shd w:val="clear" w:color="auto" w:fill="FFFFFF" w:themeFill="background1"/>
            <w:noWrap/>
            <w:vAlign w:val="center"/>
            <w:hideMark/>
          </w:tcPr>
          <w:p w14:paraId="0952DDB9"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Xanxerê</w:t>
            </w:r>
          </w:p>
        </w:tc>
        <w:tc>
          <w:tcPr>
            <w:tcW w:w="1420" w:type="dxa"/>
            <w:shd w:val="clear" w:color="auto" w:fill="FFFFFF" w:themeFill="background1"/>
            <w:noWrap/>
            <w:vAlign w:val="center"/>
            <w:hideMark/>
          </w:tcPr>
          <w:p w14:paraId="4B10A712"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910</w:t>
            </w:r>
          </w:p>
        </w:tc>
        <w:tc>
          <w:tcPr>
            <w:tcW w:w="1293" w:type="dxa"/>
            <w:shd w:val="clear" w:color="auto" w:fill="FFFFFF" w:themeFill="background1"/>
            <w:noWrap/>
            <w:vAlign w:val="center"/>
            <w:hideMark/>
          </w:tcPr>
          <w:p w14:paraId="58E64577"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1%</w:t>
            </w:r>
          </w:p>
        </w:tc>
      </w:tr>
      <w:tr w:rsidR="00BB7DE9" w:rsidRPr="00BB7DE9" w14:paraId="5BEF5DC1" w14:textId="77777777" w:rsidTr="00D74DA1">
        <w:trPr>
          <w:trHeight w:val="300"/>
          <w:jc w:val="center"/>
        </w:trPr>
        <w:tc>
          <w:tcPr>
            <w:tcW w:w="1600" w:type="dxa"/>
            <w:tcBorders>
              <w:bottom w:val="single" w:sz="4" w:space="0" w:color="auto"/>
            </w:tcBorders>
            <w:shd w:val="clear" w:color="auto" w:fill="FFFFFF" w:themeFill="background1"/>
            <w:noWrap/>
            <w:vAlign w:val="center"/>
            <w:hideMark/>
          </w:tcPr>
          <w:p w14:paraId="4B8D687A"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64</w:t>
            </w:r>
          </w:p>
        </w:tc>
        <w:tc>
          <w:tcPr>
            <w:tcW w:w="3200" w:type="dxa"/>
            <w:tcBorders>
              <w:bottom w:val="single" w:sz="4" w:space="0" w:color="auto"/>
            </w:tcBorders>
            <w:shd w:val="clear" w:color="auto" w:fill="FFFFFF" w:themeFill="background1"/>
            <w:noWrap/>
            <w:vAlign w:val="center"/>
            <w:hideMark/>
          </w:tcPr>
          <w:p w14:paraId="0AEDFE9E"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Passos Maia</w:t>
            </w:r>
          </w:p>
        </w:tc>
        <w:tc>
          <w:tcPr>
            <w:tcW w:w="1420" w:type="dxa"/>
            <w:tcBorders>
              <w:bottom w:val="single" w:sz="4" w:space="0" w:color="auto"/>
            </w:tcBorders>
            <w:shd w:val="clear" w:color="auto" w:fill="FFFFFF" w:themeFill="background1"/>
            <w:noWrap/>
            <w:vAlign w:val="center"/>
            <w:hideMark/>
          </w:tcPr>
          <w:p w14:paraId="674DB542"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1134</w:t>
            </w:r>
          </w:p>
        </w:tc>
        <w:tc>
          <w:tcPr>
            <w:tcW w:w="1293" w:type="dxa"/>
            <w:tcBorders>
              <w:bottom w:val="single" w:sz="4" w:space="0" w:color="auto"/>
            </w:tcBorders>
            <w:shd w:val="clear" w:color="auto" w:fill="FFFFFF" w:themeFill="background1"/>
            <w:noWrap/>
            <w:vAlign w:val="center"/>
            <w:hideMark/>
          </w:tcPr>
          <w:p w14:paraId="2B2F9838" w14:textId="77777777" w:rsidR="00BB7DE9" w:rsidRPr="00BB7DE9" w:rsidRDefault="00BB7DE9" w:rsidP="00BB7DE9">
            <w:pPr>
              <w:autoSpaceDE/>
              <w:autoSpaceDN/>
              <w:adjustRightInd/>
              <w:spacing w:after="0" w:line="240" w:lineRule="auto"/>
              <w:ind w:firstLine="0"/>
              <w:jc w:val="center"/>
              <w:rPr>
                <w:rFonts w:eastAsia="Times New Roman"/>
                <w:color w:val="000000"/>
                <w:sz w:val="20"/>
                <w:szCs w:val="20"/>
                <w:lang w:eastAsia="pt-BR"/>
              </w:rPr>
            </w:pPr>
            <w:r w:rsidRPr="00BB7DE9">
              <w:rPr>
                <w:rFonts w:eastAsia="Times New Roman"/>
                <w:color w:val="000000"/>
                <w:sz w:val="20"/>
                <w:szCs w:val="20"/>
                <w:lang w:eastAsia="pt-BR"/>
              </w:rPr>
              <w:t>26%</w:t>
            </w:r>
          </w:p>
        </w:tc>
      </w:tr>
      <w:tr w:rsidR="00BB7DE9" w:rsidRPr="00BB7DE9" w14:paraId="65956EC2" w14:textId="77777777" w:rsidTr="00D74DA1">
        <w:trPr>
          <w:trHeight w:val="300"/>
          <w:jc w:val="center"/>
        </w:trPr>
        <w:tc>
          <w:tcPr>
            <w:tcW w:w="1600" w:type="dxa"/>
            <w:tcBorders>
              <w:top w:val="single" w:sz="4" w:space="0" w:color="auto"/>
              <w:bottom w:val="single" w:sz="4" w:space="0" w:color="auto"/>
            </w:tcBorders>
            <w:shd w:val="clear" w:color="auto" w:fill="FFFFFF" w:themeFill="background1"/>
            <w:noWrap/>
            <w:vAlign w:val="center"/>
            <w:hideMark/>
          </w:tcPr>
          <w:p w14:paraId="08ECA4E9"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r w:rsidRPr="00BB7DE9">
              <w:rPr>
                <w:rFonts w:eastAsia="Times New Roman"/>
                <w:b/>
                <w:bCs/>
                <w:color w:val="000000"/>
                <w:szCs w:val="20"/>
                <w:lang w:eastAsia="pt-BR"/>
              </w:rPr>
              <w:t>Média</w:t>
            </w:r>
          </w:p>
        </w:tc>
        <w:tc>
          <w:tcPr>
            <w:tcW w:w="3200" w:type="dxa"/>
            <w:tcBorders>
              <w:top w:val="single" w:sz="4" w:space="0" w:color="auto"/>
              <w:bottom w:val="single" w:sz="4" w:space="0" w:color="auto"/>
            </w:tcBorders>
            <w:shd w:val="clear" w:color="auto" w:fill="FFFFFF" w:themeFill="background1"/>
            <w:noWrap/>
            <w:vAlign w:val="center"/>
            <w:hideMark/>
          </w:tcPr>
          <w:p w14:paraId="797F326B"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r w:rsidRPr="00BB7DE9">
              <w:rPr>
                <w:rFonts w:eastAsia="Times New Roman"/>
                <w:b/>
                <w:bCs/>
                <w:color w:val="000000"/>
                <w:szCs w:val="20"/>
                <w:lang w:eastAsia="pt-BR"/>
              </w:rPr>
              <w:t>Região Oeste</w:t>
            </w:r>
          </w:p>
        </w:tc>
        <w:tc>
          <w:tcPr>
            <w:tcW w:w="1420" w:type="dxa"/>
            <w:tcBorders>
              <w:top w:val="single" w:sz="4" w:space="0" w:color="auto"/>
              <w:bottom w:val="single" w:sz="4" w:space="0" w:color="auto"/>
            </w:tcBorders>
            <w:shd w:val="clear" w:color="auto" w:fill="FFFFFF" w:themeFill="background1"/>
            <w:noWrap/>
            <w:vAlign w:val="center"/>
            <w:hideMark/>
          </w:tcPr>
          <w:p w14:paraId="1FBE206B"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p>
        </w:tc>
        <w:tc>
          <w:tcPr>
            <w:tcW w:w="1293" w:type="dxa"/>
            <w:tcBorders>
              <w:top w:val="single" w:sz="4" w:space="0" w:color="auto"/>
              <w:bottom w:val="single" w:sz="4" w:space="0" w:color="auto"/>
            </w:tcBorders>
            <w:shd w:val="clear" w:color="auto" w:fill="FFFFFF" w:themeFill="background1"/>
            <w:noWrap/>
            <w:vAlign w:val="center"/>
            <w:hideMark/>
          </w:tcPr>
          <w:p w14:paraId="5BEE71ED" w14:textId="77777777" w:rsidR="00BB7DE9" w:rsidRPr="00BB7DE9" w:rsidRDefault="00BB7DE9" w:rsidP="00BB7DE9">
            <w:pPr>
              <w:autoSpaceDE/>
              <w:autoSpaceDN/>
              <w:adjustRightInd/>
              <w:spacing w:after="0" w:line="240" w:lineRule="auto"/>
              <w:ind w:firstLine="0"/>
              <w:jc w:val="center"/>
              <w:rPr>
                <w:rFonts w:eastAsia="Times New Roman"/>
                <w:b/>
                <w:bCs/>
                <w:color w:val="000000"/>
                <w:szCs w:val="20"/>
                <w:lang w:eastAsia="pt-BR"/>
              </w:rPr>
            </w:pPr>
            <w:r w:rsidRPr="00BB7DE9">
              <w:rPr>
                <w:rFonts w:eastAsia="Times New Roman"/>
                <w:b/>
                <w:bCs/>
                <w:color w:val="000000"/>
                <w:szCs w:val="20"/>
                <w:lang w:eastAsia="pt-BR"/>
              </w:rPr>
              <w:t>19%</w:t>
            </w:r>
          </w:p>
        </w:tc>
      </w:tr>
    </w:tbl>
    <w:p w14:paraId="62CD3F98" w14:textId="77777777" w:rsidR="00D916DE" w:rsidRDefault="00D916DE" w:rsidP="00777EAF">
      <w:pPr>
        <w:spacing w:after="0" w:line="360" w:lineRule="auto"/>
        <w:ind w:firstLine="0"/>
        <w:rPr>
          <w:lang w:eastAsia="pt-BR"/>
        </w:rPr>
      </w:pPr>
    </w:p>
    <w:p w14:paraId="32075EFB" w14:textId="6B4F6E6C" w:rsidR="000B3449" w:rsidRDefault="000B3449" w:rsidP="000B3449">
      <w:pPr>
        <w:pStyle w:val="Legenda"/>
        <w:keepNext/>
        <w:ind w:firstLine="0"/>
      </w:pPr>
      <w:bookmarkStart w:id="281" w:name="_Toc16173053"/>
      <w:r>
        <w:t xml:space="preserve">Tabela </w:t>
      </w:r>
      <w:r w:rsidR="00D00510">
        <w:fldChar w:fldCharType="begin"/>
      </w:r>
      <w:r w:rsidR="00D00510">
        <w:instrText xml:space="preserve"> SEQ Tabela \* ARABIC </w:instrText>
      </w:r>
      <w:r w:rsidR="00D00510">
        <w:fldChar w:fldCharType="separate"/>
      </w:r>
      <w:r w:rsidR="002D15F8">
        <w:rPr>
          <w:noProof/>
        </w:rPr>
        <w:t>17</w:t>
      </w:r>
      <w:r w:rsidR="00D00510">
        <w:rPr>
          <w:noProof/>
        </w:rPr>
        <w:fldChar w:fldCharType="end"/>
      </w:r>
      <w:r>
        <w:t xml:space="preserve">. </w:t>
      </w:r>
      <w:r w:rsidRPr="008644EC">
        <w:t xml:space="preserve">Frequências da mutação I86F na subunidade C da enzima succinato desidrogenase em populações de </w:t>
      </w:r>
      <w:r w:rsidRPr="004B0A23">
        <w:rPr>
          <w:i/>
        </w:rPr>
        <w:t xml:space="preserve">P. pachyrhizi </w:t>
      </w:r>
      <w:r w:rsidRPr="008644EC">
        <w:t>coletadas na região extremo oeste. Lages, 2018.</w:t>
      </w:r>
      <w:bookmarkEnd w:id="281"/>
    </w:p>
    <w:tbl>
      <w:tblPr>
        <w:tblW w:w="7760" w:type="dxa"/>
        <w:jc w:val="center"/>
        <w:tblCellMar>
          <w:left w:w="70" w:type="dxa"/>
          <w:right w:w="70" w:type="dxa"/>
        </w:tblCellMar>
        <w:tblLook w:val="04A0" w:firstRow="1" w:lastRow="0" w:firstColumn="1" w:lastColumn="0" w:noHBand="0" w:noVBand="1"/>
      </w:tblPr>
      <w:tblGrid>
        <w:gridCol w:w="1600"/>
        <w:gridCol w:w="3200"/>
        <w:gridCol w:w="1420"/>
        <w:gridCol w:w="1540"/>
      </w:tblGrid>
      <w:tr w:rsidR="006C09B3" w:rsidRPr="006C09B3" w14:paraId="52F51631" w14:textId="77777777" w:rsidTr="00D74DA1">
        <w:trPr>
          <w:trHeight w:val="300"/>
          <w:jc w:val="center"/>
        </w:trPr>
        <w:tc>
          <w:tcPr>
            <w:tcW w:w="1600" w:type="dxa"/>
            <w:tcBorders>
              <w:top w:val="single" w:sz="4" w:space="0" w:color="auto"/>
              <w:bottom w:val="single" w:sz="4" w:space="0" w:color="auto"/>
            </w:tcBorders>
            <w:shd w:val="clear" w:color="auto" w:fill="FFFFFF" w:themeFill="background1"/>
            <w:noWrap/>
            <w:vAlign w:val="center"/>
          </w:tcPr>
          <w:p w14:paraId="2945483E" w14:textId="77777777" w:rsidR="006C09B3" w:rsidRPr="006C09B3" w:rsidRDefault="006C09B3" w:rsidP="006C09B3">
            <w:pPr>
              <w:autoSpaceDE/>
              <w:autoSpaceDN/>
              <w:adjustRightInd/>
              <w:spacing w:after="0" w:line="240" w:lineRule="auto"/>
              <w:ind w:firstLine="0"/>
              <w:jc w:val="center"/>
              <w:rPr>
                <w:rFonts w:eastAsia="Times New Roman"/>
                <w:b/>
                <w:bCs/>
                <w:color w:val="000000"/>
                <w:szCs w:val="20"/>
                <w:lang w:eastAsia="pt-BR"/>
              </w:rPr>
            </w:pPr>
            <w:r w:rsidRPr="006C09B3">
              <w:rPr>
                <w:rFonts w:eastAsia="Times New Roman"/>
                <w:b/>
                <w:bCs/>
                <w:color w:val="000000"/>
                <w:szCs w:val="20"/>
                <w:lang w:eastAsia="pt-BR"/>
              </w:rPr>
              <w:t>Amostra</w:t>
            </w:r>
          </w:p>
        </w:tc>
        <w:tc>
          <w:tcPr>
            <w:tcW w:w="3200" w:type="dxa"/>
            <w:tcBorders>
              <w:top w:val="single" w:sz="4" w:space="0" w:color="auto"/>
              <w:bottom w:val="single" w:sz="4" w:space="0" w:color="auto"/>
            </w:tcBorders>
            <w:shd w:val="clear" w:color="auto" w:fill="FFFFFF" w:themeFill="background1"/>
            <w:noWrap/>
            <w:vAlign w:val="center"/>
          </w:tcPr>
          <w:p w14:paraId="61F1423F" w14:textId="77777777" w:rsidR="006C09B3" w:rsidRPr="006C09B3" w:rsidRDefault="006C09B3" w:rsidP="006C09B3">
            <w:pPr>
              <w:autoSpaceDE/>
              <w:autoSpaceDN/>
              <w:adjustRightInd/>
              <w:spacing w:after="0" w:line="240" w:lineRule="auto"/>
              <w:ind w:firstLine="0"/>
              <w:jc w:val="center"/>
              <w:rPr>
                <w:rFonts w:eastAsia="Times New Roman"/>
                <w:b/>
                <w:bCs/>
                <w:color w:val="000000"/>
                <w:szCs w:val="20"/>
                <w:lang w:eastAsia="pt-BR"/>
              </w:rPr>
            </w:pPr>
            <w:r w:rsidRPr="006C09B3">
              <w:rPr>
                <w:rFonts w:eastAsia="Times New Roman"/>
                <w:b/>
                <w:bCs/>
                <w:color w:val="000000"/>
                <w:szCs w:val="20"/>
                <w:lang w:eastAsia="pt-BR"/>
              </w:rPr>
              <w:t>Cidade</w:t>
            </w:r>
          </w:p>
        </w:tc>
        <w:tc>
          <w:tcPr>
            <w:tcW w:w="1420" w:type="dxa"/>
            <w:tcBorders>
              <w:top w:val="single" w:sz="4" w:space="0" w:color="auto"/>
              <w:bottom w:val="single" w:sz="4" w:space="0" w:color="auto"/>
            </w:tcBorders>
            <w:shd w:val="clear" w:color="auto" w:fill="FFFFFF" w:themeFill="background1"/>
            <w:noWrap/>
            <w:vAlign w:val="center"/>
          </w:tcPr>
          <w:p w14:paraId="7F874EEA" w14:textId="77777777" w:rsidR="006C09B3" w:rsidRPr="006C09B3" w:rsidRDefault="006C09B3" w:rsidP="006C09B3">
            <w:pPr>
              <w:autoSpaceDE/>
              <w:autoSpaceDN/>
              <w:adjustRightInd/>
              <w:spacing w:after="0" w:line="240" w:lineRule="auto"/>
              <w:ind w:firstLine="0"/>
              <w:jc w:val="center"/>
              <w:rPr>
                <w:rFonts w:eastAsia="Times New Roman"/>
                <w:b/>
                <w:bCs/>
                <w:color w:val="000000"/>
                <w:szCs w:val="20"/>
                <w:lang w:eastAsia="pt-BR"/>
              </w:rPr>
            </w:pPr>
            <w:r w:rsidRPr="006C09B3">
              <w:rPr>
                <w:rFonts w:eastAsia="Times New Roman"/>
                <w:b/>
                <w:bCs/>
                <w:color w:val="000000"/>
                <w:szCs w:val="20"/>
                <w:lang w:eastAsia="pt-BR"/>
              </w:rPr>
              <w:t>Altitude (m)</w:t>
            </w:r>
          </w:p>
        </w:tc>
        <w:tc>
          <w:tcPr>
            <w:tcW w:w="1540" w:type="dxa"/>
            <w:tcBorders>
              <w:top w:val="single" w:sz="4" w:space="0" w:color="auto"/>
              <w:bottom w:val="single" w:sz="4" w:space="0" w:color="auto"/>
            </w:tcBorders>
            <w:shd w:val="clear" w:color="auto" w:fill="FFFFFF" w:themeFill="background1"/>
            <w:noWrap/>
            <w:vAlign w:val="center"/>
          </w:tcPr>
          <w:p w14:paraId="04EB53A8" w14:textId="77777777" w:rsidR="006C09B3" w:rsidRPr="006C09B3" w:rsidRDefault="006C09B3" w:rsidP="006C09B3">
            <w:pPr>
              <w:autoSpaceDE/>
              <w:autoSpaceDN/>
              <w:adjustRightInd/>
              <w:spacing w:after="0" w:line="240" w:lineRule="auto"/>
              <w:ind w:firstLine="0"/>
              <w:jc w:val="center"/>
              <w:rPr>
                <w:rFonts w:eastAsia="Times New Roman"/>
                <w:b/>
                <w:bCs/>
                <w:color w:val="000000"/>
                <w:szCs w:val="20"/>
                <w:lang w:eastAsia="pt-BR"/>
              </w:rPr>
            </w:pPr>
            <w:r w:rsidRPr="006C09B3">
              <w:rPr>
                <w:rFonts w:eastAsia="Times New Roman"/>
                <w:b/>
                <w:bCs/>
                <w:color w:val="000000"/>
                <w:szCs w:val="20"/>
                <w:lang w:eastAsia="pt-BR"/>
              </w:rPr>
              <w:t>I86F (%)</w:t>
            </w:r>
          </w:p>
        </w:tc>
      </w:tr>
      <w:tr w:rsidR="006C09B3" w:rsidRPr="006C09B3" w14:paraId="265E9A05" w14:textId="77777777" w:rsidTr="00D74DA1">
        <w:trPr>
          <w:trHeight w:val="300"/>
          <w:jc w:val="center"/>
        </w:trPr>
        <w:tc>
          <w:tcPr>
            <w:tcW w:w="1600" w:type="dxa"/>
            <w:tcBorders>
              <w:top w:val="single" w:sz="4" w:space="0" w:color="auto"/>
            </w:tcBorders>
            <w:shd w:val="clear" w:color="auto" w:fill="FFFFFF" w:themeFill="background1"/>
            <w:noWrap/>
            <w:vAlign w:val="center"/>
            <w:hideMark/>
          </w:tcPr>
          <w:p w14:paraId="1F613E8E"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5</w:t>
            </w:r>
          </w:p>
        </w:tc>
        <w:tc>
          <w:tcPr>
            <w:tcW w:w="3200" w:type="dxa"/>
            <w:tcBorders>
              <w:top w:val="single" w:sz="4" w:space="0" w:color="auto"/>
            </w:tcBorders>
            <w:shd w:val="clear" w:color="auto" w:fill="FFFFFF" w:themeFill="background1"/>
            <w:noWrap/>
            <w:vAlign w:val="center"/>
            <w:hideMark/>
          </w:tcPr>
          <w:p w14:paraId="70A97E83"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Iraceminha</w:t>
            </w:r>
          </w:p>
        </w:tc>
        <w:tc>
          <w:tcPr>
            <w:tcW w:w="1420" w:type="dxa"/>
            <w:tcBorders>
              <w:top w:val="single" w:sz="4" w:space="0" w:color="auto"/>
            </w:tcBorders>
            <w:shd w:val="clear" w:color="auto" w:fill="FFFFFF" w:themeFill="background1"/>
            <w:noWrap/>
            <w:vAlign w:val="center"/>
            <w:hideMark/>
          </w:tcPr>
          <w:p w14:paraId="316758E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485</w:t>
            </w:r>
          </w:p>
        </w:tc>
        <w:tc>
          <w:tcPr>
            <w:tcW w:w="1540" w:type="dxa"/>
            <w:tcBorders>
              <w:top w:val="single" w:sz="4" w:space="0" w:color="auto"/>
            </w:tcBorders>
            <w:shd w:val="clear" w:color="auto" w:fill="FFFFFF" w:themeFill="background1"/>
            <w:noWrap/>
            <w:vAlign w:val="center"/>
            <w:hideMark/>
          </w:tcPr>
          <w:p w14:paraId="64C9A227"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w:t>
            </w:r>
          </w:p>
        </w:tc>
      </w:tr>
      <w:tr w:rsidR="006C09B3" w:rsidRPr="006C09B3" w14:paraId="5FC3EA5C" w14:textId="77777777" w:rsidTr="00D74DA1">
        <w:trPr>
          <w:trHeight w:val="300"/>
          <w:jc w:val="center"/>
        </w:trPr>
        <w:tc>
          <w:tcPr>
            <w:tcW w:w="1600" w:type="dxa"/>
            <w:shd w:val="clear" w:color="auto" w:fill="FFFFFF" w:themeFill="background1"/>
            <w:noWrap/>
            <w:vAlign w:val="center"/>
            <w:hideMark/>
          </w:tcPr>
          <w:p w14:paraId="16478238"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16</w:t>
            </w:r>
          </w:p>
        </w:tc>
        <w:tc>
          <w:tcPr>
            <w:tcW w:w="3200" w:type="dxa"/>
            <w:shd w:val="clear" w:color="auto" w:fill="FFFFFF" w:themeFill="background1"/>
            <w:noWrap/>
            <w:vAlign w:val="center"/>
            <w:hideMark/>
          </w:tcPr>
          <w:p w14:paraId="505B4DFF"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São Bernardino</w:t>
            </w:r>
          </w:p>
        </w:tc>
        <w:tc>
          <w:tcPr>
            <w:tcW w:w="1420" w:type="dxa"/>
            <w:shd w:val="clear" w:color="auto" w:fill="FFFFFF" w:themeFill="background1"/>
            <w:noWrap/>
            <w:vAlign w:val="center"/>
            <w:hideMark/>
          </w:tcPr>
          <w:p w14:paraId="59CC1D8E"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622</w:t>
            </w:r>
          </w:p>
        </w:tc>
        <w:tc>
          <w:tcPr>
            <w:tcW w:w="1540" w:type="dxa"/>
            <w:shd w:val="clear" w:color="auto" w:fill="FFFFFF" w:themeFill="background1"/>
            <w:noWrap/>
            <w:vAlign w:val="center"/>
            <w:hideMark/>
          </w:tcPr>
          <w:p w14:paraId="0696BC56"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32%</w:t>
            </w:r>
          </w:p>
        </w:tc>
      </w:tr>
      <w:tr w:rsidR="006C09B3" w:rsidRPr="006C09B3" w14:paraId="78490BB1" w14:textId="77777777" w:rsidTr="00D74DA1">
        <w:trPr>
          <w:trHeight w:val="300"/>
          <w:jc w:val="center"/>
        </w:trPr>
        <w:tc>
          <w:tcPr>
            <w:tcW w:w="1600" w:type="dxa"/>
            <w:shd w:val="clear" w:color="auto" w:fill="FFFFFF" w:themeFill="background1"/>
            <w:noWrap/>
            <w:vAlign w:val="center"/>
            <w:hideMark/>
          </w:tcPr>
          <w:p w14:paraId="7A02B15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17</w:t>
            </w:r>
          </w:p>
        </w:tc>
        <w:tc>
          <w:tcPr>
            <w:tcW w:w="3200" w:type="dxa"/>
            <w:shd w:val="clear" w:color="auto" w:fill="FFFFFF" w:themeFill="background1"/>
            <w:noWrap/>
            <w:vAlign w:val="center"/>
            <w:hideMark/>
          </w:tcPr>
          <w:p w14:paraId="54599830"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Ipuaçu</w:t>
            </w:r>
          </w:p>
        </w:tc>
        <w:tc>
          <w:tcPr>
            <w:tcW w:w="1420" w:type="dxa"/>
            <w:shd w:val="clear" w:color="auto" w:fill="FFFFFF" w:themeFill="background1"/>
            <w:noWrap/>
            <w:vAlign w:val="center"/>
            <w:hideMark/>
          </w:tcPr>
          <w:p w14:paraId="0C305DF4"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622</w:t>
            </w:r>
          </w:p>
        </w:tc>
        <w:tc>
          <w:tcPr>
            <w:tcW w:w="1540" w:type="dxa"/>
            <w:shd w:val="clear" w:color="auto" w:fill="FFFFFF" w:themeFill="background1"/>
            <w:noWrap/>
            <w:vAlign w:val="center"/>
            <w:hideMark/>
          </w:tcPr>
          <w:p w14:paraId="36911E6D"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12%</w:t>
            </w:r>
          </w:p>
        </w:tc>
      </w:tr>
      <w:tr w:rsidR="006C09B3" w:rsidRPr="006C09B3" w14:paraId="22FAD399" w14:textId="77777777" w:rsidTr="00D74DA1">
        <w:trPr>
          <w:trHeight w:val="300"/>
          <w:jc w:val="center"/>
        </w:trPr>
        <w:tc>
          <w:tcPr>
            <w:tcW w:w="1600" w:type="dxa"/>
            <w:shd w:val="clear" w:color="auto" w:fill="FFFFFF" w:themeFill="background1"/>
            <w:noWrap/>
            <w:vAlign w:val="center"/>
            <w:hideMark/>
          </w:tcPr>
          <w:p w14:paraId="25528C2C"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18</w:t>
            </w:r>
          </w:p>
        </w:tc>
        <w:tc>
          <w:tcPr>
            <w:tcW w:w="3200" w:type="dxa"/>
            <w:shd w:val="clear" w:color="auto" w:fill="FFFFFF" w:themeFill="background1"/>
            <w:noWrap/>
            <w:vAlign w:val="center"/>
            <w:hideMark/>
          </w:tcPr>
          <w:p w14:paraId="6AD84C06"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Ipuaçu</w:t>
            </w:r>
          </w:p>
        </w:tc>
        <w:tc>
          <w:tcPr>
            <w:tcW w:w="1420" w:type="dxa"/>
            <w:shd w:val="clear" w:color="auto" w:fill="FFFFFF" w:themeFill="background1"/>
            <w:noWrap/>
            <w:vAlign w:val="center"/>
            <w:hideMark/>
          </w:tcPr>
          <w:p w14:paraId="06E96C6F"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632</w:t>
            </w:r>
          </w:p>
        </w:tc>
        <w:tc>
          <w:tcPr>
            <w:tcW w:w="1540" w:type="dxa"/>
            <w:shd w:val="clear" w:color="auto" w:fill="FFFFFF" w:themeFill="background1"/>
            <w:noWrap/>
            <w:vAlign w:val="center"/>
            <w:hideMark/>
          </w:tcPr>
          <w:p w14:paraId="43F18151"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w:t>
            </w:r>
          </w:p>
        </w:tc>
      </w:tr>
      <w:tr w:rsidR="006C09B3" w:rsidRPr="006C09B3" w14:paraId="6A8CB36F" w14:textId="77777777" w:rsidTr="00D74DA1">
        <w:trPr>
          <w:trHeight w:val="300"/>
          <w:jc w:val="center"/>
        </w:trPr>
        <w:tc>
          <w:tcPr>
            <w:tcW w:w="1600" w:type="dxa"/>
            <w:shd w:val="clear" w:color="auto" w:fill="FFFFFF" w:themeFill="background1"/>
            <w:noWrap/>
            <w:vAlign w:val="center"/>
            <w:hideMark/>
          </w:tcPr>
          <w:p w14:paraId="0B945FE3"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20</w:t>
            </w:r>
          </w:p>
        </w:tc>
        <w:tc>
          <w:tcPr>
            <w:tcW w:w="3200" w:type="dxa"/>
            <w:shd w:val="clear" w:color="auto" w:fill="FFFFFF" w:themeFill="background1"/>
            <w:noWrap/>
            <w:vAlign w:val="center"/>
            <w:hideMark/>
          </w:tcPr>
          <w:p w14:paraId="562F4FFF"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Bom Jesus</w:t>
            </w:r>
          </w:p>
        </w:tc>
        <w:tc>
          <w:tcPr>
            <w:tcW w:w="1420" w:type="dxa"/>
            <w:shd w:val="clear" w:color="auto" w:fill="FFFFFF" w:themeFill="background1"/>
            <w:noWrap/>
            <w:vAlign w:val="center"/>
            <w:hideMark/>
          </w:tcPr>
          <w:p w14:paraId="701CBCE1"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668</w:t>
            </w:r>
          </w:p>
        </w:tc>
        <w:tc>
          <w:tcPr>
            <w:tcW w:w="1540" w:type="dxa"/>
            <w:shd w:val="clear" w:color="auto" w:fill="FFFFFF" w:themeFill="background1"/>
            <w:noWrap/>
            <w:vAlign w:val="center"/>
            <w:hideMark/>
          </w:tcPr>
          <w:p w14:paraId="1986FC60"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29%</w:t>
            </w:r>
          </w:p>
        </w:tc>
      </w:tr>
      <w:tr w:rsidR="006C09B3" w:rsidRPr="006C09B3" w14:paraId="7707F0FE" w14:textId="77777777" w:rsidTr="00D74DA1">
        <w:trPr>
          <w:trHeight w:val="300"/>
          <w:jc w:val="center"/>
        </w:trPr>
        <w:tc>
          <w:tcPr>
            <w:tcW w:w="1600" w:type="dxa"/>
            <w:shd w:val="clear" w:color="auto" w:fill="FFFFFF" w:themeFill="background1"/>
            <w:noWrap/>
            <w:vAlign w:val="center"/>
            <w:hideMark/>
          </w:tcPr>
          <w:p w14:paraId="32CC8AE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21</w:t>
            </w:r>
          </w:p>
        </w:tc>
        <w:tc>
          <w:tcPr>
            <w:tcW w:w="3200" w:type="dxa"/>
            <w:shd w:val="clear" w:color="auto" w:fill="FFFFFF" w:themeFill="background1"/>
            <w:noWrap/>
            <w:vAlign w:val="center"/>
            <w:hideMark/>
          </w:tcPr>
          <w:p w14:paraId="6BF8C69B"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Guaraciaba</w:t>
            </w:r>
          </w:p>
        </w:tc>
        <w:tc>
          <w:tcPr>
            <w:tcW w:w="1420" w:type="dxa"/>
            <w:shd w:val="clear" w:color="auto" w:fill="FFFFFF" w:themeFill="background1"/>
            <w:noWrap/>
            <w:vAlign w:val="center"/>
            <w:hideMark/>
          </w:tcPr>
          <w:p w14:paraId="41E82597"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675</w:t>
            </w:r>
          </w:p>
        </w:tc>
        <w:tc>
          <w:tcPr>
            <w:tcW w:w="1540" w:type="dxa"/>
            <w:shd w:val="clear" w:color="auto" w:fill="FFFFFF" w:themeFill="background1"/>
            <w:noWrap/>
            <w:vAlign w:val="center"/>
            <w:hideMark/>
          </w:tcPr>
          <w:p w14:paraId="01F6E04F"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w:t>
            </w:r>
          </w:p>
        </w:tc>
      </w:tr>
      <w:tr w:rsidR="006C09B3" w:rsidRPr="006C09B3" w14:paraId="28228325" w14:textId="77777777" w:rsidTr="00D74DA1">
        <w:trPr>
          <w:trHeight w:val="300"/>
          <w:jc w:val="center"/>
        </w:trPr>
        <w:tc>
          <w:tcPr>
            <w:tcW w:w="1600" w:type="dxa"/>
            <w:shd w:val="clear" w:color="auto" w:fill="FFFFFF" w:themeFill="background1"/>
            <w:noWrap/>
            <w:vAlign w:val="center"/>
            <w:hideMark/>
          </w:tcPr>
          <w:p w14:paraId="06B5264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24</w:t>
            </w:r>
          </w:p>
        </w:tc>
        <w:tc>
          <w:tcPr>
            <w:tcW w:w="3200" w:type="dxa"/>
            <w:shd w:val="clear" w:color="auto" w:fill="FFFFFF" w:themeFill="background1"/>
            <w:noWrap/>
            <w:vAlign w:val="center"/>
            <w:hideMark/>
          </w:tcPr>
          <w:p w14:paraId="6E895E4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Galvão</w:t>
            </w:r>
          </w:p>
        </w:tc>
        <w:tc>
          <w:tcPr>
            <w:tcW w:w="1420" w:type="dxa"/>
            <w:shd w:val="clear" w:color="auto" w:fill="FFFFFF" w:themeFill="background1"/>
            <w:noWrap/>
            <w:vAlign w:val="center"/>
            <w:hideMark/>
          </w:tcPr>
          <w:p w14:paraId="26F1F13B"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684</w:t>
            </w:r>
          </w:p>
        </w:tc>
        <w:tc>
          <w:tcPr>
            <w:tcW w:w="1540" w:type="dxa"/>
            <w:shd w:val="clear" w:color="auto" w:fill="FFFFFF" w:themeFill="background1"/>
            <w:noWrap/>
            <w:vAlign w:val="center"/>
            <w:hideMark/>
          </w:tcPr>
          <w:p w14:paraId="2AC0239A"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0%</w:t>
            </w:r>
          </w:p>
        </w:tc>
      </w:tr>
      <w:tr w:rsidR="006C09B3" w:rsidRPr="006C09B3" w14:paraId="04B4C619" w14:textId="77777777" w:rsidTr="00D74DA1">
        <w:trPr>
          <w:trHeight w:val="300"/>
          <w:jc w:val="center"/>
        </w:trPr>
        <w:tc>
          <w:tcPr>
            <w:tcW w:w="1600" w:type="dxa"/>
            <w:shd w:val="clear" w:color="auto" w:fill="FFFFFF" w:themeFill="background1"/>
            <w:noWrap/>
            <w:vAlign w:val="center"/>
            <w:hideMark/>
          </w:tcPr>
          <w:p w14:paraId="4F0DDEC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25</w:t>
            </w:r>
          </w:p>
        </w:tc>
        <w:tc>
          <w:tcPr>
            <w:tcW w:w="3200" w:type="dxa"/>
            <w:shd w:val="clear" w:color="auto" w:fill="FFFFFF" w:themeFill="background1"/>
            <w:noWrap/>
            <w:vAlign w:val="center"/>
            <w:hideMark/>
          </w:tcPr>
          <w:p w14:paraId="62279AC8"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Galvão</w:t>
            </w:r>
          </w:p>
        </w:tc>
        <w:tc>
          <w:tcPr>
            <w:tcW w:w="1420" w:type="dxa"/>
            <w:shd w:val="clear" w:color="auto" w:fill="FFFFFF" w:themeFill="background1"/>
            <w:noWrap/>
            <w:vAlign w:val="center"/>
            <w:hideMark/>
          </w:tcPr>
          <w:p w14:paraId="2469D07C"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684</w:t>
            </w:r>
          </w:p>
        </w:tc>
        <w:tc>
          <w:tcPr>
            <w:tcW w:w="1540" w:type="dxa"/>
            <w:shd w:val="clear" w:color="auto" w:fill="FFFFFF" w:themeFill="background1"/>
            <w:noWrap/>
            <w:vAlign w:val="center"/>
            <w:hideMark/>
          </w:tcPr>
          <w:p w14:paraId="0A6FF91F"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8%</w:t>
            </w:r>
          </w:p>
        </w:tc>
      </w:tr>
      <w:tr w:rsidR="006C09B3" w:rsidRPr="006C09B3" w14:paraId="7A8C9084" w14:textId="77777777" w:rsidTr="00D74DA1">
        <w:trPr>
          <w:trHeight w:val="300"/>
          <w:jc w:val="center"/>
        </w:trPr>
        <w:tc>
          <w:tcPr>
            <w:tcW w:w="1600" w:type="dxa"/>
            <w:shd w:val="clear" w:color="auto" w:fill="FFFFFF" w:themeFill="background1"/>
            <w:noWrap/>
            <w:vAlign w:val="center"/>
            <w:hideMark/>
          </w:tcPr>
          <w:p w14:paraId="26206A86"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28</w:t>
            </w:r>
          </w:p>
        </w:tc>
        <w:tc>
          <w:tcPr>
            <w:tcW w:w="3200" w:type="dxa"/>
            <w:shd w:val="clear" w:color="auto" w:fill="FFFFFF" w:themeFill="background1"/>
            <w:noWrap/>
            <w:vAlign w:val="center"/>
            <w:hideMark/>
          </w:tcPr>
          <w:p w14:paraId="44A36E6C"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Bom Jesus</w:t>
            </w:r>
          </w:p>
        </w:tc>
        <w:tc>
          <w:tcPr>
            <w:tcW w:w="1420" w:type="dxa"/>
            <w:shd w:val="clear" w:color="auto" w:fill="FFFFFF" w:themeFill="background1"/>
            <w:noWrap/>
            <w:vAlign w:val="center"/>
            <w:hideMark/>
          </w:tcPr>
          <w:p w14:paraId="4CCFF39C"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698</w:t>
            </w:r>
          </w:p>
        </w:tc>
        <w:tc>
          <w:tcPr>
            <w:tcW w:w="1540" w:type="dxa"/>
            <w:shd w:val="clear" w:color="auto" w:fill="FFFFFF" w:themeFill="background1"/>
            <w:noWrap/>
            <w:vAlign w:val="center"/>
            <w:hideMark/>
          </w:tcPr>
          <w:p w14:paraId="60C1815C"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10%</w:t>
            </w:r>
          </w:p>
        </w:tc>
      </w:tr>
      <w:tr w:rsidR="006C09B3" w:rsidRPr="006C09B3" w14:paraId="006B57D4" w14:textId="77777777" w:rsidTr="00D74DA1">
        <w:trPr>
          <w:trHeight w:val="300"/>
          <w:jc w:val="center"/>
        </w:trPr>
        <w:tc>
          <w:tcPr>
            <w:tcW w:w="1600" w:type="dxa"/>
            <w:shd w:val="clear" w:color="auto" w:fill="FFFFFF" w:themeFill="background1"/>
            <w:noWrap/>
            <w:vAlign w:val="center"/>
            <w:hideMark/>
          </w:tcPr>
          <w:p w14:paraId="7D911FF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29</w:t>
            </w:r>
          </w:p>
        </w:tc>
        <w:tc>
          <w:tcPr>
            <w:tcW w:w="3200" w:type="dxa"/>
            <w:shd w:val="clear" w:color="auto" w:fill="FFFFFF" w:themeFill="background1"/>
            <w:noWrap/>
            <w:vAlign w:val="center"/>
            <w:hideMark/>
          </w:tcPr>
          <w:p w14:paraId="43837AD4"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São José do Cedro</w:t>
            </w:r>
          </w:p>
        </w:tc>
        <w:tc>
          <w:tcPr>
            <w:tcW w:w="1420" w:type="dxa"/>
            <w:shd w:val="clear" w:color="auto" w:fill="FFFFFF" w:themeFill="background1"/>
            <w:noWrap/>
            <w:vAlign w:val="center"/>
            <w:hideMark/>
          </w:tcPr>
          <w:p w14:paraId="260BF0DB"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700</w:t>
            </w:r>
          </w:p>
        </w:tc>
        <w:tc>
          <w:tcPr>
            <w:tcW w:w="1540" w:type="dxa"/>
            <w:shd w:val="clear" w:color="auto" w:fill="FFFFFF" w:themeFill="background1"/>
            <w:noWrap/>
            <w:vAlign w:val="center"/>
            <w:hideMark/>
          </w:tcPr>
          <w:p w14:paraId="3323D33B"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w:t>
            </w:r>
          </w:p>
        </w:tc>
      </w:tr>
      <w:tr w:rsidR="006C09B3" w:rsidRPr="006C09B3" w14:paraId="47F70296" w14:textId="77777777" w:rsidTr="00D74DA1">
        <w:trPr>
          <w:trHeight w:val="300"/>
          <w:jc w:val="center"/>
        </w:trPr>
        <w:tc>
          <w:tcPr>
            <w:tcW w:w="1600" w:type="dxa"/>
            <w:shd w:val="clear" w:color="auto" w:fill="FFFFFF" w:themeFill="background1"/>
            <w:noWrap/>
            <w:vAlign w:val="center"/>
            <w:hideMark/>
          </w:tcPr>
          <w:p w14:paraId="311507E1"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30</w:t>
            </w:r>
          </w:p>
        </w:tc>
        <w:tc>
          <w:tcPr>
            <w:tcW w:w="3200" w:type="dxa"/>
            <w:shd w:val="clear" w:color="auto" w:fill="FFFFFF" w:themeFill="background1"/>
            <w:noWrap/>
            <w:vAlign w:val="center"/>
            <w:hideMark/>
          </w:tcPr>
          <w:p w14:paraId="0EDC0E7F"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São José do Cedro</w:t>
            </w:r>
          </w:p>
        </w:tc>
        <w:tc>
          <w:tcPr>
            <w:tcW w:w="1420" w:type="dxa"/>
            <w:shd w:val="clear" w:color="auto" w:fill="FFFFFF" w:themeFill="background1"/>
            <w:noWrap/>
            <w:vAlign w:val="center"/>
            <w:hideMark/>
          </w:tcPr>
          <w:p w14:paraId="2B24CF41"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701</w:t>
            </w:r>
          </w:p>
        </w:tc>
        <w:tc>
          <w:tcPr>
            <w:tcW w:w="1540" w:type="dxa"/>
            <w:shd w:val="clear" w:color="auto" w:fill="FFFFFF" w:themeFill="background1"/>
            <w:noWrap/>
            <w:vAlign w:val="center"/>
            <w:hideMark/>
          </w:tcPr>
          <w:p w14:paraId="3E2FB9C8"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5%</w:t>
            </w:r>
          </w:p>
        </w:tc>
      </w:tr>
      <w:tr w:rsidR="006C09B3" w:rsidRPr="006C09B3" w14:paraId="34669F86" w14:textId="77777777" w:rsidTr="00D74DA1">
        <w:trPr>
          <w:trHeight w:val="300"/>
          <w:jc w:val="center"/>
        </w:trPr>
        <w:tc>
          <w:tcPr>
            <w:tcW w:w="1600" w:type="dxa"/>
            <w:shd w:val="clear" w:color="auto" w:fill="FFFFFF" w:themeFill="background1"/>
            <w:noWrap/>
            <w:vAlign w:val="center"/>
            <w:hideMark/>
          </w:tcPr>
          <w:p w14:paraId="6A2B1D3D"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31</w:t>
            </w:r>
          </w:p>
        </w:tc>
        <w:tc>
          <w:tcPr>
            <w:tcW w:w="3200" w:type="dxa"/>
            <w:shd w:val="clear" w:color="auto" w:fill="FFFFFF" w:themeFill="background1"/>
            <w:noWrap/>
            <w:vAlign w:val="center"/>
            <w:hideMark/>
          </w:tcPr>
          <w:p w14:paraId="130DAAD1"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São José do Cedro</w:t>
            </w:r>
          </w:p>
        </w:tc>
        <w:tc>
          <w:tcPr>
            <w:tcW w:w="1420" w:type="dxa"/>
            <w:shd w:val="clear" w:color="auto" w:fill="FFFFFF" w:themeFill="background1"/>
            <w:noWrap/>
            <w:vAlign w:val="center"/>
            <w:hideMark/>
          </w:tcPr>
          <w:p w14:paraId="0E5EDEDC"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714</w:t>
            </w:r>
          </w:p>
        </w:tc>
        <w:tc>
          <w:tcPr>
            <w:tcW w:w="1540" w:type="dxa"/>
            <w:shd w:val="clear" w:color="auto" w:fill="FFFFFF" w:themeFill="background1"/>
            <w:noWrap/>
            <w:vAlign w:val="center"/>
            <w:hideMark/>
          </w:tcPr>
          <w:p w14:paraId="6898439C"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w:t>
            </w:r>
          </w:p>
        </w:tc>
      </w:tr>
      <w:tr w:rsidR="006C09B3" w:rsidRPr="006C09B3" w14:paraId="3FE9BEF0" w14:textId="77777777" w:rsidTr="00D74DA1">
        <w:trPr>
          <w:trHeight w:val="300"/>
          <w:jc w:val="center"/>
        </w:trPr>
        <w:tc>
          <w:tcPr>
            <w:tcW w:w="1600" w:type="dxa"/>
            <w:shd w:val="clear" w:color="auto" w:fill="FFFFFF" w:themeFill="background1"/>
            <w:noWrap/>
            <w:vAlign w:val="center"/>
            <w:hideMark/>
          </w:tcPr>
          <w:p w14:paraId="6002A813"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34</w:t>
            </w:r>
          </w:p>
        </w:tc>
        <w:tc>
          <w:tcPr>
            <w:tcW w:w="3200" w:type="dxa"/>
            <w:shd w:val="clear" w:color="auto" w:fill="FFFFFF" w:themeFill="background1"/>
            <w:noWrap/>
            <w:vAlign w:val="center"/>
            <w:hideMark/>
          </w:tcPr>
          <w:p w14:paraId="60F6DD48"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Jupiá</w:t>
            </w:r>
          </w:p>
        </w:tc>
        <w:tc>
          <w:tcPr>
            <w:tcW w:w="1420" w:type="dxa"/>
            <w:shd w:val="clear" w:color="auto" w:fill="FFFFFF" w:themeFill="background1"/>
            <w:noWrap/>
            <w:vAlign w:val="center"/>
            <w:hideMark/>
          </w:tcPr>
          <w:p w14:paraId="79940113"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774</w:t>
            </w:r>
          </w:p>
        </w:tc>
        <w:tc>
          <w:tcPr>
            <w:tcW w:w="1540" w:type="dxa"/>
            <w:shd w:val="clear" w:color="auto" w:fill="FFFFFF" w:themeFill="background1"/>
            <w:noWrap/>
            <w:vAlign w:val="center"/>
            <w:hideMark/>
          </w:tcPr>
          <w:p w14:paraId="3DFA21A6"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18%</w:t>
            </w:r>
          </w:p>
        </w:tc>
      </w:tr>
      <w:tr w:rsidR="006C09B3" w:rsidRPr="006C09B3" w14:paraId="74EADC87" w14:textId="77777777" w:rsidTr="00D74DA1">
        <w:trPr>
          <w:trHeight w:val="300"/>
          <w:jc w:val="center"/>
        </w:trPr>
        <w:tc>
          <w:tcPr>
            <w:tcW w:w="1600" w:type="dxa"/>
            <w:shd w:val="clear" w:color="auto" w:fill="FFFFFF" w:themeFill="background1"/>
            <w:noWrap/>
            <w:vAlign w:val="center"/>
            <w:hideMark/>
          </w:tcPr>
          <w:p w14:paraId="054ECAAB"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39</w:t>
            </w:r>
          </w:p>
        </w:tc>
        <w:tc>
          <w:tcPr>
            <w:tcW w:w="3200" w:type="dxa"/>
            <w:shd w:val="clear" w:color="auto" w:fill="FFFFFF" w:themeFill="background1"/>
            <w:noWrap/>
            <w:vAlign w:val="center"/>
            <w:hideMark/>
          </w:tcPr>
          <w:p w14:paraId="3AC1AE8E"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Abelardo Luz</w:t>
            </w:r>
          </w:p>
        </w:tc>
        <w:tc>
          <w:tcPr>
            <w:tcW w:w="1420" w:type="dxa"/>
            <w:shd w:val="clear" w:color="auto" w:fill="FFFFFF" w:themeFill="background1"/>
            <w:noWrap/>
            <w:vAlign w:val="center"/>
            <w:hideMark/>
          </w:tcPr>
          <w:p w14:paraId="33524C69"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821</w:t>
            </w:r>
          </w:p>
        </w:tc>
        <w:tc>
          <w:tcPr>
            <w:tcW w:w="1540" w:type="dxa"/>
            <w:shd w:val="clear" w:color="auto" w:fill="FFFFFF" w:themeFill="background1"/>
            <w:noWrap/>
            <w:vAlign w:val="center"/>
            <w:hideMark/>
          </w:tcPr>
          <w:p w14:paraId="774A3547"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8%</w:t>
            </w:r>
          </w:p>
        </w:tc>
      </w:tr>
      <w:tr w:rsidR="006C09B3" w:rsidRPr="006C09B3" w14:paraId="0900197C" w14:textId="77777777" w:rsidTr="00D74DA1">
        <w:trPr>
          <w:trHeight w:val="300"/>
          <w:jc w:val="center"/>
        </w:trPr>
        <w:tc>
          <w:tcPr>
            <w:tcW w:w="1600" w:type="dxa"/>
            <w:tcBorders>
              <w:bottom w:val="single" w:sz="4" w:space="0" w:color="auto"/>
            </w:tcBorders>
            <w:shd w:val="clear" w:color="auto" w:fill="FFFFFF" w:themeFill="background1"/>
            <w:noWrap/>
            <w:vAlign w:val="center"/>
            <w:hideMark/>
          </w:tcPr>
          <w:p w14:paraId="711B0B12"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43</w:t>
            </w:r>
          </w:p>
        </w:tc>
        <w:tc>
          <w:tcPr>
            <w:tcW w:w="3200" w:type="dxa"/>
            <w:tcBorders>
              <w:bottom w:val="single" w:sz="4" w:space="0" w:color="auto"/>
            </w:tcBorders>
            <w:shd w:val="clear" w:color="auto" w:fill="FFFFFF" w:themeFill="background1"/>
            <w:noWrap/>
            <w:vAlign w:val="center"/>
            <w:hideMark/>
          </w:tcPr>
          <w:p w14:paraId="35849E43"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Abelardo Luz</w:t>
            </w:r>
          </w:p>
        </w:tc>
        <w:tc>
          <w:tcPr>
            <w:tcW w:w="1420" w:type="dxa"/>
            <w:tcBorders>
              <w:bottom w:val="single" w:sz="4" w:space="0" w:color="auto"/>
            </w:tcBorders>
            <w:shd w:val="clear" w:color="auto" w:fill="FFFFFF" w:themeFill="background1"/>
            <w:noWrap/>
            <w:vAlign w:val="center"/>
            <w:hideMark/>
          </w:tcPr>
          <w:p w14:paraId="3BB83965"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861</w:t>
            </w:r>
          </w:p>
        </w:tc>
        <w:tc>
          <w:tcPr>
            <w:tcW w:w="1540" w:type="dxa"/>
            <w:tcBorders>
              <w:bottom w:val="single" w:sz="4" w:space="0" w:color="auto"/>
            </w:tcBorders>
            <w:shd w:val="clear" w:color="auto" w:fill="FFFFFF" w:themeFill="background1"/>
            <w:noWrap/>
            <w:vAlign w:val="center"/>
            <w:hideMark/>
          </w:tcPr>
          <w:p w14:paraId="257EB55B" w14:textId="77777777" w:rsidR="006C09B3" w:rsidRPr="006C09B3" w:rsidRDefault="006C09B3" w:rsidP="006C09B3">
            <w:pPr>
              <w:autoSpaceDE/>
              <w:autoSpaceDN/>
              <w:adjustRightInd/>
              <w:spacing w:after="0" w:line="240" w:lineRule="auto"/>
              <w:ind w:firstLine="0"/>
              <w:jc w:val="center"/>
              <w:rPr>
                <w:rFonts w:eastAsia="Times New Roman"/>
                <w:color w:val="000000"/>
                <w:sz w:val="20"/>
                <w:szCs w:val="20"/>
                <w:lang w:eastAsia="pt-BR"/>
              </w:rPr>
            </w:pPr>
            <w:r w:rsidRPr="006C09B3">
              <w:rPr>
                <w:rFonts w:eastAsia="Times New Roman"/>
                <w:color w:val="000000"/>
                <w:sz w:val="20"/>
                <w:szCs w:val="20"/>
                <w:lang w:eastAsia="pt-BR"/>
              </w:rPr>
              <w:t>24%</w:t>
            </w:r>
          </w:p>
        </w:tc>
      </w:tr>
      <w:tr w:rsidR="006C09B3" w:rsidRPr="006C09B3" w14:paraId="663B2667" w14:textId="77777777" w:rsidTr="00D74DA1">
        <w:trPr>
          <w:trHeight w:val="300"/>
          <w:jc w:val="center"/>
        </w:trPr>
        <w:tc>
          <w:tcPr>
            <w:tcW w:w="1600" w:type="dxa"/>
            <w:tcBorders>
              <w:top w:val="single" w:sz="4" w:space="0" w:color="auto"/>
              <w:bottom w:val="single" w:sz="4" w:space="0" w:color="auto"/>
            </w:tcBorders>
            <w:shd w:val="clear" w:color="auto" w:fill="FFFFFF" w:themeFill="background1"/>
            <w:noWrap/>
            <w:vAlign w:val="center"/>
            <w:hideMark/>
          </w:tcPr>
          <w:p w14:paraId="63DE7114" w14:textId="77777777" w:rsidR="006C09B3" w:rsidRPr="006C09B3" w:rsidRDefault="006C09B3" w:rsidP="006C09B3">
            <w:pPr>
              <w:autoSpaceDE/>
              <w:autoSpaceDN/>
              <w:adjustRightInd/>
              <w:spacing w:after="0" w:line="240" w:lineRule="auto"/>
              <w:ind w:firstLine="0"/>
              <w:jc w:val="center"/>
              <w:rPr>
                <w:rFonts w:eastAsia="Times New Roman"/>
                <w:b/>
                <w:bCs/>
                <w:color w:val="000000"/>
                <w:szCs w:val="20"/>
                <w:lang w:eastAsia="pt-BR"/>
              </w:rPr>
            </w:pPr>
            <w:r w:rsidRPr="006C09B3">
              <w:rPr>
                <w:rFonts w:eastAsia="Times New Roman"/>
                <w:b/>
                <w:bCs/>
                <w:color w:val="000000"/>
                <w:szCs w:val="20"/>
                <w:lang w:eastAsia="pt-BR"/>
              </w:rPr>
              <w:t>Média</w:t>
            </w:r>
          </w:p>
        </w:tc>
        <w:tc>
          <w:tcPr>
            <w:tcW w:w="3200" w:type="dxa"/>
            <w:tcBorders>
              <w:top w:val="single" w:sz="4" w:space="0" w:color="auto"/>
              <w:bottom w:val="single" w:sz="4" w:space="0" w:color="auto"/>
            </w:tcBorders>
            <w:shd w:val="clear" w:color="auto" w:fill="FFFFFF" w:themeFill="background1"/>
            <w:noWrap/>
            <w:vAlign w:val="center"/>
            <w:hideMark/>
          </w:tcPr>
          <w:p w14:paraId="67A4ED98" w14:textId="77777777" w:rsidR="006C09B3" w:rsidRPr="006C09B3" w:rsidRDefault="006C09B3" w:rsidP="006C09B3">
            <w:pPr>
              <w:autoSpaceDE/>
              <w:autoSpaceDN/>
              <w:adjustRightInd/>
              <w:spacing w:after="0" w:line="240" w:lineRule="auto"/>
              <w:ind w:firstLine="0"/>
              <w:jc w:val="center"/>
              <w:rPr>
                <w:rFonts w:eastAsia="Times New Roman"/>
                <w:b/>
                <w:bCs/>
                <w:color w:val="000000"/>
                <w:szCs w:val="20"/>
                <w:lang w:eastAsia="pt-BR"/>
              </w:rPr>
            </w:pPr>
            <w:r w:rsidRPr="006C09B3">
              <w:rPr>
                <w:rFonts w:eastAsia="Times New Roman"/>
                <w:b/>
                <w:bCs/>
                <w:color w:val="000000"/>
                <w:szCs w:val="20"/>
                <w:lang w:eastAsia="pt-BR"/>
              </w:rPr>
              <w:t>Região Extremo Oeste</w:t>
            </w:r>
          </w:p>
        </w:tc>
        <w:tc>
          <w:tcPr>
            <w:tcW w:w="1420" w:type="dxa"/>
            <w:tcBorders>
              <w:top w:val="single" w:sz="4" w:space="0" w:color="auto"/>
              <w:bottom w:val="single" w:sz="4" w:space="0" w:color="auto"/>
            </w:tcBorders>
            <w:shd w:val="clear" w:color="auto" w:fill="FFFFFF" w:themeFill="background1"/>
            <w:noWrap/>
            <w:vAlign w:val="center"/>
            <w:hideMark/>
          </w:tcPr>
          <w:p w14:paraId="3D3BDE8C" w14:textId="77777777" w:rsidR="006C09B3" w:rsidRPr="006C09B3" w:rsidRDefault="006C09B3" w:rsidP="006C09B3">
            <w:pPr>
              <w:autoSpaceDE/>
              <w:autoSpaceDN/>
              <w:adjustRightInd/>
              <w:spacing w:after="0" w:line="240" w:lineRule="auto"/>
              <w:ind w:firstLine="0"/>
              <w:jc w:val="center"/>
              <w:rPr>
                <w:rFonts w:eastAsia="Times New Roman"/>
                <w:color w:val="000000"/>
                <w:szCs w:val="20"/>
                <w:lang w:eastAsia="pt-BR"/>
              </w:rPr>
            </w:pPr>
          </w:p>
        </w:tc>
        <w:tc>
          <w:tcPr>
            <w:tcW w:w="1540" w:type="dxa"/>
            <w:tcBorders>
              <w:top w:val="single" w:sz="4" w:space="0" w:color="auto"/>
              <w:bottom w:val="single" w:sz="4" w:space="0" w:color="auto"/>
            </w:tcBorders>
            <w:shd w:val="clear" w:color="auto" w:fill="FFFFFF" w:themeFill="background1"/>
            <w:noWrap/>
            <w:vAlign w:val="center"/>
            <w:hideMark/>
          </w:tcPr>
          <w:p w14:paraId="3CD58424" w14:textId="77777777" w:rsidR="006C09B3" w:rsidRPr="006C09B3" w:rsidRDefault="006C09B3" w:rsidP="006C09B3">
            <w:pPr>
              <w:autoSpaceDE/>
              <w:autoSpaceDN/>
              <w:adjustRightInd/>
              <w:spacing w:after="0" w:line="240" w:lineRule="auto"/>
              <w:ind w:firstLine="0"/>
              <w:jc w:val="center"/>
              <w:rPr>
                <w:rFonts w:eastAsia="Times New Roman"/>
                <w:b/>
                <w:bCs/>
                <w:color w:val="000000"/>
                <w:szCs w:val="20"/>
                <w:lang w:eastAsia="pt-BR"/>
              </w:rPr>
            </w:pPr>
            <w:r w:rsidRPr="006C09B3">
              <w:rPr>
                <w:rFonts w:eastAsia="Times New Roman"/>
                <w:b/>
                <w:bCs/>
                <w:color w:val="000000"/>
                <w:szCs w:val="20"/>
                <w:lang w:eastAsia="pt-BR"/>
              </w:rPr>
              <w:t>11%</w:t>
            </w:r>
          </w:p>
        </w:tc>
      </w:tr>
    </w:tbl>
    <w:p w14:paraId="2E951B4E" w14:textId="77777777" w:rsidR="006C09B3" w:rsidRDefault="006C09B3" w:rsidP="00777EAF">
      <w:pPr>
        <w:spacing w:after="0" w:line="360" w:lineRule="auto"/>
        <w:ind w:firstLine="0"/>
        <w:rPr>
          <w:lang w:eastAsia="pt-BR"/>
        </w:rPr>
      </w:pPr>
    </w:p>
    <w:p w14:paraId="2D01D4A3" w14:textId="77777777" w:rsidR="00753F74" w:rsidRDefault="00E75456" w:rsidP="00777EAF">
      <w:pPr>
        <w:spacing w:after="0" w:line="360" w:lineRule="auto"/>
        <w:ind w:firstLine="708"/>
        <w:rPr>
          <w:lang w:eastAsia="pt-BR"/>
        </w:rPr>
      </w:pPr>
      <w:r w:rsidRPr="00B7238F">
        <w:rPr>
          <w:lang w:eastAsia="pt-BR"/>
        </w:rPr>
        <w:t>Na região do planalto catarinense as frequências da mutação variaram de 0 a 25 %, sendo que cinco populações do fungo em um total de quatorze apresentaram frequência entre 0 e 3 % (Tabela 15).</w:t>
      </w:r>
    </w:p>
    <w:p w14:paraId="76316E7A" w14:textId="77777777" w:rsidR="00753F74" w:rsidRDefault="00E75456" w:rsidP="00777EAF">
      <w:pPr>
        <w:spacing w:after="0" w:line="360" w:lineRule="auto"/>
        <w:ind w:firstLine="708"/>
        <w:rPr>
          <w:lang w:eastAsia="pt-BR"/>
        </w:rPr>
      </w:pPr>
      <w:r w:rsidRPr="00B7238F">
        <w:rPr>
          <w:lang w:eastAsia="pt-BR"/>
        </w:rPr>
        <w:t>A região oeste apresenta o maior valor médio de frequência de mutação (19%), porém três populações de um total de sete apresentaram valores iguais ou inferiores a 7 % (Tabela 16).</w:t>
      </w:r>
      <w:r w:rsidR="0027557E" w:rsidRPr="00B7238F">
        <w:rPr>
          <w:lang w:eastAsia="pt-BR"/>
        </w:rPr>
        <w:t xml:space="preserve"> </w:t>
      </w:r>
      <w:r w:rsidRPr="00B7238F">
        <w:rPr>
          <w:lang w:eastAsia="pt-BR"/>
        </w:rPr>
        <w:t>Além disto, foram detectadas amostras com valores entre 1 e 49 %.</w:t>
      </w:r>
    </w:p>
    <w:p w14:paraId="37A59060" w14:textId="77777777" w:rsidR="00753F74" w:rsidRDefault="00E75456" w:rsidP="00777EAF">
      <w:pPr>
        <w:spacing w:after="0" w:line="360" w:lineRule="auto"/>
        <w:ind w:firstLine="708"/>
        <w:rPr>
          <w:lang w:eastAsia="pt-BR"/>
        </w:rPr>
      </w:pPr>
      <w:r w:rsidRPr="00B7238F">
        <w:rPr>
          <w:lang w:eastAsia="pt-BR"/>
        </w:rPr>
        <w:t>No extremo oeste as frequências da mutação I86F observadas variaram de 0 a 32 %, contudo sete amostras de um total de quinze apresentaram valores entre 0 e 5 %.</w:t>
      </w:r>
    </w:p>
    <w:p w14:paraId="57CAE21D" w14:textId="1C6FAF91" w:rsidR="00753F74" w:rsidRDefault="00753F74" w:rsidP="00777EAF">
      <w:pPr>
        <w:spacing w:after="0" w:line="360" w:lineRule="auto"/>
        <w:ind w:firstLine="708"/>
        <w:rPr>
          <w:lang w:eastAsia="pt-BR"/>
        </w:rPr>
      </w:pPr>
    </w:p>
    <w:p w14:paraId="7DBC4812" w14:textId="77777777" w:rsidR="00753F74" w:rsidRDefault="00597BBE" w:rsidP="00777EAF">
      <w:pPr>
        <w:pStyle w:val="Ttulo2"/>
        <w:spacing w:after="0" w:line="360" w:lineRule="auto"/>
      </w:pPr>
      <w:bookmarkStart w:id="282" w:name="_Toc22568275"/>
      <w:r w:rsidRPr="00B7238F">
        <w:t>6.5 DISCUSSÃO</w:t>
      </w:r>
      <w:bookmarkEnd w:id="282"/>
    </w:p>
    <w:p w14:paraId="33687DAD" w14:textId="77777777" w:rsidR="00753F74" w:rsidRDefault="00753F74" w:rsidP="00777EAF">
      <w:pPr>
        <w:spacing w:after="0" w:line="360" w:lineRule="auto"/>
        <w:ind w:firstLine="708"/>
      </w:pPr>
    </w:p>
    <w:p w14:paraId="53D30902" w14:textId="77777777" w:rsidR="00603F3E" w:rsidRDefault="00597BBE" w:rsidP="00777EAF">
      <w:pPr>
        <w:spacing w:after="0" w:line="360" w:lineRule="auto"/>
        <w:ind w:firstLine="708"/>
      </w:pPr>
      <w:r w:rsidRPr="00B7238F">
        <w:t xml:space="preserve">Não há informações de levantamentos e/ou variabilidade de mutações na enzima succinato desidrogenase em </w:t>
      </w:r>
      <w:r w:rsidRPr="00B7238F">
        <w:rPr>
          <w:i/>
        </w:rPr>
        <w:t>P. pachyrhizi</w:t>
      </w:r>
      <w:r w:rsidRPr="00B7238F">
        <w:t xml:space="preserve"> na literatura. Para está mutação está publicado apenas o first report da mutação I86F na subunidade C da enzima succinato desidrogenase em </w:t>
      </w:r>
      <w:r w:rsidRPr="00B7238F">
        <w:rPr>
          <w:i/>
        </w:rPr>
        <w:t>P. pachyrhizi</w:t>
      </w:r>
      <w:r w:rsidRPr="00B7238F">
        <w:t xml:space="preserve"> (SIMÕES et al., 2017), não havendo o relato da existência da mesma no Estado de Santa Catarina.</w:t>
      </w:r>
    </w:p>
    <w:p w14:paraId="275DBE16" w14:textId="77777777" w:rsidR="00603F3E" w:rsidRDefault="00597BBE" w:rsidP="00777EAF">
      <w:pPr>
        <w:spacing w:after="0" w:line="360" w:lineRule="auto"/>
        <w:ind w:firstLine="708"/>
      </w:pPr>
      <w:r w:rsidRPr="00B7238F">
        <w:t>Os resultados demonstram que a mutação está presente em mais de 90 % das populações do fungo avaliadas no Estado de Santa Catarina na safra 2017/18. Porém ao agruparmos os dados por regiões do estado ou altitude, foi observado desvio padrão superior a média. A variabilidade pode estar relacionada aos programas de aplicações de fungicidas utilizados nas lavouras em que foram coletadas as populações do patógeno.</w:t>
      </w:r>
    </w:p>
    <w:p w14:paraId="5B2DD619" w14:textId="5BF87AC2" w:rsidR="00603F3E" w:rsidRDefault="00597BBE" w:rsidP="00777EAF">
      <w:pPr>
        <w:spacing w:after="0" w:line="360" w:lineRule="auto"/>
        <w:ind w:firstLine="708"/>
      </w:pPr>
      <w:r w:rsidRPr="00B7238F">
        <w:t xml:space="preserve">Em 59,4 % das populações de </w:t>
      </w:r>
      <w:r w:rsidRPr="00B7238F">
        <w:rPr>
          <w:i/>
        </w:rPr>
        <w:t>P. pachyrhizi</w:t>
      </w:r>
      <w:r w:rsidRPr="00B7238F">
        <w:t xml:space="preserve"> avaliadas os valores de frequência da mutação I86F estiveram iguais ou inferiores a 10 %. Simões e colaboradores (2017) ao avaliar uma população de </w:t>
      </w:r>
      <w:r w:rsidRPr="00B7238F">
        <w:rPr>
          <w:i/>
        </w:rPr>
        <w:t>P. pachyrhizi</w:t>
      </w:r>
      <w:r w:rsidRPr="00B7238F">
        <w:t xml:space="preserve"> com 10 % de frequência da mutação I86F, observaram CI</w:t>
      </w:r>
      <w:r w:rsidRPr="00B7238F">
        <w:rPr>
          <w:vertAlign w:val="subscript"/>
        </w:rPr>
        <w:t xml:space="preserve">50 </w:t>
      </w:r>
      <w:r w:rsidRPr="00B7238F">
        <w:t xml:space="preserve">para benzovindiflupir igual ou duas vezes maior em que populações sem a presença da mutação. Além disto, para este levantamento as populações do fungo foram coletadas no final do ciclo da soja, momento o qual a população do patógeno foi submetida ao maior período de exposição ao fungicida se considerarmos que carboxamidas são pulverizadas no início do ciclo. Caso haja custo adaptativo para isolados mutantes, há uma tendência de redução da frequência da mutação nas populações que estarão se multiplicando na entressafra, e consequente as populações submetidas as aplicações de fungicidas do grupo químico das carboxamidas no próximo ano agrícola podem apresentar menor frequência da mutação quando comparadas aos valores observados no levantamento. Desta forma, os fungicidas do grupo químico das carboxamidas são importantes para elaborarmos programas de aplicação de fungicidas com alternância de mecanismos de ação, reduzindo assim a pressão de seleção sobre os demais grupos químicos utilizados no controle da </w:t>
      </w:r>
      <w:r w:rsidR="00603F3E">
        <w:t>FAS.</w:t>
      </w:r>
    </w:p>
    <w:p w14:paraId="6926F3A2" w14:textId="6DEDE9C3" w:rsidR="00597BBE" w:rsidRPr="00B7238F" w:rsidRDefault="00597BBE" w:rsidP="00777EAF">
      <w:pPr>
        <w:spacing w:after="0" w:line="360" w:lineRule="auto"/>
      </w:pPr>
      <w:r w:rsidRPr="00B7238F">
        <w:t xml:space="preserve">Contudo ao avaliar os valores médios de cada faixa de altitude, observa-se aumento da frequência da mutação I86F em lavouras de soja cultivadas em locais de menor altitude. Enquanto que a média das lavouras localizadas na região do planalto catarinense e extremo oeste apresentam populações de </w:t>
      </w:r>
      <w:r w:rsidRPr="00B7238F">
        <w:rPr>
          <w:i/>
        </w:rPr>
        <w:t>P. pachyrhizi</w:t>
      </w:r>
      <w:r w:rsidRPr="00B7238F">
        <w:t xml:space="preserve"> com menor frequência da mutação I86F em relação as coletadas na região oeste do estado.</w:t>
      </w:r>
    </w:p>
    <w:p w14:paraId="165D8A03" w14:textId="77777777" w:rsidR="00597BBE" w:rsidRPr="00B7238F" w:rsidRDefault="00597BBE" w:rsidP="00777EAF">
      <w:pPr>
        <w:spacing w:after="0" w:line="360" w:lineRule="auto"/>
      </w:pPr>
      <w:r w:rsidRPr="00B7238F">
        <w:tab/>
      </w:r>
    </w:p>
    <w:p w14:paraId="2FCD9B22" w14:textId="77777777" w:rsidR="00A346CA" w:rsidRDefault="00A346CA" w:rsidP="00777EAF">
      <w:pPr>
        <w:spacing w:after="0" w:line="360" w:lineRule="auto"/>
      </w:pPr>
    </w:p>
    <w:p w14:paraId="1D8447BE" w14:textId="1A9C94B6" w:rsidR="00597BBE" w:rsidRPr="00B7238F" w:rsidRDefault="00597BBE" w:rsidP="00777EAF">
      <w:pPr>
        <w:pStyle w:val="Ttulo2"/>
        <w:spacing w:before="0" w:after="0" w:line="360" w:lineRule="auto"/>
      </w:pPr>
      <w:bookmarkStart w:id="283" w:name="_Toc22568276"/>
      <w:r w:rsidRPr="00B7238F">
        <w:t>6.6 CONCLUSÕES</w:t>
      </w:r>
      <w:bookmarkEnd w:id="283"/>
      <w:r w:rsidRPr="00B7238F">
        <w:t xml:space="preserve"> </w:t>
      </w:r>
    </w:p>
    <w:p w14:paraId="3E2A90BC" w14:textId="77777777" w:rsidR="00603F3E" w:rsidRDefault="00603F3E" w:rsidP="00777EAF">
      <w:pPr>
        <w:spacing w:after="0" w:line="360" w:lineRule="auto"/>
      </w:pPr>
    </w:p>
    <w:p w14:paraId="60631513" w14:textId="77777777" w:rsidR="00603F3E" w:rsidRDefault="00597BBE" w:rsidP="00777EAF">
      <w:pPr>
        <w:spacing w:after="0" w:line="360" w:lineRule="auto"/>
      </w:pPr>
      <w:r w:rsidRPr="00B7238F">
        <w:t>A mutação I86F na subunidade C da enzima succinato desidrogenase está presente</w:t>
      </w:r>
      <w:r w:rsidR="006D1EA3" w:rsidRPr="00B7238F">
        <w:t xml:space="preserve"> em todas as regiões onde foram avaliadas </w:t>
      </w:r>
      <w:r w:rsidRPr="00B7238F">
        <w:t xml:space="preserve">populações de </w:t>
      </w:r>
      <w:r w:rsidRPr="00B7238F">
        <w:rPr>
          <w:i/>
        </w:rPr>
        <w:t>P. pachyrhizi</w:t>
      </w:r>
      <w:r w:rsidRPr="00B7238F">
        <w:t xml:space="preserve"> </w:t>
      </w:r>
      <w:r w:rsidR="006D1EA3" w:rsidRPr="00B7238F">
        <w:t xml:space="preserve">no </w:t>
      </w:r>
      <w:r w:rsidRPr="00B7238F">
        <w:t xml:space="preserve">estado </w:t>
      </w:r>
      <w:r w:rsidR="006D1EA3" w:rsidRPr="00B7238F">
        <w:t xml:space="preserve">de </w:t>
      </w:r>
      <w:r w:rsidRPr="00B7238F">
        <w:t>Santa Catarina.</w:t>
      </w:r>
    </w:p>
    <w:p w14:paraId="70F860AC" w14:textId="77777777" w:rsidR="00603F3E" w:rsidRDefault="00597BBE" w:rsidP="00777EAF">
      <w:pPr>
        <w:spacing w:after="0" w:line="360" w:lineRule="auto"/>
      </w:pPr>
      <w:r w:rsidRPr="00B7238F">
        <w:t>Independente da altitude de coleta das populações do fungo, há presença da mutação I86F.</w:t>
      </w:r>
    </w:p>
    <w:p w14:paraId="18D076DA" w14:textId="77777777" w:rsidR="00603F3E" w:rsidRDefault="00597BBE" w:rsidP="00777EAF">
      <w:pPr>
        <w:spacing w:after="0" w:line="360" w:lineRule="auto"/>
      </w:pPr>
      <w:r w:rsidRPr="00B7238F">
        <w:t>A maior</w:t>
      </w:r>
      <w:r w:rsidR="00FC5D45" w:rsidRPr="00B7238F">
        <w:t xml:space="preserve">ia </w:t>
      </w:r>
      <w:r w:rsidRPr="00B7238F">
        <w:t xml:space="preserve">das populações de </w:t>
      </w:r>
      <w:r w:rsidRPr="00B7238F">
        <w:rPr>
          <w:i/>
        </w:rPr>
        <w:t>P. pachyrhizi</w:t>
      </w:r>
      <w:r w:rsidRPr="00B7238F">
        <w:t xml:space="preserve"> avaliadas apresentam valores baixos de frequência da mutação I86F (inferior a 10%).</w:t>
      </w:r>
    </w:p>
    <w:p w14:paraId="01160F04" w14:textId="77777777" w:rsidR="00603F3E" w:rsidRDefault="006003C6" w:rsidP="00777EAF">
      <w:pPr>
        <w:spacing w:after="0" w:line="360" w:lineRule="auto"/>
      </w:pPr>
      <w:r w:rsidRPr="00B7238F">
        <w:t xml:space="preserve">A variabilidade da mutação observada dentro das regiões e/ou altitudes demonstra haver populações de </w:t>
      </w:r>
      <w:r w:rsidRPr="00B7238F">
        <w:rPr>
          <w:i/>
        </w:rPr>
        <w:t>P. pachyrhizi</w:t>
      </w:r>
      <w:r w:rsidRPr="00B7238F">
        <w:t xml:space="preserve"> distintas em pontos de coleta com característica de clima similar.</w:t>
      </w:r>
    </w:p>
    <w:p w14:paraId="7525C638" w14:textId="77777777" w:rsidR="00243816" w:rsidRDefault="00597BBE" w:rsidP="00777EAF">
      <w:pPr>
        <w:spacing w:after="0" w:line="360" w:lineRule="auto"/>
      </w:pPr>
      <w:r w:rsidRPr="00B7238F">
        <w:t xml:space="preserve">Os dados obtidos neste levantamento servirão como base para o monitoramento desta mutação em populações de </w:t>
      </w:r>
      <w:r w:rsidRPr="00B7238F">
        <w:rPr>
          <w:i/>
        </w:rPr>
        <w:t>P. pachyrhizi</w:t>
      </w:r>
      <w:r w:rsidRPr="00B7238F">
        <w:t xml:space="preserve"> nos próximos anos agrícolas</w:t>
      </w:r>
      <w:r w:rsidR="006003C6" w:rsidRPr="00B7238F">
        <w:t xml:space="preserve"> no estado de Santa Catarina</w:t>
      </w:r>
      <w:r w:rsidRPr="00B7238F">
        <w:t>.</w:t>
      </w:r>
      <w:bookmarkStart w:id="284" w:name="_Hlk15475621"/>
      <w:bookmarkStart w:id="285" w:name="_Hlk16081203"/>
    </w:p>
    <w:p w14:paraId="353F85EC" w14:textId="04917430" w:rsidR="00243816" w:rsidRDefault="00243816" w:rsidP="00777EAF">
      <w:pPr>
        <w:spacing w:after="0" w:line="360" w:lineRule="auto"/>
      </w:pPr>
    </w:p>
    <w:p w14:paraId="5B22F641" w14:textId="674E0AE1" w:rsidR="00A346CA" w:rsidRDefault="00A346CA" w:rsidP="00777EAF">
      <w:pPr>
        <w:spacing w:after="0" w:line="360" w:lineRule="auto"/>
      </w:pPr>
    </w:p>
    <w:p w14:paraId="38044FD3" w14:textId="187735AF" w:rsidR="00A346CA" w:rsidRDefault="00A346CA" w:rsidP="00777EAF">
      <w:pPr>
        <w:spacing w:after="0" w:line="360" w:lineRule="auto"/>
      </w:pPr>
    </w:p>
    <w:p w14:paraId="305340DC" w14:textId="04EBF9F0" w:rsidR="00A346CA" w:rsidRDefault="00A346CA" w:rsidP="00777EAF">
      <w:pPr>
        <w:spacing w:after="0" w:line="360" w:lineRule="auto"/>
      </w:pPr>
    </w:p>
    <w:p w14:paraId="6BE020A3" w14:textId="1050ECC0" w:rsidR="00A346CA" w:rsidRDefault="00A346CA" w:rsidP="00777EAF">
      <w:pPr>
        <w:spacing w:after="0" w:line="360" w:lineRule="auto"/>
      </w:pPr>
    </w:p>
    <w:p w14:paraId="0B974C02" w14:textId="58281738" w:rsidR="00777EAF" w:rsidRDefault="00777EAF">
      <w:pPr>
        <w:autoSpaceDE/>
        <w:autoSpaceDN/>
        <w:adjustRightInd/>
        <w:ind w:firstLine="0"/>
        <w:jc w:val="left"/>
      </w:pPr>
      <w:r>
        <w:br w:type="page"/>
      </w:r>
    </w:p>
    <w:p w14:paraId="192ED486" w14:textId="58C0297A" w:rsidR="00243816" w:rsidRDefault="003512E1" w:rsidP="00243816">
      <w:pPr>
        <w:pStyle w:val="Ttulo1"/>
      </w:pPr>
      <w:bookmarkStart w:id="286" w:name="_Toc22568277"/>
      <w:r w:rsidRPr="00B7238F">
        <w:t xml:space="preserve">7 </w:t>
      </w:r>
      <w:r w:rsidR="00777EAF" w:rsidRPr="00B7238F">
        <w:t xml:space="preserve">FREQUÊNCIA DA MUTAÇÃO I86F EM POPULAÇÕES DE </w:t>
      </w:r>
      <w:r w:rsidR="00B603BD" w:rsidRPr="00B7238F">
        <w:rPr>
          <w:i/>
          <w:iCs/>
        </w:rPr>
        <w:t xml:space="preserve">Phakopsora pachyrhizi </w:t>
      </w:r>
      <w:r w:rsidR="00777EAF" w:rsidRPr="00B7238F">
        <w:rPr>
          <w:iCs/>
        </w:rPr>
        <w:t>SUBMETIDAS A P</w:t>
      </w:r>
      <w:r w:rsidR="00777EAF" w:rsidRPr="00B7238F">
        <w:t>ROGRAMAS DE APLICAÇÕES DE FUNGICIDAS E RESISTÊNCIA GENÉTICA</w:t>
      </w:r>
      <w:bookmarkEnd w:id="286"/>
    </w:p>
    <w:p w14:paraId="2FA2A994" w14:textId="77777777" w:rsidR="00243816" w:rsidRPr="00243816" w:rsidRDefault="00243816" w:rsidP="00777EAF">
      <w:pPr>
        <w:spacing w:after="0" w:line="360" w:lineRule="auto"/>
      </w:pPr>
    </w:p>
    <w:p w14:paraId="64B7496E" w14:textId="0E506C15" w:rsidR="00243816" w:rsidRDefault="008F769A" w:rsidP="009B54A5">
      <w:pPr>
        <w:pStyle w:val="Ttulo2"/>
        <w:spacing w:line="240" w:lineRule="auto"/>
      </w:pPr>
      <w:bookmarkStart w:id="287" w:name="_Toc22568278"/>
      <w:r w:rsidRPr="00B7238F">
        <w:t>7</w:t>
      </w:r>
      <w:r w:rsidR="00F62C7E" w:rsidRPr="00B7238F">
        <w:t>.1 RESUMO</w:t>
      </w:r>
      <w:bookmarkEnd w:id="287"/>
    </w:p>
    <w:p w14:paraId="3E4F28E3" w14:textId="77777777" w:rsidR="00243816" w:rsidRPr="00243816" w:rsidRDefault="00243816" w:rsidP="00777EAF">
      <w:pPr>
        <w:spacing w:after="0" w:line="240" w:lineRule="auto"/>
      </w:pPr>
    </w:p>
    <w:p w14:paraId="3BD69EC0" w14:textId="5DBD14B5" w:rsidR="009B54A5" w:rsidRDefault="00264D90" w:rsidP="00777EAF">
      <w:pPr>
        <w:spacing w:after="0" w:line="240" w:lineRule="auto"/>
        <w:ind w:firstLine="0"/>
        <w:rPr>
          <w:rFonts w:eastAsiaTheme="minorEastAsia"/>
          <w:iCs/>
          <w:kern w:val="24"/>
        </w:rPr>
      </w:pPr>
      <w:r w:rsidRPr="00B7238F">
        <w:t xml:space="preserve">A estratégia de manejo utilizada com maior frequência visando </w:t>
      </w:r>
      <w:r w:rsidR="009A3302" w:rsidRPr="00B7238F">
        <w:t xml:space="preserve">o </w:t>
      </w:r>
      <w:r w:rsidRPr="00B7238F">
        <w:t>controle</w:t>
      </w:r>
      <w:r w:rsidR="009A3302" w:rsidRPr="00B7238F">
        <w:t xml:space="preserve"> da FAS</w:t>
      </w:r>
      <w:r w:rsidRPr="00B7238F">
        <w:t xml:space="preserve"> é a aplicação de fungicidas. </w:t>
      </w:r>
      <w:r w:rsidR="009A3302" w:rsidRPr="00B7238F">
        <w:t xml:space="preserve">A redução de eficiência de controle da FAS tem sido observada para os principais fungicidas recomendados. Os fungicidas do grupo químico das carboxamidas são os fungicidas registrados mais recentes recentemente para controle da doença, porém foi relatada a mutação I86F na subunidade c da enzima succinato desidrogenase em populações de </w:t>
      </w:r>
      <w:r w:rsidR="009A3302" w:rsidRPr="00B7238F">
        <w:rPr>
          <w:i/>
        </w:rPr>
        <w:t>P. pachyrhizi</w:t>
      </w:r>
      <w:r w:rsidR="00055CAA" w:rsidRPr="00B7238F">
        <w:rPr>
          <w:i/>
        </w:rPr>
        <w:t>,</w:t>
      </w:r>
      <w:r w:rsidR="009A3302" w:rsidRPr="00B7238F">
        <w:t xml:space="preserve"> a qual ocasionada redução de sensibilidade a carboxamidas. Não há informações sobre efeito de diferentes programas de aplicação de fungicidas, uso de resistência genética e/ou misturas de fungicidas no manejo de resistência de </w:t>
      </w:r>
      <w:r w:rsidR="009A3302" w:rsidRPr="00B7238F">
        <w:rPr>
          <w:i/>
        </w:rPr>
        <w:t>P. pachyrhizi</w:t>
      </w:r>
      <w:r w:rsidR="009A3302" w:rsidRPr="00B7238F">
        <w:t xml:space="preserve"> a fungicidas do grupo químico das carboxamidas.</w:t>
      </w:r>
      <w:r w:rsidRPr="00B7238F">
        <w:t xml:space="preserve"> </w:t>
      </w:r>
      <w:r w:rsidR="009A3302" w:rsidRPr="00B7238F">
        <w:t>Os objetivos deste trabalho foram: I)</w:t>
      </w:r>
      <w:r w:rsidR="009A3302" w:rsidRPr="00B7238F">
        <w:rPr>
          <w:rFonts w:eastAsiaTheme="minorEastAsia"/>
          <w:kern w:val="24"/>
        </w:rPr>
        <w:t xml:space="preserve"> Avaliar o efeito de programas de aplicações de fungicidas na ocorrência e frequência da mutação I86F em populações de </w:t>
      </w:r>
      <w:r w:rsidR="009A3302" w:rsidRPr="00B7238F">
        <w:rPr>
          <w:rFonts w:eastAsiaTheme="minorEastAsia"/>
          <w:i/>
          <w:iCs/>
          <w:kern w:val="24"/>
        </w:rPr>
        <w:t>P. pachyrhizi;</w:t>
      </w:r>
      <w:r w:rsidR="009A3302" w:rsidRPr="00B7238F">
        <w:t xml:space="preserve"> II) </w:t>
      </w:r>
      <w:r w:rsidR="009A3302" w:rsidRPr="00B7238F">
        <w:rPr>
          <w:rFonts w:eastAsiaTheme="minorEastAsia"/>
          <w:iCs/>
          <w:kern w:val="24"/>
        </w:rPr>
        <w:t>Q</w:t>
      </w:r>
      <w:r w:rsidR="009A3302" w:rsidRPr="00B7238F">
        <w:rPr>
          <w:rFonts w:eastAsiaTheme="minorEastAsia"/>
          <w:kern w:val="24"/>
        </w:rPr>
        <w:t xml:space="preserve">uantificar o efeito de cultivares de soja com </w:t>
      </w:r>
      <w:r w:rsidR="00C5591D">
        <w:rPr>
          <w:rFonts w:eastAsiaTheme="minorEastAsia"/>
          <w:kern w:val="24"/>
        </w:rPr>
        <w:t xml:space="preserve">a tecnologia Inox </w:t>
      </w:r>
      <w:r w:rsidR="009A3302" w:rsidRPr="00B7238F">
        <w:rPr>
          <w:rFonts w:eastAsiaTheme="minorEastAsia"/>
          <w:kern w:val="24"/>
        </w:rPr>
        <w:t xml:space="preserve">na ocorrência e frequência da mutação I86F em populações de </w:t>
      </w:r>
      <w:r w:rsidR="009A3302" w:rsidRPr="00B7238F">
        <w:rPr>
          <w:rFonts w:eastAsiaTheme="minorEastAsia"/>
          <w:i/>
          <w:iCs/>
          <w:kern w:val="24"/>
        </w:rPr>
        <w:t>P. pachyrhizi;</w:t>
      </w:r>
      <w:r w:rsidR="009A3302" w:rsidRPr="00B7238F">
        <w:t xml:space="preserve"> III) </w:t>
      </w:r>
      <w:r w:rsidR="009A3302" w:rsidRPr="00B7238F">
        <w:rPr>
          <w:rFonts w:eastAsiaTheme="minorEastAsia"/>
          <w:kern w:val="24"/>
        </w:rPr>
        <w:t xml:space="preserve">Avaliar misturas de fungicidas e sua relação com a frequência da mutação I86F em populações de </w:t>
      </w:r>
      <w:r w:rsidR="009A3302" w:rsidRPr="00B7238F">
        <w:rPr>
          <w:rFonts w:eastAsiaTheme="minorEastAsia"/>
          <w:i/>
          <w:iCs/>
          <w:kern w:val="24"/>
        </w:rPr>
        <w:t>P. pachyrhizi.</w:t>
      </w:r>
    </w:p>
    <w:p w14:paraId="4C3B4558" w14:textId="62569254" w:rsidR="0067288C" w:rsidRPr="00243816" w:rsidRDefault="004E124C" w:rsidP="00777EAF">
      <w:pPr>
        <w:spacing w:after="0" w:line="240" w:lineRule="auto"/>
        <w:ind w:firstLine="0"/>
        <w:rPr>
          <w:rFonts w:eastAsiaTheme="minorEastAsia"/>
          <w:i/>
          <w:iCs/>
          <w:kern w:val="24"/>
        </w:rPr>
      </w:pPr>
      <w:r w:rsidRPr="00B7238F">
        <w:t xml:space="preserve">Foram </w:t>
      </w:r>
      <w:r w:rsidR="005F5D0A" w:rsidRPr="00B7238F">
        <w:t>realizados três experimentos de campo sob condições de inóculo natural do patógeno, sendo cada um destes relacionados com um dos objetivos acima. As aplicações de fungicidas foram realizadas com pulverizador costal CO</w:t>
      </w:r>
      <w:r w:rsidR="005F5D0A" w:rsidRPr="00B7238F">
        <w:rPr>
          <w:vertAlign w:val="subscript"/>
        </w:rPr>
        <w:t xml:space="preserve">2, </w:t>
      </w:r>
      <w:r w:rsidR="005F5D0A" w:rsidRPr="00B7238F">
        <w:t>sendo a primeira no estádio fenológico V7/V8 e as demais com intervalo de quinze dias</w:t>
      </w:r>
      <w:r w:rsidR="007A48D6" w:rsidRPr="00B7238F">
        <w:t>,</w:t>
      </w:r>
      <w:r w:rsidR="005F5D0A" w:rsidRPr="00B7238F">
        <w:t xml:space="preserve"> até o estádio fenológico R6. Folhas contendo urédias e uredosporos de </w:t>
      </w:r>
      <w:r w:rsidR="005F5D0A" w:rsidRPr="00B7238F">
        <w:rPr>
          <w:i/>
        </w:rPr>
        <w:t xml:space="preserve">P. pachyrhizi </w:t>
      </w:r>
      <w:r w:rsidR="005F5D0A" w:rsidRPr="00B7238F">
        <w:t xml:space="preserve">foram coletadas em diferentes momentos do ciclo da cultura, as quais foram excicatadas. Apartir das folhas excicatadas foram cortadas discos contendos urédias e uredosporos, dos quais foi extraído DNA e quantificado a frequência da mutação I86F. </w:t>
      </w:r>
      <w:r w:rsidR="0067288C" w:rsidRPr="00B7238F">
        <w:t>A frequência da mutação I86F observad</w:t>
      </w:r>
      <w:r w:rsidR="007A48D6" w:rsidRPr="00B7238F">
        <w:t>a</w:t>
      </w:r>
      <w:r w:rsidR="0067288C" w:rsidRPr="00B7238F">
        <w:t xml:space="preserve"> foi menor nos tratamentos sem aplicação de fungicidas do grupo químico das carboxamidas. </w:t>
      </w:r>
      <w:r w:rsidR="005F5D0A" w:rsidRPr="00B7238F">
        <w:t xml:space="preserve">Os tratamentos com aplicações de azoxistrobina + benzovindiflupir obtiveram maiores valores de frequência da mutação I86F quando comparados a piraclostrobina + fluxapiroxada. A utilização de cultivar com </w:t>
      </w:r>
      <w:r w:rsidR="00C5591D">
        <w:t>tecnologia Inox</w:t>
      </w:r>
      <w:r w:rsidR="00F30126" w:rsidRPr="00B7238F">
        <w:t xml:space="preserve"> proporcionou menores valores de frequência da mutação em relação a cultivar sem gene de resistência. A adição de fenpropimorfo a piraclostrobina + fluxapyroxada reduziu a frequência da mutação I86F em populações de </w:t>
      </w:r>
      <w:r w:rsidR="00F30126" w:rsidRPr="00B7238F">
        <w:rPr>
          <w:i/>
        </w:rPr>
        <w:t xml:space="preserve">P. pachyrhizi. </w:t>
      </w:r>
      <w:r w:rsidR="0067288C" w:rsidRPr="00B7238F">
        <w:rPr>
          <w:color w:val="000000" w:themeColor="text1"/>
        </w:rPr>
        <w:t xml:space="preserve">A utilização de cultivar de soja com </w:t>
      </w:r>
      <w:r w:rsidR="00C5591D">
        <w:rPr>
          <w:color w:val="000000" w:themeColor="text1"/>
        </w:rPr>
        <w:t>a tecnologia Inox</w:t>
      </w:r>
      <w:r w:rsidR="0067288C" w:rsidRPr="00B7238F">
        <w:rPr>
          <w:color w:val="000000" w:themeColor="text1"/>
        </w:rPr>
        <w:t xml:space="preserve"> </w:t>
      </w:r>
      <w:r w:rsidR="002606EF" w:rsidRPr="00B7238F">
        <w:rPr>
          <w:color w:val="000000" w:themeColor="text1"/>
        </w:rPr>
        <w:t xml:space="preserve">é uma estratégia de manejo integrado, que pode ser utilizada visando o manejo de resistência de </w:t>
      </w:r>
      <w:r w:rsidR="002606EF" w:rsidRPr="00B7238F">
        <w:rPr>
          <w:i/>
          <w:color w:val="000000" w:themeColor="text1"/>
        </w:rPr>
        <w:t>P. pachyrhizi</w:t>
      </w:r>
      <w:r w:rsidR="002606EF" w:rsidRPr="00B7238F">
        <w:rPr>
          <w:color w:val="000000" w:themeColor="text1"/>
        </w:rPr>
        <w:t xml:space="preserve"> a fungicidas do grupo químico das carboxamidas.</w:t>
      </w:r>
    </w:p>
    <w:p w14:paraId="3CFB6965" w14:textId="77777777" w:rsidR="00F30126" w:rsidRPr="00B7238F" w:rsidRDefault="00F30126" w:rsidP="00777EAF">
      <w:pPr>
        <w:spacing w:after="0" w:line="240" w:lineRule="auto"/>
      </w:pPr>
    </w:p>
    <w:p w14:paraId="78F23886" w14:textId="77777777" w:rsidR="009B54A5" w:rsidRDefault="00F62C7E" w:rsidP="009B54A5">
      <w:pPr>
        <w:pStyle w:val="Default"/>
        <w:rPr>
          <w:rFonts w:eastAsia="Times New Roman"/>
          <w:lang w:val="pt-BR" w:eastAsia="pt-BR"/>
        </w:rPr>
      </w:pPr>
      <w:r w:rsidRPr="00B7238F">
        <w:rPr>
          <w:b/>
          <w:lang w:val="pt-BR"/>
        </w:rPr>
        <w:t>Palavras chave</w:t>
      </w:r>
      <w:r w:rsidRPr="00B7238F">
        <w:rPr>
          <w:lang w:val="pt-BR"/>
        </w:rPr>
        <w:t xml:space="preserve">: </w:t>
      </w:r>
      <w:r w:rsidR="002606EF" w:rsidRPr="00B7238F">
        <w:rPr>
          <w:rFonts w:eastAsia="Times New Roman"/>
          <w:lang w:val="pt-BR" w:eastAsia="pt-BR"/>
        </w:rPr>
        <w:t>Controle químico</w:t>
      </w:r>
      <w:r w:rsidRPr="00B7238F">
        <w:rPr>
          <w:rFonts w:eastAsia="Times New Roman"/>
          <w:lang w:val="pt-BR" w:eastAsia="pt-BR"/>
        </w:rPr>
        <w:t>.</w:t>
      </w:r>
      <w:r w:rsidR="002606EF" w:rsidRPr="00B7238F">
        <w:rPr>
          <w:rFonts w:eastAsia="Times New Roman"/>
          <w:lang w:val="pt-BR" w:eastAsia="pt-BR"/>
        </w:rPr>
        <w:t xml:space="preserve"> Ferrugem asiática. Carboxamidas. Redução de sensibilidade. Misturas de fungicidas</w:t>
      </w:r>
      <w:r w:rsidRPr="00B7238F">
        <w:rPr>
          <w:rFonts w:eastAsia="Times New Roman"/>
          <w:lang w:val="pt-BR" w:eastAsia="pt-BR"/>
        </w:rPr>
        <w:t>.</w:t>
      </w:r>
    </w:p>
    <w:p w14:paraId="6DF38B67" w14:textId="57874D23" w:rsidR="009B54A5" w:rsidRDefault="009B54A5" w:rsidP="009B54A5">
      <w:pPr>
        <w:pStyle w:val="Default"/>
        <w:spacing w:line="360" w:lineRule="auto"/>
        <w:rPr>
          <w:rFonts w:eastAsia="Times New Roman"/>
          <w:lang w:val="pt-BR" w:eastAsia="pt-BR"/>
        </w:rPr>
      </w:pPr>
    </w:p>
    <w:p w14:paraId="7CA70D48" w14:textId="2FB56DA1" w:rsidR="00D42B30" w:rsidRDefault="00D42B30" w:rsidP="009B54A5">
      <w:pPr>
        <w:pStyle w:val="Default"/>
        <w:spacing w:line="360" w:lineRule="auto"/>
        <w:rPr>
          <w:rFonts w:eastAsia="Times New Roman"/>
          <w:lang w:val="pt-BR" w:eastAsia="pt-BR"/>
        </w:rPr>
      </w:pPr>
    </w:p>
    <w:p w14:paraId="5E3B97AC" w14:textId="219F2BE9" w:rsidR="00A0060C" w:rsidRDefault="00A0060C">
      <w:pPr>
        <w:autoSpaceDE/>
        <w:autoSpaceDN/>
        <w:adjustRightInd/>
        <w:ind w:firstLine="0"/>
        <w:jc w:val="left"/>
        <w:rPr>
          <w:rFonts w:eastAsia="Times New Roman"/>
          <w:color w:val="000000"/>
          <w:lang w:eastAsia="pt-BR"/>
        </w:rPr>
      </w:pPr>
      <w:r>
        <w:rPr>
          <w:rFonts w:eastAsia="Times New Roman"/>
          <w:lang w:eastAsia="pt-BR"/>
        </w:rPr>
        <w:br w:type="page"/>
      </w:r>
    </w:p>
    <w:p w14:paraId="290BD181" w14:textId="3509E447" w:rsidR="000F4268" w:rsidRPr="00B7238F" w:rsidRDefault="00D42B30" w:rsidP="00A0060C">
      <w:pPr>
        <w:pStyle w:val="Ttulo2"/>
        <w:spacing w:before="0" w:after="0" w:line="360" w:lineRule="auto"/>
      </w:pPr>
      <w:bookmarkStart w:id="288" w:name="_Toc22568279"/>
      <w:r>
        <w:t>7</w:t>
      </w:r>
      <w:r w:rsidR="008F769A" w:rsidRPr="00B7238F">
        <w:t xml:space="preserve">.2 </w:t>
      </w:r>
      <w:r w:rsidR="008F769A" w:rsidRPr="009B54A5">
        <w:t>INTRODUÇÃO</w:t>
      </w:r>
      <w:bookmarkEnd w:id="288"/>
    </w:p>
    <w:p w14:paraId="31A8CCDF" w14:textId="33C849A0" w:rsidR="000A1B84" w:rsidRPr="00B7238F" w:rsidRDefault="000A1B84" w:rsidP="00A0060C">
      <w:pPr>
        <w:spacing w:after="0" w:line="360" w:lineRule="auto"/>
      </w:pPr>
    </w:p>
    <w:p w14:paraId="225148D9" w14:textId="77777777" w:rsidR="00D42B30" w:rsidRDefault="000A1B84" w:rsidP="00A0060C">
      <w:pPr>
        <w:spacing w:after="0" w:line="360" w:lineRule="auto"/>
      </w:pPr>
      <w:r w:rsidRPr="00B7238F">
        <w:t xml:space="preserve">A </w:t>
      </w:r>
      <w:r w:rsidR="00FD2EEF" w:rsidRPr="00B7238F">
        <w:t>ferrugem asiática da soja (FAS)</w:t>
      </w:r>
      <w:r w:rsidR="00D52AA1" w:rsidRPr="00B7238F">
        <w:t xml:space="preserve"> causada pelo fungo </w:t>
      </w:r>
      <w:r w:rsidR="00D52AA1" w:rsidRPr="00B7238F">
        <w:rPr>
          <w:i/>
        </w:rPr>
        <w:t>P. pachyrhizi</w:t>
      </w:r>
      <w:r w:rsidR="00DB00E5" w:rsidRPr="00B7238F">
        <w:t xml:space="preserve"> </w:t>
      </w:r>
      <w:r w:rsidR="00FD2EEF" w:rsidRPr="00B7238F">
        <w:t xml:space="preserve">é a principal doença da cultura da soja no Brasil, em virtude da sua frequência de ocorrência, potencial de dano e custos de controle </w:t>
      </w:r>
      <w:r w:rsidR="00082DB2" w:rsidRPr="00B7238F">
        <w:t>(GODOY et al., 2016)</w:t>
      </w:r>
      <w:r w:rsidR="00FD2EEF" w:rsidRPr="00B7238F">
        <w:t>.</w:t>
      </w:r>
    </w:p>
    <w:p w14:paraId="65C118A9" w14:textId="77777777" w:rsidR="00D42B30" w:rsidRDefault="00DB00E5" w:rsidP="00A0060C">
      <w:pPr>
        <w:spacing w:after="0" w:line="360" w:lineRule="auto"/>
      </w:pPr>
      <w:r w:rsidRPr="00B7238F">
        <w:t xml:space="preserve">A doença ocorre em todas as regiões onde a soja é cultivada no Brasil, sendo a média de severidade 72,6 % em parcelas sem aplicação de fungicidas considerando mais de 150 locais onde foi avaliada a eficiência de fungicidas no seu controle entre os anos agrícolas de 2014 e 2018 (GODOY et al., 2014; 2015; 2016; 2017; 2018). </w:t>
      </w:r>
      <w:r w:rsidR="0002141B" w:rsidRPr="00B7238F">
        <w:t>Considerando</w:t>
      </w:r>
      <w:r w:rsidR="00835026" w:rsidRPr="00B7238F">
        <w:t xml:space="preserve"> esta média de severidade</w:t>
      </w:r>
      <w:r w:rsidR="0002141B" w:rsidRPr="00B7238F">
        <w:t>; dano de 0,6 % no rendimento para 1% de severidade da doença (DALLA LANA, 2015); e safra brasileira de 114,84 milhões de toneladas de soja (CONAB, 2019); o potencial de dano no Brasil pode chegar a 50,02 milhões de toneladas de soja, ou</w:t>
      </w:r>
      <w:r w:rsidR="00835026" w:rsidRPr="00B7238F">
        <w:t xml:space="preserve"> perdas de </w:t>
      </w:r>
      <w:r w:rsidR="0002141B" w:rsidRPr="00B7238F">
        <w:t xml:space="preserve"> 62,52 bilhões de reais (R$ 75/Sc de 60 Kg de soja).</w:t>
      </w:r>
    </w:p>
    <w:p w14:paraId="00A754D4" w14:textId="5534CD9E" w:rsidR="006D014F" w:rsidRPr="00B7238F" w:rsidRDefault="00082FB8" w:rsidP="00A0060C">
      <w:pPr>
        <w:spacing w:after="0" w:line="360" w:lineRule="auto"/>
      </w:pPr>
      <w:r w:rsidRPr="00B7238F">
        <w:t xml:space="preserve">Na presença da doença o fungicida é a principal estratégia de controle utilizada para reduzir os danos. </w:t>
      </w:r>
      <w:r w:rsidR="00835026" w:rsidRPr="00B7238F">
        <w:t>Ao considerar</w:t>
      </w:r>
      <w:r w:rsidRPr="00B7238F">
        <w:t xml:space="preserve"> um potencial de controle de 80 %</w:t>
      </w:r>
      <w:r w:rsidR="00C14494" w:rsidRPr="00B7238F">
        <w:t xml:space="preserve"> dos fungicidas </w:t>
      </w:r>
      <w:r w:rsidRPr="00B7238F">
        <w:t xml:space="preserve">(GODOY et al., 2018), o controle químico pode ser capaz de evitar </w:t>
      </w:r>
      <w:r w:rsidR="00D23195" w:rsidRPr="00B7238F">
        <w:t>perdas de aproximadamente 50,01 bilhões de reais por ano</w:t>
      </w:r>
      <w:r w:rsidR="0002141B" w:rsidRPr="00B7238F">
        <w:t>.</w:t>
      </w:r>
      <w:r w:rsidR="00835026" w:rsidRPr="00B7238F">
        <w:t xml:space="preserve"> O fungicida com maior controle</w:t>
      </w:r>
      <w:r w:rsidR="0002141B" w:rsidRPr="00B7238F">
        <w:t>, apresentou 15,6 % de severidade da doença</w:t>
      </w:r>
      <w:r w:rsidR="00D15836" w:rsidRPr="00B7238F">
        <w:t xml:space="preserve"> na safra agrícola 2017/18 (GODOY et al., 2018)</w:t>
      </w:r>
      <w:r w:rsidR="0002141B" w:rsidRPr="00B7238F">
        <w:t xml:space="preserve">, o que representa aproximadamente 9,4 % de </w:t>
      </w:r>
      <w:r w:rsidR="00D15836" w:rsidRPr="00B7238F">
        <w:t>redução d</w:t>
      </w:r>
      <w:r w:rsidR="0002141B" w:rsidRPr="00B7238F">
        <w:t>o rendimento de grãos</w:t>
      </w:r>
      <w:r w:rsidR="00C06341" w:rsidRPr="00B7238F">
        <w:t xml:space="preserve"> (DALLA LANA, 2015)</w:t>
      </w:r>
      <w:r w:rsidR="0002141B" w:rsidRPr="00B7238F">
        <w:t>. Neste contexto, teriamos 10,74 milhões de reais de perda causada pela FAS no Brasil ao ano</w:t>
      </w:r>
      <w:r w:rsidR="00D15836" w:rsidRPr="00B7238F">
        <w:t>, utilizando o fungicida com maior eficiência de controle da doença</w:t>
      </w:r>
      <w:r w:rsidR="0002141B" w:rsidRPr="00B7238F">
        <w:t>.</w:t>
      </w:r>
      <w:r w:rsidR="00835026" w:rsidRPr="00B7238F">
        <w:t xml:space="preserve"> </w:t>
      </w:r>
    </w:p>
    <w:p w14:paraId="41B1C183" w14:textId="63DFC12E" w:rsidR="00ED2E8F" w:rsidRPr="00B7238F" w:rsidRDefault="00C06341" w:rsidP="00A0060C">
      <w:pPr>
        <w:spacing w:after="0" w:line="360" w:lineRule="auto"/>
        <w:rPr>
          <w:i/>
        </w:rPr>
      </w:pPr>
      <w:r w:rsidRPr="00B7238F">
        <w:t>A utilização de cultivares com menor suscetibilidade, ciclo precoce, e a realização de semeadura no início da época recomendada, não são realizadas em muitas situações, sendo assim o controle químico a única estratégia de controle utilizada. Desta forma, há um aumento da seleção direcional ocasionada pelos fungicidas,</w:t>
      </w:r>
      <w:r w:rsidR="001D02AE" w:rsidRPr="00B7238F">
        <w:t xml:space="preserve"> principalmente em virtude de haver no mercado apenas quatro grupos químicos de fungicidas sítio específico (estrobilurina, triazól, carboxamida e morfolina) com potencial de controle de </w:t>
      </w:r>
      <w:r w:rsidR="001D02AE" w:rsidRPr="00B7238F">
        <w:rPr>
          <w:i/>
        </w:rPr>
        <w:t>P. pachyrhizi.</w:t>
      </w:r>
    </w:p>
    <w:p w14:paraId="63FB508E" w14:textId="77777777" w:rsidR="00D42B30" w:rsidRDefault="00D15836" w:rsidP="00A0060C">
      <w:pPr>
        <w:spacing w:after="0" w:line="360" w:lineRule="auto"/>
      </w:pPr>
      <w:r w:rsidRPr="00B7238F">
        <w:t>O aumento da seleção direcional resultou na seleção de isolados com menor sensibilidade a fungicidas, e consequentemente menor eficiência de controle da FAS (SCHIMITZ et al., 2013; SIMÔES et al., 2017; GODOY et al., 2018)</w:t>
      </w:r>
      <w:r w:rsidR="00D42B30">
        <w:t>.</w:t>
      </w:r>
    </w:p>
    <w:p w14:paraId="31F1A099" w14:textId="77777777" w:rsidR="00D42B30" w:rsidRDefault="00ED2E8F" w:rsidP="00A0060C">
      <w:pPr>
        <w:spacing w:after="0" w:line="360" w:lineRule="auto"/>
      </w:pPr>
      <w:r w:rsidRPr="00B7238F">
        <w:t>N</w:t>
      </w:r>
      <w:r w:rsidR="00D23195" w:rsidRPr="00B7238F">
        <w:t>os últimos cinco anos agrícolas os intervalos de aplicações de fungicidas recomendados pelos fabricantes na cultura da soja visando o controle da FAS, foram reduzidos de 21 para 15 dias ocasionando um aumento do número médio de aplicações e consequentemente aumento da pressão de seleção</w:t>
      </w:r>
      <w:r w:rsidR="00C14494" w:rsidRPr="00B7238F">
        <w:t xml:space="preserve"> sobre o patógeno.</w:t>
      </w:r>
      <w:r w:rsidRPr="00B7238F">
        <w:t xml:space="preserve"> Além disto, as recomendações de início das aplicações de fungicidas eram próximas ao fechamento das entre-linhas da cultura da soja, e atualmente pesquisadores e empresas do setor de defensivos agrícolas recomendam iniciar a aplicação de fungicidas no</w:t>
      </w:r>
      <w:r w:rsidR="006D014F" w:rsidRPr="00B7238F">
        <w:t>s estádios fenológicos V3/V4. O resultado da utilizações destas recomendações a nível de campo por agricultores e agrônomos</w:t>
      </w:r>
      <w:r w:rsidR="00D15836" w:rsidRPr="00B7238F">
        <w:t>,</w:t>
      </w:r>
      <w:r w:rsidR="006D014F" w:rsidRPr="00B7238F">
        <w:t xml:space="preserve"> </w:t>
      </w:r>
      <w:r w:rsidR="00D15836" w:rsidRPr="00B7238F">
        <w:t xml:space="preserve">tem sido a </w:t>
      </w:r>
      <w:r w:rsidR="006D014F" w:rsidRPr="00B7238F">
        <w:t>utilização de quatro a cinco aplicações por ciclo da cultura da soja.</w:t>
      </w:r>
    </w:p>
    <w:p w14:paraId="3F81EA36" w14:textId="77777777" w:rsidR="00D42B30" w:rsidRDefault="00D15836" w:rsidP="00A0060C">
      <w:pPr>
        <w:spacing w:after="0" w:line="360" w:lineRule="auto"/>
      </w:pPr>
      <w:r w:rsidRPr="00B7238F">
        <w:t xml:space="preserve">Os fungicidas do grupo químico das carboxamidas foram registrados no Brasil visando o controle de </w:t>
      </w:r>
      <w:r w:rsidRPr="00B7238F">
        <w:rPr>
          <w:i/>
        </w:rPr>
        <w:t>P. pachyrhizi</w:t>
      </w:r>
      <w:r w:rsidRPr="00B7238F">
        <w:t xml:space="preserve"> </w:t>
      </w:r>
      <w:r w:rsidR="00D37E51" w:rsidRPr="00B7238F">
        <w:t>no ano de 2013, sendo que os fungicidas comerciais contendo carboxamidas em mistura com estrobilurinas</w:t>
      </w:r>
      <w:r w:rsidR="00716592" w:rsidRPr="00B7238F">
        <w:t xml:space="preserve"> (azoxistrobina + benzovindiflupir e piraclostrobina + epoxiconazole)</w:t>
      </w:r>
      <w:r w:rsidR="00D37E51" w:rsidRPr="00B7238F">
        <w:t xml:space="preserve"> apresentaram média de controle nos ensaios em rede de 77,5 % na safra 2012/13 (GODOY et al., 2013).</w:t>
      </w:r>
      <w:r w:rsidR="003D35C8" w:rsidRPr="00B7238F">
        <w:t xml:space="preserve"> Porém na safra</w:t>
      </w:r>
      <w:r w:rsidR="00716592" w:rsidRPr="00B7238F">
        <w:t xml:space="preserve"> agrícola</w:t>
      </w:r>
      <w:r w:rsidR="003D35C8" w:rsidRPr="00B7238F">
        <w:t xml:space="preserve"> 2016/17 foi detectada </w:t>
      </w:r>
      <w:r w:rsidR="00F257C1" w:rsidRPr="00B7238F">
        <w:t>a</w:t>
      </w:r>
      <w:r w:rsidR="003D35C8" w:rsidRPr="00B7238F">
        <w:t xml:space="preserve"> mutação</w:t>
      </w:r>
      <w:r w:rsidR="00F257C1" w:rsidRPr="00B7238F">
        <w:t xml:space="preserve"> I86F</w:t>
      </w:r>
      <w:r w:rsidR="003D35C8" w:rsidRPr="00B7238F">
        <w:t xml:space="preserve"> na subunidade C da enzima succinato desidrogenase</w:t>
      </w:r>
      <w:r w:rsidR="00716592" w:rsidRPr="00B7238F">
        <w:t xml:space="preserve"> do fungo</w:t>
      </w:r>
      <w:r w:rsidR="003D35C8" w:rsidRPr="00B7238F">
        <w:t xml:space="preserve">, </w:t>
      </w:r>
      <w:r w:rsidR="00F257C1" w:rsidRPr="00B7238F">
        <w:t>a</w:t>
      </w:r>
      <w:r w:rsidR="003D35C8" w:rsidRPr="00B7238F">
        <w:t xml:space="preserve"> qual </w:t>
      </w:r>
      <w:r w:rsidR="00716592" w:rsidRPr="00B7238F">
        <w:t xml:space="preserve">resulta na redução da sensibilidade de </w:t>
      </w:r>
      <w:r w:rsidR="00716592" w:rsidRPr="00B7238F">
        <w:rPr>
          <w:i/>
        </w:rPr>
        <w:t>P. pachyrhizi</w:t>
      </w:r>
      <w:r w:rsidR="00716592" w:rsidRPr="00B7238F">
        <w:t xml:space="preserve"> a fungicidas do grupo químico das carboxamidas (SIMÕES et al., 2017). Na mesma safra, foi observada redução de eficiência de controle da FAS pelos fungicidas do grupo químico das carboxamidas, de tal forma que a mistura de azoxistrobina + benzovindiflupir obteve controle de 51 % em algumas regiões onde foram avaliados fungicidas pelos ensaios em rede (GODOY et al., 2017).</w:t>
      </w:r>
    </w:p>
    <w:p w14:paraId="3C71F097" w14:textId="77777777" w:rsidR="00D42B30" w:rsidRDefault="00716592" w:rsidP="00A0060C">
      <w:pPr>
        <w:spacing w:after="0" w:line="360" w:lineRule="auto"/>
      </w:pPr>
      <w:r w:rsidRPr="00B7238F">
        <w:t xml:space="preserve">O grupo de fungicidas das carboxamidas é uma importante ferramenta para o manejo de resistência de </w:t>
      </w:r>
      <w:r w:rsidRPr="00B7238F">
        <w:rPr>
          <w:i/>
        </w:rPr>
        <w:t>P. pachyrhizi</w:t>
      </w:r>
      <w:r w:rsidRPr="00B7238F">
        <w:t xml:space="preserve"> a fungicidas, sendo necessário a sua utilização</w:t>
      </w:r>
      <w:r w:rsidR="00F9713F" w:rsidRPr="00B7238F">
        <w:t xml:space="preserve"> para a obtenção de</w:t>
      </w:r>
      <w:r w:rsidRPr="00B7238F">
        <w:t xml:space="preserve"> programas de aplicações que obtenham controle da doença </w:t>
      </w:r>
      <w:r w:rsidR="00F9713F" w:rsidRPr="00B7238F">
        <w:t>e</w:t>
      </w:r>
      <w:r w:rsidRPr="00B7238F">
        <w:t xml:space="preserve"> limitação do número de pulverizações de triazóis/triazolinthione, estrobilurinas e morfolinas. Isto ocorre em virtude do seu potencial de control</w:t>
      </w:r>
      <w:r w:rsidR="00F9713F" w:rsidRPr="00B7238F">
        <w:t xml:space="preserve">e, e disponibilidade de um número limitado de modos de ação de fungicidas com fungitoxicidade a </w:t>
      </w:r>
      <w:r w:rsidR="00F9713F" w:rsidRPr="00B7238F">
        <w:rPr>
          <w:i/>
        </w:rPr>
        <w:t>P. pachyrhizi</w:t>
      </w:r>
      <w:r w:rsidR="00F9713F" w:rsidRPr="00B7238F">
        <w:t>.</w:t>
      </w:r>
    </w:p>
    <w:p w14:paraId="6CC16C39" w14:textId="77777777" w:rsidR="00D42B30" w:rsidRDefault="00F9713F" w:rsidP="00A0060C">
      <w:pPr>
        <w:spacing w:after="0" w:line="360" w:lineRule="auto"/>
      </w:pPr>
      <w:r w:rsidRPr="00B7238F">
        <w:t xml:space="preserve">A redução da sensibilidade de </w:t>
      </w:r>
      <w:r w:rsidRPr="00B7238F">
        <w:rPr>
          <w:i/>
        </w:rPr>
        <w:t>P. pachyrhizi</w:t>
      </w:r>
      <w:r w:rsidRPr="00B7238F">
        <w:t xml:space="preserve"> a fungicidas do</w:t>
      </w:r>
      <w:r w:rsidR="006F0E2B" w:rsidRPr="00B7238F">
        <w:t>s</w:t>
      </w:r>
      <w:r w:rsidRPr="00B7238F">
        <w:t xml:space="preserve"> grupos</w:t>
      </w:r>
      <w:r w:rsidR="006F0E2B" w:rsidRPr="00B7238F">
        <w:t xml:space="preserve"> </w:t>
      </w:r>
      <w:r w:rsidRPr="00B7238F">
        <w:t>químico</w:t>
      </w:r>
      <w:r w:rsidR="006F0E2B" w:rsidRPr="00B7238F">
        <w:t>s</w:t>
      </w:r>
      <w:r w:rsidRPr="00B7238F">
        <w:t xml:space="preserve"> das carboxamidas precisa ser manejada, para que não ocorra a perda desta importante ferramenta d</w:t>
      </w:r>
      <w:r w:rsidR="005A40F5" w:rsidRPr="00B7238F">
        <w:t>e</w:t>
      </w:r>
      <w:r w:rsidRPr="00B7238F">
        <w:t xml:space="preserve"> controle da FAS.</w:t>
      </w:r>
    </w:p>
    <w:p w14:paraId="2A4E6EE3" w14:textId="77777777" w:rsidR="00D42B30" w:rsidRDefault="00F9713F" w:rsidP="00A0060C">
      <w:pPr>
        <w:spacing w:after="0" w:line="360" w:lineRule="auto"/>
      </w:pPr>
      <w:r w:rsidRPr="00B7238F">
        <w:t xml:space="preserve">Contudo não há trabalhos de pesquisa em relação a estratégias de manejo da FAS, e sua relação com frequência de mutações relacionadas a redução de sensibilidade a fungicidas. Sendo que as recomendações para manejo de resistência de </w:t>
      </w:r>
      <w:r w:rsidRPr="00B7238F">
        <w:rPr>
          <w:i/>
        </w:rPr>
        <w:t>P. pachyrhizi</w:t>
      </w:r>
      <w:r w:rsidR="00F257C1" w:rsidRPr="00B7238F">
        <w:rPr>
          <w:i/>
        </w:rPr>
        <w:t xml:space="preserve"> </w:t>
      </w:r>
      <w:r w:rsidR="00F257C1" w:rsidRPr="00B7238F">
        <w:t>a fungicidas</w:t>
      </w:r>
      <w:r w:rsidR="00F257C1" w:rsidRPr="00B7238F">
        <w:rPr>
          <w:i/>
        </w:rPr>
        <w:t xml:space="preserve"> </w:t>
      </w:r>
      <w:r w:rsidRPr="00B7238F">
        <w:t>são r</w:t>
      </w:r>
      <w:r w:rsidR="00F257C1" w:rsidRPr="00B7238F">
        <w:t>ealizadas</w:t>
      </w:r>
      <w:r w:rsidRPr="00B7238F">
        <w:t xml:space="preserve"> com</w:t>
      </w:r>
      <w:r w:rsidR="00F257C1" w:rsidRPr="00B7238F">
        <w:t xml:space="preserve"> base em conceitos gerais e/ou estudos realizados em outros patossitemas.</w:t>
      </w:r>
    </w:p>
    <w:p w14:paraId="38F0B1A3" w14:textId="77777777" w:rsidR="00D42B30" w:rsidRDefault="00F257C1" w:rsidP="00A0060C">
      <w:pPr>
        <w:spacing w:after="0" w:line="360" w:lineRule="auto"/>
      </w:pPr>
      <w:r w:rsidRPr="00B7238F">
        <w:t xml:space="preserve">A redução da sensibilidade de </w:t>
      </w:r>
      <w:r w:rsidRPr="00B7238F">
        <w:rPr>
          <w:i/>
        </w:rPr>
        <w:t>P. pachyrhzi</w:t>
      </w:r>
      <w:r w:rsidRPr="00B7238F">
        <w:t xml:space="preserve"> a fungicidas do grupo químico das carboxamidas é ocasionada pela mutação I86F na subunidade C da enzima succinato desidrogenase do patógeno. Contudo isto, há necessidade de compreender o efeito de estratégias de manejo da FAS na redução da taxa de seleção e frequência da mutação I86F em populações de </w:t>
      </w:r>
      <w:r w:rsidRPr="00B7238F">
        <w:rPr>
          <w:i/>
        </w:rPr>
        <w:t>P. pachyrhzi</w:t>
      </w:r>
      <w:r w:rsidRPr="00B7238F">
        <w:t>, para desenvolver recomendações de manejo de resistência a carboxamidas eficientes e evitar a perda deste grupo de fungicidas para o controle da doença.</w:t>
      </w:r>
    </w:p>
    <w:p w14:paraId="03CA2F54" w14:textId="113DBC03" w:rsidR="00082DB2" w:rsidRPr="00B7238F" w:rsidRDefault="00F257C1" w:rsidP="00A0060C">
      <w:pPr>
        <w:spacing w:after="0" w:line="360" w:lineRule="auto"/>
      </w:pPr>
      <w:r w:rsidRPr="00B7238F">
        <w:t>Neste sentido, o</w:t>
      </w:r>
      <w:r w:rsidR="00082DB2" w:rsidRPr="00B7238F">
        <w:t>s</w:t>
      </w:r>
      <w:r w:rsidRPr="00B7238F">
        <w:t xml:space="preserve"> objetivo</w:t>
      </w:r>
      <w:r w:rsidR="00082DB2" w:rsidRPr="00B7238F">
        <w:t>s</w:t>
      </w:r>
      <w:r w:rsidRPr="00B7238F">
        <w:t xml:space="preserve"> deste trabalho</w:t>
      </w:r>
      <w:r w:rsidR="00082DB2" w:rsidRPr="00B7238F">
        <w:t xml:space="preserve"> </w:t>
      </w:r>
      <w:r w:rsidR="009A3302" w:rsidRPr="00B7238F">
        <w:t>foram</w:t>
      </w:r>
      <w:r w:rsidR="00082DB2" w:rsidRPr="00B7238F">
        <w:t xml:space="preserve">: I) Avaliar o efeito de programas de aplicações de fungicidas na ocorrência e frequência da mutação I86F em populações de </w:t>
      </w:r>
      <w:r w:rsidR="00082DB2" w:rsidRPr="00B7238F">
        <w:rPr>
          <w:i/>
          <w:iCs/>
        </w:rPr>
        <w:t>P. pachyrhizi;</w:t>
      </w:r>
      <w:r w:rsidR="00082DB2" w:rsidRPr="00B7238F">
        <w:t xml:space="preserve"> II) </w:t>
      </w:r>
      <w:r w:rsidR="00082DB2" w:rsidRPr="00B7238F">
        <w:rPr>
          <w:iCs/>
        </w:rPr>
        <w:t>Q</w:t>
      </w:r>
      <w:r w:rsidR="00082DB2" w:rsidRPr="00B7238F">
        <w:t xml:space="preserve">uantificar o efeito de cultivares de soja com </w:t>
      </w:r>
      <w:r w:rsidR="00C5591D">
        <w:t xml:space="preserve">a tecnologia Inox </w:t>
      </w:r>
      <w:r w:rsidR="00082DB2" w:rsidRPr="00B7238F">
        <w:t xml:space="preserve">na ocorrência e frequência da mutação I86F em populações de </w:t>
      </w:r>
      <w:r w:rsidR="00082DB2" w:rsidRPr="00B7238F">
        <w:rPr>
          <w:i/>
          <w:iCs/>
        </w:rPr>
        <w:t>P. pachyrhizi;</w:t>
      </w:r>
      <w:r w:rsidR="00082DB2" w:rsidRPr="00B7238F">
        <w:t xml:space="preserve"> III) Avaliar misturas de fungicidas e sua relação com a frequência da mutação I86F em populações de </w:t>
      </w:r>
      <w:r w:rsidR="00082DB2" w:rsidRPr="00B7238F">
        <w:rPr>
          <w:i/>
          <w:iCs/>
        </w:rPr>
        <w:t>P. pachyrhizi.</w:t>
      </w:r>
    </w:p>
    <w:p w14:paraId="015F6A4B" w14:textId="4891029B" w:rsidR="003512E1" w:rsidRPr="00B7238F" w:rsidRDefault="003512E1" w:rsidP="00A0060C">
      <w:pPr>
        <w:spacing w:after="0" w:line="360" w:lineRule="auto"/>
      </w:pPr>
    </w:p>
    <w:p w14:paraId="673C82BD" w14:textId="0DE4256F" w:rsidR="00076AB0" w:rsidRDefault="00D42B30" w:rsidP="00A0060C">
      <w:pPr>
        <w:pStyle w:val="Ttulo2"/>
        <w:spacing w:before="0" w:after="0" w:line="360" w:lineRule="auto"/>
      </w:pPr>
      <w:bookmarkStart w:id="289" w:name="_Toc22568280"/>
      <w:r>
        <w:t>7</w:t>
      </w:r>
      <w:r w:rsidR="00076AB0" w:rsidRPr="00B7238F">
        <w:t>.3 MATERIAL E MÉTODOS</w:t>
      </w:r>
      <w:bookmarkEnd w:id="289"/>
      <w:r w:rsidR="00076AB0" w:rsidRPr="00B7238F">
        <w:t xml:space="preserve"> </w:t>
      </w:r>
    </w:p>
    <w:p w14:paraId="047CD796" w14:textId="77777777" w:rsidR="00B40C6C" w:rsidRPr="00B40C6C" w:rsidRDefault="00B40C6C" w:rsidP="00A0060C">
      <w:pPr>
        <w:spacing w:after="0" w:line="360" w:lineRule="auto"/>
      </w:pPr>
    </w:p>
    <w:p w14:paraId="5E7F7C4D" w14:textId="44675B2D" w:rsidR="00B40C6C" w:rsidRDefault="00B40C6C" w:rsidP="00A0060C">
      <w:pPr>
        <w:pStyle w:val="Ttulo3"/>
        <w:spacing w:before="0" w:after="0" w:line="360" w:lineRule="auto"/>
        <w:rPr>
          <w:i/>
          <w:iCs/>
        </w:rPr>
      </w:pPr>
      <w:bookmarkStart w:id="290" w:name="_Toc22568281"/>
      <w:r>
        <w:t>7</w:t>
      </w:r>
      <w:r w:rsidR="00F22D3E" w:rsidRPr="00B7238F">
        <w:t>.</w:t>
      </w:r>
      <w:r w:rsidR="0066281F" w:rsidRPr="00B7238F">
        <w:t>3</w:t>
      </w:r>
      <w:r w:rsidR="00F22D3E" w:rsidRPr="00B7238F">
        <w:t xml:space="preserve">.1 </w:t>
      </w:r>
      <w:r w:rsidR="005C4D14" w:rsidRPr="00B7238F">
        <w:t xml:space="preserve">Efeito de programas de aplicações de fungicidas na ocorrência e frequência da mutação I86F em populações de </w:t>
      </w:r>
      <w:r w:rsidR="005C4D14" w:rsidRPr="00B7238F">
        <w:rPr>
          <w:i/>
          <w:iCs/>
        </w:rPr>
        <w:t>Phakopsora pachyrhizi</w:t>
      </w:r>
      <w:bookmarkEnd w:id="290"/>
      <w:r w:rsidR="005C4D14" w:rsidRPr="00B7238F">
        <w:rPr>
          <w:i/>
          <w:iCs/>
        </w:rPr>
        <w:t xml:space="preserve"> </w:t>
      </w:r>
    </w:p>
    <w:p w14:paraId="4C21A457" w14:textId="77777777" w:rsidR="00B40C6C" w:rsidRPr="00B40C6C" w:rsidRDefault="00B40C6C" w:rsidP="00A0060C">
      <w:pPr>
        <w:spacing w:after="0" w:line="360" w:lineRule="auto"/>
      </w:pPr>
    </w:p>
    <w:p w14:paraId="49CED610" w14:textId="77777777" w:rsidR="00B40C6C" w:rsidRDefault="005C4D14" w:rsidP="00A0060C">
      <w:pPr>
        <w:spacing w:after="0" w:line="360" w:lineRule="auto"/>
      </w:pPr>
      <w:r w:rsidRPr="00B7238F">
        <w:t xml:space="preserve">Os experimentos </w:t>
      </w:r>
      <w:r w:rsidR="009C5922" w:rsidRPr="00B7238F">
        <w:t>foram</w:t>
      </w:r>
      <w:r w:rsidRPr="00B7238F">
        <w:t xml:space="preserve"> realizados na área experimental da UDESC/CAV, no município de Lages/SC. </w:t>
      </w:r>
      <w:r w:rsidR="009C5922" w:rsidRPr="00B7238F">
        <w:t>Foi</w:t>
      </w:r>
      <w:r w:rsidRPr="00B7238F">
        <w:t xml:space="preserve"> utilizada a cultivar de soja BMX Lança IPRO (ciclo 5.9), semeada </w:t>
      </w:r>
      <w:r w:rsidR="009C5922" w:rsidRPr="00B7238F">
        <w:t>10/01/</w:t>
      </w:r>
      <w:r w:rsidRPr="00B7238F">
        <w:t xml:space="preserve">2018 sob condições de inoculo natural de </w:t>
      </w:r>
      <w:r w:rsidRPr="00B7238F">
        <w:rPr>
          <w:i/>
        </w:rPr>
        <w:t>P. pachyrhizi</w:t>
      </w:r>
      <w:r w:rsidRPr="00B7238F">
        <w:t>.</w:t>
      </w:r>
    </w:p>
    <w:p w14:paraId="0EB7EF1D" w14:textId="77777777" w:rsidR="00B40C6C" w:rsidRDefault="005C4D14" w:rsidP="00A0060C">
      <w:pPr>
        <w:spacing w:after="0" w:line="360" w:lineRule="auto"/>
      </w:pPr>
      <w:r w:rsidRPr="00B7238F">
        <w:t xml:space="preserve">A densidade de semeadura </w:t>
      </w:r>
      <w:r w:rsidR="0066281F" w:rsidRPr="00B7238F">
        <w:t xml:space="preserve">foi </w:t>
      </w:r>
      <w:r w:rsidRPr="00B7238F">
        <w:t>de 16 sementes por metro linear. As sementes serão tratadas com metalaxil + fludioxonil + tiabendazole + tiametoxan + cobalto + molibdênio</w:t>
      </w:r>
      <w:r w:rsidR="0066281F" w:rsidRPr="00B7238F">
        <w:t xml:space="preserve"> (</w:t>
      </w:r>
      <w:r w:rsidR="00C7356D" w:rsidRPr="00B7238F">
        <w:t>2,5 +</w:t>
      </w:r>
      <w:r w:rsidR="0066281F" w:rsidRPr="00B7238F">
        <w:t xml:space="preserve"> </w:t>
      </w:r>
      <w:r w:rsidR="003B7F7E" w:rsidRPr="00B7238F">
        <w:t xml:space="preserve">3,1+ 18,7 + 70 + </w:t>
      </w:r>
      <w:r w:rsidR="002C49CF" w:rsidRPr="00B7238F">
        <w:t>2 + 20 g.i.a. para 100 Kg de sementes</w:t>
      </w:r>
      <w:r w:rsidR="0066281F" w:rsidRPr="00B7238F">
        <w:t>)</w:t>
      </w:r>
      <w:r w:rsidRPr="00B7238F">
        <w:t xml:space="preserve">. A adubação utilizada </w:t>
      </w:r>
      <w:r w:rsidR="0066281F" w:rsidRPr="00B7238F">
        <w:t>foi</w:t>
      </w:r>
      <w:r w:rsidRPr="00B7238F">
        <w:t xml:space="preserve"> 505 Kg.</w:t>
      </w:r>
      <w:r w:rsidR="0066281F" w:rsidRPr="00B7238F">
        <w:t xml:space="preserve"> </w:t>
      </w:r>
      <w:r w:rsidRPr="00B7238F">
        <w:t>ha</w:t>
      </w:r>
      <w:r w:rsidRPr="00B7238F">
        <w:rPr>
          <w:vertAlign w:val="superscript"/>
        </w:rPr>
        <w:t>-1</w:t>
      </w:r>
      <w:r w:rsidRPr="00B7238F">
        <w:t xml:space="preserve"> de </w:t>
      </w:r>
      <w:r w:rsidR="0066281F" w:rsidRPr="00B7238F">
        <w:t xml:space="preserve">fertilizante com formulação </w:t>
      </w:r>
      <w:r w:rsidRPr="00B7238F">
        <w:t>05-20-10 na linha de semeadura e 150 Kg.</w:t>
      </w:r>
      <w:r w:rsidR="002C49CF" w:rsidRPr="00B7238F">
        <w:t>H</w:t>
      </w:r>
      <w:r w:rsidRPr="00B7238F">
        <w:t>a</w:t>
      </w:r>
      <w:r w:rsidRPr="00B7238F">
        <w:rPr>
          <w:vertAlign w:val="superscript"/>
        </w:rPr>
        <w:t>-1</w:t>
      </w:r>
      <w:r w:rsidRPr="00B7238F">
        <w:t xml:space="preserve"> de cloreto de potássio</w:t>
      </w:r>
      <w:r w:rsidR="0066281F" w:rsidRPr="00B7238F">
        <w:t xml:space="preserve"> (00-00-60)</w:t>
      </w:r>
      <w:r w:rsidRPr="00B7238F">
        <w:t xml:space="preserve"> a lanço.  A inoculação </w:t>
      </w:r>
      <w:r w:rsidR="00CE0A82" w:rsidRPr="00B7238F">
        <w:t>foi</w:t>
      </w:r>
      <w:r w:rsidRPr="00B7238F">
        <w:t xml:space="preserve"> realizada com 3 doses de Master Fix Soja por hectare. Para o controle de plantas daninhas </w:t>
      </w:r>
      <w:r w:rsidR="00CE0A82" w:rsidRPr="00B7238F">
        <w:t>foi</w:t>
      </w:r>
      <w:r w:rsidRPr="00B7238F">
        <w:t xml:space="preserve"> realizada uma aplicação do herbicida glifosato (1440 g.ha</w:t>
      </w:r>
      <w:r w:rsidRPr="00B7238F">
        <w:rPr>
          <w:vertAlign w:val="superscript"/>
        </w:rPr>
        <w:t xml:space="preserve">-1 </w:t>
      </w:r>
      <w:r w:rsidRPr="00B7238F">
        <w:t xml:space="preserve">de equivalente ácido de glifosato) em pós- emergência no estádio fenológico V4. O controle de insetos </w:t>
      </w:r>
      <w:r w:rsidR="00CE0A82" w:rsidRPr="00B7238F">
        <w:t>foi</w:t>
      </w:r>
      <w:r w:rsidRPr="00B7238F">
        <w:t xml:space="preserve"> </w:t>
      </w:r>
      <w:r w:rsidR="00CE0A82" w:rsidRPr="00B7238F">
        <w:t>realizado</w:t>
      </w:r>
      <w:r w:rsidRPr="00B7238F">
        <w:t xml:space="preserve"> com aplicações de inseticidas nos estádios V4, V7, R1 e R4 de acordo com as espécies e populações de pragas existentes na área.</w:t>
      </w:r>
    </w:p>
    <w:p w14:paraId="419694A7" w14:textId="77777777" w:rsidR="00B40C6C" w:rsidRDefault="005C4D14" w:rsidP="00A0060C">
      <w:pPr>
        <w:spacing w:after="0" w:line="360" w:lineRule="auto"/>
      </w:pPr>
      <w:r w:rsidRPr="00B7238F">
        <w:t>Os tratamentos se constituir</w:t>
      </w:r>
      <w:r w:rsidR="00CE0A82" w:rsidRPr="00B7238F">
        <w:t>am</w:t>
      </w:r>
      <w:r w:rsidRPr="00B7238F">
        <w:t xml:space="preserve"> de: T1) sem aplicação de fungicidas do grupos das carboxamidas (primeira e terceira aplicação de trifloxistrobina + protioconazol</w:t>
      </w:r>
      <w:r w:rsidR="00CE0A82" w:rsidRPr="00B7238F">
        <w:t>e</w:t>
      </w:r>
      <w:r w:rsidRPr="00B7238F">
        <w:t>, segunda e quarta aplicação picoxistrobina + tebuconazol</w:t>
      </w:r>
      <w:r w:rsidR="00CE0A82" w:rsidRPr="00B7238F">
        <w:t>e</w:t>
      </w:r>
      <w:r w:rsidRPr="00B7238F">
        <w:t>); T2) uma aplicação de fluxapyroxad</w:t>
      </w:r>
      <w:r w:rsidR="00CE0A82" w:rsidRPr="00B7238F">
        <w:t>a</w:t>
      </w:r>
      <w:r w:rsidRPr="00B7238F">
        <w:t xml:space="preserve"> + piraclostrobina (primeira aplicação); T3) duas aplicações de fluxapyroxad</w:t>
      </w:r>
      <w:r w:rsidR="00CE0A82" w:rsidRPr="00B7238F">
        <w:t>a</w:t>
      </w:r>
      <w:r w:rsidRPr="00B7238F">
        <w:t xml:space="preserve"> + piraclostrobina (primeira e segunda aplicação); T4) três aplicações de fluxapyroxad</w:t>
      </w:r>
      <w:r w:rsidR="00CE0A82" w:rsidRPr="00B7238F">
        <w:t>a</w:t>
      </w:r>
      <w:r w:rsidRPr="00B7238F">
        <w:t xml:space="preserve"> + piraclostrobina (primeira, segunda e terceira aplicação); T5) uma aplicação de </w:t>
      </w:r>
      <w:r w:rsidRPr="00B7238F">
        <w:rPr>
          <w:color w:val="231F20"/>
        </w:rPr>
        <w:t>benzovindiflupyr + azoxistrobina (primeira ap</w:t>
      </w:r>
      <w:r w:rsidRPr="00B7238F">
        <w:t>licação); T6) duas aplicações de benzovindiflupyr + azoxistrobina (primeira e segunda aplicação); T7) três aplicações de benzovindiflupyr + azoxistrobina (primeira, segunda e terceira aplicação); T</w:t>
      </w:r>
      <w:r w:rsidR="00CE0A82" w:rsidRPr="00B7238F">
        <w:t>8</w:t>
      </w:r>
      <w:r w:rsidRPr="00B7238F">
        <w:t xml:space="preserve">) sem aplicação de fungicidas. As aplicações dos tratamentos </w:t>
      </w:r>
      <w:r w:rsidR="00F63207" w:rsidRPr="00B7238F">
        <w:t>foram</w:t>
      </w:r>
      <w:r w:rsidRPr="00B7238F">
        <w:t xml:space="preserve"> iniciadas no pré-fechamento das entre-linhas</w:t>
      </w:r>
      <w:r w:rsidR="00D748E8" w:rsidRPr="00B7238F">
        <w:t xml:space="preserve"> (V</w:t>
      </w:r>
      <w:r w:rsidR="008829E2" w:rsidRPr="00B7238F">
        <w:t>7</w:t>
      </w:r>
      <w:r w:rsidR="00D748E8" w:rsidRPr="00B7238F">
        <w:t>/V</w:t>
      </w:r>
      <w:r w:rsidR="008829E2" w:rsidRPr="00B7238F">
        <w:t>8</w:t>
      </w:r>
      <w:r w:rsidR="00D748E8" w:rsidRPr="00B7238F">
        <w:t>)</w:t>
      </w:r>
      <w:r w:rsidRPr="00B7238F">
        <w:t xml:space="preserve"> e realizadas com intervalo de quinze dias entre pulverizações até o estádio fenológico de R6 (T1, T2, T3, T4, T5, T6, T7).</w:t>
      </w:r>
      <w:r w:rsidR="00F63207" w:rsidRPr="00B7238F">
        <w:t xml:space="preserve"> Em todos os tratamentos com aplicações de fungicidas foram realizadas quatro pulverizações, sendo que as demais pulverizações para completar as quatro pulverizações dos tratamentos T2, T3, T4, T5, T6, T7 realizadas da mesma forma que o T1.</w:t>
      </w:r>
      <w:r w:rsidR="008175B7" w:rsidRPr="00B7238F">
        <w:t xml:space="preserve"> As doses utilizadas foram: trifloxistrobina + protioconazole (60 + 70 g.i.a. ha</w:t>
      </w:r>
      <w:r w:rsidR="008175B7" w:rsidRPr="00B7238F">
        <w:rPr>
          <w:vertAlign w:val="superscript"/>
        </w:rPr>
        <w:t>-1</w:t>
      </w:r>
      <w:r w:rsidR="008175B7" w:rsidRPr="00B7238F">
        <w:t>) + 0,</w:t>
      </w:r>
      <w:r w:rsidR="00E82FF4" w:rsidRPr="00B7238F">
        <w:t>3 l. ha</w:t>
      </w:r>
      <w:r w:rsidR="00E82FF4" w:rsidRPr="00B7238F">
        <w:rPr>
          <w:vertAlign w:val="superscript"/>
        </w:rPr>
        <w:t xml:space="preserve">-1 </w:t>
      </w:r>
      <w:r w:rsidR="00E82FF4" w:rsidRPr="00B7238F">
        <w:t>de Aureo</w:t>
      </w:r>
      <w:r w:rsidR="008175B7" w:rsidRPr="00B7238F">
        <w:t xml:space="preserve">; </w:t>
      </w:r>
      <w:r w:rsidR="00E82FF4" w:rsidRPr="00B7238F">
        <w:t>picoxistrobina + tebuconazole (60 + 100 g.i.a. ha</w:t>
      </w:r>
      <w:r w:rsidR="00E82FF4" w:rsidRPr="00B7238F">
        <w:rPr>
          <w:vertAlign w:val="superscript"/>
        </w:rPr>
        <w:t>-1</w:t>
      </w:r>
      <w:r w:rsidR="00E82FF4" w:rsidRPr="00B7238F">
        <w:t>) + 0,5 l. ha</w:t>
      </w:r>
      <w:r w:rsidR="00E82FF4" w:rsidRPr="00B7238F">
        <w:rPr>
          <w:vertAlign w:val="superscript"/>
        </w:rPr>
        <w:t xml:space="preserve">-1 </w:t>
      </w:r>
      <w:r w:rsidR="00E82FF4" w:rsidRPr="00B7238F">
        <w:t>de Nimbus; piraclostrobina + fluxapiroxada (116,5 + 58,4 g.i.a. ha</w:t>
      </w:r>
      <w:r w:rsidR="00E82FF4" w:rsidRPr="00B7238F">
        <w:rPr>
          <w:vertAlign w:val="superscript"/>
        </w:rPr>
        <w:t>-1</w:t>
      </w:r>
      <w:r w:rsidR="00E82FF4" w:rsidRPr="00B7238F">
        <w:t>) + 0,5 l. ha</w:t>
      </w:r>
      <w:r w:rsidR="00E82FF4" w:rsidRPr="00B7238F">
        <w:rPr>
          <w:vertAlign w:val="superscript"/>
        </w:rPr>
        <w:t xml:space="preserve">-1 </w:t>
      </w:r>
      <w:r w:rsidR="00E82FF4" w:rsidRPr="00B7238F">
        <w:t>de Assist; azoxistrobina + benzovindiflupir (60 + 30 g.i.a. ha</w:t>
      </w:r>
      <w:r w:rsidR="00E82FF4" w:rsidRPr="00B7238F">
        <w:rPr>
          <w:vertAlign w:val="superscript"/>
        </w:rPr>
        <w:t>-1</w:t>
      </w:r>
      <w:r w:rsidR="00E82FF4" w:rsidRPr="00B7238F">
        <w:t>) + 0,6 l. ha</w:t>
      </w:r>
      <w:r w:rsidR="00E82FF4" w:rsidRPr="00B7238F">
        <w:rPr>
          <w:vertAlign w:val="superscript"/>
        </w:rPr>
        <w:t xml:space="preserve">-1 </w:t>
      </w:r>
      <w:r w:rsidR="00E82FF4" w:rsidRPr="00B7238F">
        <w:t>de Nimbus;</w:t>
      </w:r>
    </w:p>
    <w:p w14:paraId="5F531033" w14:textId="77777777" w:rsidR="00B40C6C" w:rsidRDefault="005C4D14" w:rsidP="00A0060C">
      <w:pPr>
        <w:spacing w:after="0" w:line="360" w:lineRule="auto"/>
      </w:pPr>
      <w:r w:rsidRPr="00B7238F">
        <w:t xml:space="preserve">O delineamento experimental utilizado </w:t>
      </w:r>
      <w:r w:rsidR="00F63207" w:rsidRPr="00B7238F">
        <w:t>foi</w:t>
      </w:r>
      <w:r w:rsidRPr="00B7238F">
        <w:t xml:space="preserve"> de blocos casualizados com quatro repetições. A unidade experimental </w:t>
      </w:r>
      <w:r w:rsidR="00F63207" w:rsidRPr="00B7238F">
        <w:t xml:space="preserve">foi </w:t>
      </w:r>
      <w:r w:rsidRPr="00B7238F">
        <w:t>constituída de 5 linhas com 4 metros de comprimento, com espaçamento de entre-linha de 0,5 m.</w:t>
      </w:r>
    </w:p>
    <w:p w14:paraId="23757D27" w14:textId="77777777" w:rsidR="00B40C6C" w:rsidRDefault="005C4D14" w:rsidP="00A0060C">
      <w:pPr>
        <w:spacing w:after="0" w:line="360" w:lineRule="auto"/>
      </w:pPr>
      <w:r w:rsidRPr="00B7238F">
        <w:t xml:space="preserve">As populações de uredosporos </w:t>
      </w:r>
      <w:r w:rsidR="00F63207" w:rsidRPr="00B7238F">
        <w:t>foram</w:t>
      </w:r>
      <w:r w:rsidRPr="00B7238F">
        <w:t xml:space="preserve"> coletadas no momento da detecção dos primeiros sintomas da doença (</w:t>
      </w:r>
      <w:r w:rsidR="00F63207" w:rsidRPr="00B7238F">
        <w:t>P</w:t>
      </w:r>
      <w:r w:rsidR="00F63207" w:rsidRPr="00B7238F">
        <w:rPr>
          <w:vertAlign w:val="subscript"/>
        </w:rPr>
        <w:t>0</w:t>
      </w:r>
      <w:r w:rsidR="00F63207" w:rsidRPr="00B7238F">
        <w:t xml:space="preserve"> - </w:t>
      </w:r>
      <w:r w:rsidRPr="00B7238F">
        <w:t xml:space="preserve">ponto inicial), </w:t>
      </w:r>
      <w:r w:rsidR="00F63207" w:rsidRPr="00B7238F">
        <w:t>quatorze (14 DAP</w:t>
      </w:r>
      <w:r w:rsidR="00F63207" w:rsidRPr="00B7238F">
        <w:rPr>
          <w:vertAlign w:val="subscript"/>
        </w:rPr>
        <w:t>0</w:t>
      </w:r>
      <w:r w:rsidR="00F63207" w:rsidRPr="00B7238F">
        <w:t>), vinte e oito</w:t>
      </w:r>
      <w:r w:rsidR="00DD57B4" w:rsidRPr="00B7238F">
        <w:t xml:space="preserve"> (28 DAP</w:t>
      </w:r>
      <w:r w:rsidR="00DD57B4" w:rsidRPr="00B7238F">
        <w:rPr>
          <w:vertAlign w:val="subscript"/>
        </w:rPr>
        <w:t>0</w:t>
      </w:r>
      <w:r w:rsidR="00DD57B4" w:rsidRPr="00B7238F">
        <w:t>)</w:t>
      </w:r>
      <w:r w:rsidR="00F63207" w:rsidRPr="00B7238F">
        <w:t>,</w:t>
      </w:r>
      <w:r w:rsidR="00DD57B4" w:rsidRPr="00B7238F">
        <w:t xml:space="preserve"> quarenta e dois (42 DAP</w:t>
      </w:r>
      <w:r w:rsidR="00DD57B4" w:rsidRPr="00B7238F">
        <w:rPr>
          <w:vertAlign w:val="subscript"/>
        </w:rPr>
        <w:t>0</w:t>
      </w:r>
      <w:r w:rsidR="00DD57B4" w:rsidRPr="00B7238F">
        <w:t>)</w:t>
      </w:r>
      <w:r w:rsidRPr="00B7238F">
        <w:t>, e</w:t>
      </w:r>
      <w:r w:rsidR="00DD57B4" w:rsidRPr="00B7238F">
        <w:t xml:space="preserve"> cinquenta e seis dias após a detecção dos primeiros sintomas da doença (56 DAP</w:t>
      </w:r>
      <w:r w:rsidR="00DD57B4" w:rsidRPr="00B7238F">
        <w:rPr>
          <w:vertAlign w:val="subscript"/>
        </w:rPr>
        <w:t>0</w:t>
      </w:r>
      <w:r w:rsidR="00DD57B4" w:rsidRPr="00B7238F">
        <w:t>)</w:t>
      </w:r>
      <w:r w:rsidRPr="00B7238F">
        <w:t xml:space="preserve">. Cinquenta folíolos infectados </w:t>
      </w:r>
      <w:r w:rsidR="00DD57B4" w:rsidRPr="00B7238F">
        <w:t>foram</w:t>
      </w:r>
      <w:r w:rsidRPr="00B7238F">
        <w:t xml:space="preserve"> coletados por repetição em cada um dos momentos</w:t>
      </w:r>
      <w:r w:rsidR="009D2DB8" w:rsidRPr="00B7238F">
        <w:t>.</w:t>
      </w:r>
    </w:p>
    <w:p w14:paraId="62ECA9E3" w14:textId="77777777" w:rsidR="00B40C6C" w:rsidRDefault="009D2DB8" w:rsidP="00A0060C">
      <w:pPr>
        <w:spacing w:after="0" w:line="360" w:lineRule="auto"/>
      </w:pPr>
      <w:r w:rsidRPr="00B7238F">
        <w:t>As folhas infectadas foram armazenadas, exsicata</w:t>
      </w:r>
      <w:r w:rsidR="00451B2C" w:rsidRPr="00B7238F">
        <w:t>da</w:t>
      </w:r>
      <w:r w:rsidRPr="00B7238F">
        <w:t>s e enviadas para o laboratório de pesquisa da BASF, no município de Santo Antônio de Posse.</w:t>
      </w:r>
    </w:p>
    <w:p w14:paraId="639286FE" w14:textId="77777777" w:rsidR="00B40C6C" w:rsidRDefault="009D2DB8" w:rsidP="00A0060C">
      <w:pPr>
        <w:spacing w:after="0" w:line="360" w:lineRule="auto"/>
      </w:pPr>
      <w:r w:rsidRPr="00B7238F">
        <w:t>Para extração de DNA foram recortados aproximadamente vinte e cinco discos de um cm</w:t>
      </w:r>
      <w:r w:rsidRPr="00B7238F">
        <w:rPr>
          <w:vertAlign w:val="superscript"/>
        </w:rPr>
        <w:t>2</w:t>
      </w:r>
      <w:r w:rsidRPr="00B7238F">
        <w:t xml:space="preserve"> de limbo foliar de soja com presença de urédias e uredosporos de </w:t>
      </w:r>
      <w:r w:rsidRPr="00B7238F">
        <w:rPr>
          <w:i/>
        </w:rPr>
        <w:t>P. pachyrhizi</w:t>
      </w:r>
      <w:r w:rsidRPr="00B7238F">
        <w:t>. Foi extraído o DNA do inóculo proveniente das amostras de campo conforme metodologia descrita por Schimitz et al. (2013). A análise quantitativa genética da mutação I86F na subunidade SDHc, foi realizada através de PCR em tempo real pela metodologia desenvolvida e descrita por Simões et al. (2017).</w:t>
      </w:r>
    </w:p>
    <w:p w14:paraId="0864023A" w14:textId="77777777" w:rsidR="00B40C6C" w:rsidRDefault="009D2DB8" w:rsidP="00A0060C">
      <w:pPr>
        <w:spacing w:after="0" w:line="360" w:lineRule="auto"/>
      </w:pPr>
      <w:r w:rsidRPr="00B7238F">
        <w:t>Foram obtidos resultados da frequência d</w:t>
      </w:r>
      <w:r w:rsidR="00AE6EE1" w:rsidRPr="00B7238F">
        <w:t>a</w:t>
      </w:r>
      <w:r w:rsidRPr="00B7238F">
        <w:t xml:space="preserve"> mutação</w:t>
      </w:r>
      <w:r w:rsidR="00AE6EE1" w:rsidRPr="00B7238F">
        <w:t xml:space="preserve"> I86F</w:t>
      </w:r>
      <w:r w:rsidRPr="00B7238F">
        <w:t xml:space="preserve"> </w:t>
      </w:r>
      <w:r w:rsidR="00AE6EE1" w:rsidRPr="00B7238F">
        <w:t xml:space="preserve">em populações de </w:t>
      </w:r>
      <w:r w:rsidR="00AE6EE1" w:rsidRPr="00B7238F">
        <w:rPr>
          <w:i/>
        </w:rPr>
        <w:t>P. pachyrhizi</w:t>
      </w:r>
      <w:r w:rsidR="00AE6EE1" w:rsidRPr="00B7238F">
        <w:t xml:space="preserve"> coletadas em cinco momentos durante o ciclo da cultura da soja, submetidas a diferentes programas de aplicações de fungicidas.</w:t>
      </w:r>
      <w:r w:rsidR="00BE56A1" w:rsidRPr="00B7238F">
        <w:t xml:space="preserve"> Sendo o experimento um fatorial entre momento de coleta e programas de aplicações de fungicidas.</w:t>
      </w:r>
    </w:p>
    <w:p w14:paraId="65C0BACC" w14:textId="77777777" w:rsidR="00B40C6C" w:rsidRDefault="009D2DB8" w:rsidP="00A0060C">
      <w:pPr>
        <w:spacing w:after="0" w:line="360" w:lineRule="auto"/>
      </w:pPr>
      <w:r w:rsidRPr="00B7238F">
        <w:t xml:space="preserve">A unidade experimental foi constituída pela amostra de uma população de uredósporos de </w:t>
      </w:r>
      <w:r w:rsidRPr="00B7238F">
        <w:rPr>
          <w:i/>
        </w:rPr>
        <w:t>P. pachyrhizi</w:t>
      </w:r>
      <w:r w:rsidR="00BE56A1" w:rsidRPr="00B7238F">
        <w:t>, oriunda de parcela experimental coletada em um determinado momento. O delin</w:t>
      </w:r>
      <w:r w:rsidR="00346B7A" w:rsidRPr="00B7238F">
        <w:t>ea</w:t>
      </w:r>
      <w:r w:rsidR="00BE56A1" w:rsidRPr="00B7238F">
        <w:t>mento experiment</w:t>
      </w:r>
      <w:r w:rsidR="00346B7A" w:rsidRPr="00B7238F">
        <w:t>al</w:t>
      </w:r>
      <w:r w:rsidR="00BE56A1" w:rsidRPr="00B7238F">
        <w:t xml:space="preserve"> utilizado foi de blocos casualizados, com três repetições.</w:t>
      </w:r>
    </w:p>
    <w:p w14:paraId="7B83CD8F" w14:textId="77777777" w:rsidR="00B40C6C" w:rsidRDefault="006F0E2B" w:rsidP="00A0060C">
      <w:pPr>
        <w:spacing w:after="0" w:line="360" w:lineRule="auto"/>
        <w:rPr>
          <w:color w:val="000000"/>
          <w:shd w:val="clear" w:color="auto" w:fill="FFFFFF"/>
        </w:rPr>
      </w:pPr>
      <w:r w:rsidRPr="00B7238F">
        <w:t xml:space="preserve">Nos resultados observados foi realizada a análise de normalidade dos resíduos pelo teste </w:t>
      </w:r>
      <w:r w:rsidR="00F13A83" w:rsidRPr="00B7238F">
        <w:t>Shapiro-wilk</w:t>
      </w:r>
      <w:r w:rsidRPr="00B7238F">
        <w:t xml:space="preserve"> e quando não atendidos os pressupostos de normalidade, os dados foram transformados </w:t>
      </w:r>
      <w:r w:rsidRPr="00B7238F">
        <w:rPr>
          <w:color w:val="000000"/>
          <w:shd w:val="clear" w:color="auto" w:fill="FFFFFF"/>
        </w:rPr>
        <w:t>em arc seno [raiz (x/100)].</w:t>
      </w:r>
    </w:p>
    <w:p w14:paraId="42D954BA" w14:textId="542B72C2" w:rsidR="00B40C6C" w:rsidRDefault="006F0E2B" w:rsidP="00A0060C">
      <w:pPr>
        <w:spacing w:after="0" w:line="360" w:lineRule="auto"/>
      </w:pPr>
      <w:r w:rsidRPr="00B7238F">
        <w:rPr>
          <w:rFonts w:eastAsiaTheme="minorEastAsia"/>
          <w:kern w:val="24"/>
        </w:rPr>
        <w:t xml:space="preserve">Os resultados foram </w:t>
      </w:r>
      <w:r w:rsidRPr="00B7238F">
        <w:rPr>
          <w:shd w:val="clear" w:color="auto" w:fill="FFFFFF"/>
        </w:rPr>
        <w:t xml:space="preserve">submetidos a análise de variância pelo teste F, e quando significativos, as médias das variáveis avaliadas foram comparadas pelo teste de Tukey </w:t>
      </w:r>
      <w:r w:rsidRPr="00B7238F">
        <w:t xml:space="preserve">(P &lt; 0,05). </w:t>
      </w:r>
      <w:r w:rsidR="008A031D" w:rsidRPr="00B7238F">
        <w:t xml:space="preserve">Além disto, foi </w:t>
      </w:r>
      <w:r w:rsidR="002A644A" w:rsidRPr="00B7238F">
        <w:t xml:space="preserve">também </w:t>
      </w:r>
      <w:r w:rsidR="008A031D" w:rsidRPr="00B7238F">
        <w:t>realizada análise de contraste</w:t>
      </w:r>
      <w:r w:rsidR="002A644A" w:rsidRPr="00B7238F">
        <w:t xml:space="preserve">s </w:t>
      </w:r>
      <w:r w:rsidR="008A031D" w:rsidRPr="00B7238F">
        <w:t xml:space="preserve">pelo </w:t>
      </w:r>
      <w:r w:rsidR="002A644A" w:rsidRPr="00B7238F">
        <w:t xml:space="preserve">teste </w:t>
      </w:r>
      <w:r w:rsidR="008A031D" w:rsidRPr="00B7238F">
        <w:t>t de Student visando complementar algumas comparações que não foram possíveis de serem avaliadas pelo teste de média</w:t>
      </w:r>
      <w:r w:rsidR="002A644A" w:rsidRPr="00B7238F">
        <w:t>, em virtude da observação de interação estatística</w:t>
      </w:r>
      <w:r w:rsidR="008A031D" w:rsidRPr="00B7238F">
        <w:t>.</w:t>
      </w:r>
      <w:bookmarkStart w:id="291" w:name="_Hlk16061746"/>
    </w:p>
    <w:p w14:paraId="21DE5BCA" w14:textId="77777777" w:rsidR="00A0060C" w:rsidRDefault="00A0060C" w:rsidP="00A0060C">
      <w:pPr>
        <w:spacing w:after="0" w:line="360" w:lineRule="auto"/>
      </w:pPr>
    </w:p>
    <w:p w14:paraId="6D9CF194" w14:textId="15F391AB" w:rsidR="005C4D14" w:rsidRPr="00B40C6C" w:rsidRDefault="00B40C6C" w:rsidP="00A0060C">
      <w:pPr>
        <w:pStyle w:val="Ttulo3"/>
        <w:spacing w:before="0" w:after="0" w:line="360" w:lineRule="auto"/>
        <w:rPr>
          <w:rFonts w:eastAsiaTheme="minorEastAsia"/>
        </w:rPr>
      </w:pPr>
      <w:bookmarkStart w:id="292" w:name="_Toc22568282"/>
      <w:r>
        <w:rPr>
          <w:rFonts w:eastAsiaTheme="minorEastAsia"/>
        </w:rPr>
        <w:t xml:space="preserve">7.3.2 </w:t>
      </w:r>
      <w:r w:rsidR="005C4D14" w:rsidRPr="00B40C6C">
        <w:rPr>
          <w:rFonts w:eastAsiaTheme="minorEastAsia"/>
        </w:rPr>
        <w:t>Ocorrência e frequência da mutação</w:t>
      </w:r>
      <w:r w:rsidR="007300FC" w:rsidRPr="00B40C6C">
        <w:rPr>
          <w:rFonts w:eastAsiaTheme="minorEastAsia"/>
        </w:rPr>
        <w:t xml:space="preserve"> </w:t>
      </w:r>
      <w:r w:rsidR="005C4D14" w:rsidRPr="00B40C6C">
        <w:rPr>
          <w:rFonts w:eastAsiaTheme="minorEastAsia"/>
        </w:rPr>
        <w:t xml:space="preserve">I86F em populações de </w:t>
      </w:r>
      <w:r w:rsidR="005C4D14" w:rsidRPr="00B40C6C">
        <w:rPr>
          <w:rFonts w:eastAsiaTheme="minorEastAsia"/>
          <w:i/>
          <w:iCs/>
        </w:rPr>
        <w:t xml:space="preserve">Phakopsora pachyrhizi </w:t>
      </w:r>
      <w:r w:rsidR="005C4D14" w:rsidRPr="00B40C6C">
        <w:rPr>
          <w:rFonts w:eastAsiaTheme="minorEastAsia"/>
        </w:rPr>
        <w:t>em</w:t>
      </w:r>
      <w:r w:rsidR="005C4D14" w:rsidRPr="00B40C6C">
        <w:rPr>
          <w:rFonts w:eastAsiaTheme="minorEastAsia"/>
          <w:i/>
          <w:iCs/>
        </w:rPr>
        <w:t xml:space="preserve"> </w:t>
      </w:r>
      <w:r w:rsidR="005C4D14" w:rsidRPr="00B40C6C">
        <w:rPr>
          <w:rFonts w:eastAsiaTheme="minorEastAsia"/>
        </w:rPr>
        <w:t xml:space="preserve">cultivares de soja com </w:t>
      </w:r>
      <w:r w:rsidR="005E67A5" w:rsidRPr="00B40C6C">
        <w:rPr>
          <w:rFonts w:eastAsiaTheme="minorEastAsia"/>
        </w:rPr>
        <w:t>presença e ausência d</w:t>
      </w:r>
      <w:r w:rsidR="00C5591D">
        <w:rPr>
          <w:rFonts w:eastAsiaTheme="minorEastAsia"/>
        </w:rPr>
        <w:t>a tecnologia Inox</w:t>
      </w:r>
      <w:bookmarkEnd w:id="292"/>
    </w:p>
    <w:bookmarkEnd w:id="291"/>
    <w:p w14:paraId="38EC9FD8" w14:textId="77777777" w:rsidR="005C4D14" w:rsidRPr="00B40C6C" w:rsidRDefault="005C4D14" w:rsidP="00A0060C">
      <w:pPr>
        <w:pStyle w:val="NormalWeb"/>
        <w:spacing w:before="0" w:beforeAutospacing="0" w:after="0" w:afterAutospacing="0" w:line="360" w:lineRule="auto"/>
        <w:rPr>
          <w:rFonts w:eastAsiaTheme="minorEastAsia"/>
          <w:lang w:val="pt-BR"/>
        </w:rPr>
      </w:pPr>
    </w:p>
    <w:p w14:paraId="138D5147" w14:textId="3B47561C" w:rsidR="00EC2C70" w:rsidRDefault="005C4D14" w:rsidP="00A0060C">
      <w:pPr>
        <w:spacing w:after="0" w:line="360" w:lineRule="auto"/>
      </w:pPr>
      <w:r w:rsidRPr="00B7238F">
        <w:t xml:space="preserve">Os experimentos </w:t>
      </w:r>
      <w:r w:rsidR="004D14FA" w:rsidRPr="00B7238F">
        <w:t>foram</w:t>
      </w:r>
      <w:r w:rsidRPr="00B7238F">
        <w:t xml:space="preserve"> realizados na área experimental da UDESC/CAV, no município de Lages/SC. </w:t>
      </w:r>
      <w:r w:rsidR="004D14FA" w:rsidRPr="00B7238F">
        <w:t>Foram</w:t>
      </w:r>
      <w:r w:rsidRPr="00B7238F">
        <w:t xml:space="preserve"> utilizadas as cultivares de soja BMX Lança IPRO (ciclo 5.9) e TMG 7262 RR (ciclo 6.2 com </w:t>
      </w:r>
      <w:r w:rsidR="00C5591D">
        <w:t>a tecnologia Inox</w:t>
      </w:r>
      <w:r w:rsidRPr="00B7238F">
        <w:t>), semeadas</w:t>
      </w:r>
      <w:r w:rsidR="004D14FA" w:rsidRPr="00B7238F">
        <w:t xml:space="preserve"> dia 10/01/2018 sob condições de inoculo natural de </w:t>
      </w:r>
      <w:r w:rsidR="004D14FA" w:rsidRPr="00B7238F">
        <w:rPr>
          <w:i/>
        </w:rPr>
        <w:t>P. pachyrhizi</w:t>
      </w:r>
      <w:r w:rsidRPr="00B7238F">
        <w:t>.</w:t>
      </w:r>
    </w:p>
    <w:p w14:paraId="3535950B" w14:textId="0A8A76B8" w:rsidR="005C4D14" w:rsidRPr="00B7238F" w:rsidRDefault="005C4D14" w:rsidP="00A0060C">
      <w:pPr>
        <w:spacing w:after="0" w:line="360" w:lineRule="auto"/>
      </w:pPr>
      <w:r w:rsidRPr="00B7238F">
        <w:t xml:space="preserve">A densidade de semeadura </w:t>
      </w:r>
      <w:r w:rsidR="00B92423" w:rsidRPr="00B7238F">
        <w:t>foi</w:t>
      </w:r>
      <w:r w:rsidRPr="00B7238F">
        <w:t xml:space="preserve"> de </w:t>
      </w:r>
      <w:r w:rsidR="00297F87" w:rsidRPr="00B7238F">
        <w:t>doze</w:t>
      </w:r>
      <w:r w:rsidRPr="00B7238F">
        <w:t xml:space="preserve"> (TMG 7262 RR) e </w:t>
      </w:r>
      <w:r w:rsidR="00297F87" w:rsidRPr="00B7238F">
        <w:t>dezesseis</w:t>
      </w:r>
      <w:r w:rsidRPr="00B7238F">
        <w:t xml:space="preserve"> (BMX Lança IPRO) sementes por metro linear. </w:t>
      </w:r>
      <w:r w:rsidR="00297F87" w:rsidRPr="00B7238F">
        <w:t xml:space="preserve">Os tratos culturais realizados foram os mesmos citados no item </w:t>
      </w:r>
      <w:r w:rsidR="00EC2C70">
        <w:t>7</w:t>
      </w:r>
      <w:r w:rsidR="00297F87" w:rsidRPr="00B7238F">
        <w:t>.3.1.</w:t>
      </w:r>
    </w:p>
    <w:p w14:paraId="3BD93B3A" w14:textId="7F49148F" w:rsidR="00A05814" w:rsidRPr="00B7238F" w:rsidRDefault="005C4D14" w:rsidP="00A0060C">
      <w:pPr>
        <w:spacing w:after="0" w:line="360" w:lineRule="auto"/>
      </w:pPr>
      <w:r w:rsidRPr="00B7238F">
        <w:rPr>
          <w:rFonts w:eastAsiaTheme="minorEastAsia"/>
        </w:rPr>
        <w:t>Os tratamentos se constituir</w:t>
      </w:r>
      <w:r w:rsidR="00653471" w:rsidRPr="00B7238F">
        <w:rPr>
          <w:rFonts w:eastAsiaTheme="minorEastAsia"/>
        </w:rPr>
        <w:t>am</w:t>
      </w:r>
      <w:r w:rsidRPr="00B7238F">
        <w:rPr>
          <w:rFonts w:eastAsiaTheme="minorEastAsia"/>
        </w:rPr>
        <w:t xml:space="preserve"> de: T1) </w:t>
      </w:r>
      <w:r w:rsidR="003B0A89" w:rsidRPr="00B7238F">
        <w:rPr>
          <w:rFonts w:eastAsiaTheme="minorEastAsia"/>
        </w:rPr>
        <w:t>Testemunha s</w:t>
      </w:r>
      <w:r w:rsidRPr="00B7238F">
        <w:rPr>
          <w:rFonts w:eastAsiaTheme="minorEastAsia"/>
        </w:rPr>
        <w:t xml:space="preserve">em aplicação de carboxamida, </w:t>
      </w:r>
      <w:r w:rsidRPr="00B7238F">
        <w:t>(primeira e terceira aplicação de trifloxistrobina + protioconazol</w:t>
      </w:r>
      <w:r w:rsidR="00F56D9B" w:rsidRPr="00B7238F">
        <w:t>e</w:t>
      </w:r>
      <w:r w:rsidRPr="00B7238F">
        <w:t>; segunda e quarta aplicação picoxistrobina + tebuconazol</w:t>
      </w:r>
      <w:r w:rsidR="00F56D9B" w:rsidRPr="00B7238F">
        <w:t>e</w:t>
      </w:r>
      <w:r w:rsidRPr="00B7238F">
        <w:t>)</w:t>
      </w:r>
      <w:r w:rsidRPr="00B7238F">
        <w:rPr>
          <w:rFonts w:eastAsiaTheme="minorEastAsia"/>
        </w:rPr>
        <w:t xml:space="preserve">; T2) </w:t>
      </w:r>
      <w:r w:rsidR="00A05814" w:rsidRPr="00B7238F">
        <w:rPr>
          <w:rFonts w:eastAsiaTheme="minorEastAsia"/>
        </w:rPr>
        <w:t>Primeira aplicação da</w:t>
      </w:r>
      <w:r w:rsidRPr="00B7238F">
        <w:t xml:space="preserve"> carboxamida</w:t>
      </w:r>
      <w:r w:rsidR="003B0A89" w:rsidRPr="00B7238F">
        <w:t xml:space="preserve"> 1</w:t>
      </w:r>
      <w:r w:rsidRPr="00B7238F">
        <w:t xml:space="preserve"> (fluxapyroxad</w:t>
      </w:r>
      <w:r w:rsidR="00F56D9B" w:rsidRPr="00B7238F">
        <w:t>a</w:t>
      </w:r>
      <w:r w:rsidRPr="00B7238F">
        <w:t xml:space="preserve"> + piraclostrobina)</w:t>
      </w:r>
      <w:r w:rsidRPr="00B7238F">
        <w:rPr>
          <w:rFonts w:eastAsiaTheme="minorEastAsia"/>
        </w:rPr>
        <w:t>; T</w:t>
      </w:r>
      <w:r w:rsidR="00653471" w:rsidRPr="00B7238F">
        <w:rPr>
          <w:rFonts w:eastAsiaTheme="minorEastAsia"/>
        </w:rPr>
        <w:t>3</w:t>
      </w:r>
      <w:r w:rsidRPr="00B7238F">
        <w:rPr>
          <w:rFonts w:eastAsiaTheme="minorEastAsia"/>
        </w:rPr>
        <w:t xml:space="preserve">) </w:t>
      </w:r>
      <w:r w:rsidR="00A05814" w:rsidRPr="00B7238F">
        <w:rPr>
          <w:rFonts w:eastAsiaTheme="minorEastAsia"/>
        </w:rPr>
        <w:t>Primeira e segunda</w:t>
      </w:r>
      <w:r w:rsidRPr="00B7238F">
        <w:rPr>
          <w:rFonts w:eastAsiaTheme="minorEastAsia"/>
        </w:rPr>
        <w:t xml:space="preserve"> aplicações </w:t>
      </w:r>
      <w:r w:rsidRPr="00B7238F">
        <w:t>d</w:t>
      </w:r>
      <w:r w:rsidR="003B0A89" w:rsidRPr="00B7238F">
        <w:t>a</w:t>
      </w:r>
      <w:r w:rsidRPr="00B7238F">
        <w:t xml:space="preserve"> carboxamida</w:t>
      </w:r>
      <w:r w:rsidR="003B0A89" w:rsidRPr="00B7238F">
        <w:t xml:space="preserve"> 1</w:t>
      </w:r>
      <w:r w:rsidRPr="00B7238F">
        <w:t xml:space="preserve"> (fluxapyroxad</w:t>
      </w:r>
      <w:r w:rsidR="00F56D9B" w:rsidRPr="00B7238F">
        <w:t>a</w:t>
      </w:r>
      <w:r w:rsidRPr="00B7238F">
        <w:t xml:space="preserve"> + piraclostrobina)</w:t>
      </w:r>
      <w:r w:rsidRPr="00B7238F">
        <w:rPr>
          <w:rFonts w:eastAsiaTheme="minorEastAsia"/>
        </w:rPr>
        <w:t>; T4)</w:t>
      </w:r>
      <w:r w:rsidR="003B0A89" w:rsidRPr="00B7238F">
        <w:rPr>
          <w:rFonts w:eastAsiaTheme="minorEastAsia"/>
        </w:rPr>
        <w:t xml:space="preserve"> </w:t>
      </w:r>
      <w:r w:rsidR="00A05814" w:rsidRPr="00B7238F">
        <w:rPr>
          <w:rFonts w:eastAsiaTheme="minorEastAsia"/>
        </w:rPr>
        <w:t>Primeira aplicação</w:t>
      </w:r>
      <w:r w:rsidRPr="00B7238F">
        <w:rPr>
          <w:rFonts w:eastAsiaTheme="minorEastAsia"/>
        </w:rPr>
        <w:t xml:space="preserve"> </w:t>
      </w:r>
      <w:r w:rsidRPr="00B7238F">
        <w:t>d</w:t>
      </w:r>
      <w:r w:rsidR="003B0A89" w:rsidRPr="00B7238F">
        <w:t>a</w:t>
      </w:r>
      <w:r w:rsidRPr="00B7238F">
        <w:t xml:space="preserve"> carboxamida</w:t>
      </w:r>
      <w:r w:rsidR="003B0A89" w:rsidRPr="00B7238F">
        <w:t xml:space="preserve"> 2</w:t>
      </w:r>
      <w:r w:rsidRPr="00B7238F">
        <w:t xml:space="preserve"> (benzovindiflupyr + azoxistrobina)</w:t>
      </w:r>
      <w:r w:rsidRPr="00B7238F">
        <w:rPr>
          <w:rFonts w:eastAsiaTheme="minorEastAsia"/>
        </w:rPr>
        <w:t xml:space="preserve">; T5) </w:t>
      </w:r>
      <w:r w:rsidR="00A05814" w:rsidRPr="00B7238F">
        <w:rPr>
          <w:rFonts w:eastAsiaTheme="minorEastAsia"/>
        </w:rPr>
        <w:t>Primeira e segunda</w:t>
      </w:r>
      <w:r w:rsidRPr="00B7238F">
        <w:rPr>
          <w:rFonts w:eastAsiaTheme="minorEastAsia"/>
        </w:rPr>
        <w:t xml:space="preserve"> aplicações </w:t>
      </w:r>
      <w:r w:rsidRPr="00B7238F">
        <w:t>d</w:t>
      </w:r>
      <w:r w:rsidR="003B0A89" w:rsidRPr="00B7238F">
        <w:t>a</w:t>
      </w:r>
      <w:r w:rsidRPr="00B7238F">
        <w:t xml:space="preserve"> carboxamida </w:t>
      </w:r>
      <w:r w:rsidR="003B0A89" w:rsidRPr="00B7238F">
        <w:t xml:space="preserve">2 </w:t>
      </w:r>
      <w:r w:rsidRPr="00B7238F">
        <w:t>(benzovindiflupyr + azoxistrobina); T6</w:t>
      </w:r>
      <w:r w:rsidR="003B0A89" w:rsidRPr="00B7238F">
        <w:t>) Testemunha s</w:t>
      </w:r>
      <w:r w:rsidRPr="00B7238F">
        <w:t>em aplicação de fungicida</w:t>
      </w:r>
      <w:r w:rsidR="003B0A89" w:rsidRPr="00B7238F">
        <w:t xml:space="preserve">. </w:t>
      </w:r>
      <w:r w:rsidR="00A05814" w:rsidRPr="00B7238F">
        <w:t xml:space="preserve">Em todos os tratamentos com aplicações de fungicidas foram realizadas quatro pulverizações, sendo que as demais pulverizações para completar quatro foram realizadas de acordo com o T1. As doses de ingredientes ativos e adjuvantes utilizadas foram as mesmas citadas no item </w:t>
      </w:r>
      <w:r w:rsidR="00EC2C70">
        <w:t>7</w:t>
      </w:r>
      <w:r w:rsidR="00A05814" w:rsidRPr="00B7238F">
        <w:t>.3.1.</w:t>
      </w:r>
    </w:p>
    <w:p w14:paraId="63A3A2EE" w14:textId="04AEAAC0" w:rsidR="005C4D14" w:rsidRPr="00B7238F" w:rsidRDefault="003B0A89" w:rsidP="00A0060C">
      <w:pPr>
        <w:spacing w:after="0" w:line="360" w:lineRule="auto"/>
      </w:pPr>
      <w:r w:rsidRPr="00B7238F">
        <w:t xml:space="preserve">Os tratamentos foram realizados nas duas cultivares, sendo o experimento um fatorial de cultivares, programas de aplicações de fungicidas e momentos de coleta. </w:t>
      </w:r>
      <w:r w:rsidR="005C4D14" w:rsidRPr="00B7238F">
        <w:t xml:space="preserve">A unidade experimental </w:t>
      </w:r>
      <w:r w:rsidR="00653471" w:rsidRPr="00B7238F">
        <w:t>foi</w:t>
      </w:r>
      <w:r w:rsidR="005C4D14" w:rsidRPr="00B7238F">
        <w:t xml:space="preserve"> constituída de 5 linhas com 4 metros de comprimento, com espaçamento de entre-linha de 0,5 m.</w:t>
      </w:r>
    </w:p>
    <w:p w14:paraId="269D3AEE" w14:textId="77777777" w:rsidR="00183BCB" w:rsidRDefault="005C4D14" w:rsidP="00A0060C">
      <w:pPr>
        <w:spacing w:after="0" w:line="360" w:lineRule="auto"/>
        <w:rPr>
          <w:color w:val="000000" w:themeColor="text1"/>
        </w:rPr>
      </w:pPr>
      <w:r w:rsidRPr="00B7238F">
        <w:t xml:space="preserve">As populações de uredosporos </w:t>
      </w:r>
      <w:r w:rsidR="00EB07F8" w:rsidRPr="00B7238F">
        <w:t>foram</w:t>
      </w:r>
      <w:r w:rsidRPr="00B7238F">
        <w:t xml:space="preserve"> coletadas em cinquenta folíolos infectados</w:t>
      </w:r>
      <w:r w:rsidR="00572789" w:rsidRPr="00B7238F">
        <w:t xml:space="preserve"> no momento da detecção dos primeiros sintomas da doença (P</w:t>
      </w:r>
      <w:r w:rsidR="00572789" w:rsidRPr="00B7238F">
        <w:rPr>
          <w:vertAlign w:val="subscript"/>
        </w:rPr>
        <w:t>0</w:t>
      </w:r>
      <w:r w:rsidR="00572789" w:rsidRPr="00B7238F">
        <w:t xml:space="preserve"> – somente nas parcelas testemunhas), e em todas unidades experimentais aos dezessete (17 DAP</w:t>
      </w:r>
      <w:r w:rsidR="00572789" w:rsidRPr="00B7238F">
        <w:rPr>
          <w:vertAlign w:val="subscript"/>
        </w:rPr>
        <w:t>0</w:t>
      </w:r>
      <w:r w:rsidR="00572789" w:rsidRPr="00B7238F">
        <w:t>), trinta e cinco (35 DAP</w:t>
      </w:r>
      <w:r w:rsidR="00572789" w:rsidRPr="00B7238F">
        <w:rPr>
          <w:vertAlign w:val="subscript"/>
        </w:rPr>
        <w:t>0</w:t>
      </w:r>
      <w:r w:rsidR="00572789" w:rsidRPr="00B7238F">
        <w:t xml:space="preserve">), e cinquenta e dois dias após a detecção dos primeiros sintomas da </w:t>
      </w:r>
      <w:r w:rsidR="00A34CDF" w:rsidRPr="00B7238F">
        <w:t>FA</w:t>
      </w:r>
      <w:r w:rsidR="007172D6" w:rsidRPr="00B7238F">
        <w:t>S</w:t>
      </w:r>
      <w:r w:rsidR="00A34CDF" w:rsidRPr="00B7238F">
        <w:t xml:space="preserve"> (52 DAP</w:t>
      </w:r>
      <w:r w:rsidR="00A34CDF" w:rsidRPr="00B7238F">
        <w:rPr>
          <w:vertAlign w:val="subscript"/>
        </w:rPr>
        <w:t>0</w:t>
      </w:r>
      <w:r w:rsidR="00A34CDF" w:rsidRPr="00B7238F">
        <w:t>)</w:t>
      </w:r>
      <w:r w:rsidRPr="00B7238F">
        <w:t>.</w:t>
      </w:r>
      <w:r w:rsidR="007172D6" w:rsidRPr="00B7238F">
        <w:t xml:space="preserve"> </w:t>
      </w:r>
      <w:r w:rsidR="007172D6" w:rsidRPr="00B7238F">
        <w:rPr>
          <w:color w:val="000000" w:themeColor="text1"/>
        </w:rPr>
        <w:t>As folhas infectadas foram armazenadas, exsicatas e enviadas para o laboratório de pesquisa da BASF, no município de Santo Antônio de Posse.</w:t>
      </w:r>
    </w:p>
    <w:p w14:paraId="5768D323" w14:textId="133F71EA" w:rsidR="00183BCB" w:rsidRDefault="00DA41A9" w:rsidP="00A0060C">
      <w:pPr>
        <w:spacing w:after="0" w:line="360" w:lineRule="auto"/>
      </w:pPr>
      <w:r w:rsidRPr="00B7238F">
        <w:t xml:space="preserve">A metodologia para extração de DNA, e quantificação da mutação I86F utilizadas foram as mesmas citadas no item </w:t>
      </w:r>
      <w:r w:rsidR="00183BCB">
        <w:t>7</w:t>
      </w:r>
      <w:r w:rsidRPr="00B7238F">
        <w:t>.3.1.</w:t>
      </w:r>
    </w:p>
    <w:p w14:paraId="76C4D834" w14:textId="77777777" w:rsidR="00183BCB" w:rsidRDefault="007172D6" w:rsidP="00A0060C">
      <w:pPr>
        <w:spacing w:after="0" w:line="360" w:lineRule="auto"/>
      </w:pPr>
      <w:r w:rsidRPr="00B7238F">
        <w:t xml:space="preserve">Foram obtidos resultados da frequência da mutação I86F em populações de </w:t>
      </w:r>
      <w:r w:rsidRPr="00B7238F">
        <w:rPr>
          <w:i/>
        </w:rPr>
        <w:t>P. pachyrhizi</w:t>
      </w:r>
      <w:r w:rsidRPr="00B7238F">
        <w:t xml:space="preserve"> coletadas em </w:t>
      </w:r>
      <w:r w:rsidR="00982C7E" w:rsidRPr="00B7238F">
        <w:t>quatro</w:t>
      </w:r>
      <w:r w:rsidRPr="00B7238F">
        <w:t xml:space="preserve"> momentos durante o ciclo da cultura da soja, submetidas a</w:t>
      </w:r>
      <w:r w:rsidR="006D690A" w:rsidRPr="00B7238F">
        <w:t xml:space="preserve"> cultivares com e sem resistência genética com</w:t>
      </w:r>
      <w:r w:rsidRPr="00B7238F">
        <w:t xml:space="preserve"> diferentes programas de aplicações de fungicidas. Sendo o experimento um fatorial entre </w:t>
      </w:r>
      <w:r w:rsidR="00A67412" w:rsidRPr="00B7238F">
        <w:t xml:space="preserve">cultivares (com e sem resistência genética), </w:t>
      </w:r>
      <w:r w:rsidRPr="00B7238F">
        <w:t>programas de aplicações de fungicidas</w:t>
      </w:r>
      <w:r w:rsidR="00A67412" w:rsidRPr="00B7238F">
        <w:t xml:space="preserve"> e momentos de coleta</w:t>
      </w:r>
      <w:r w:rsidRPr="00B7238F">
        <w:t>.</w:t>
      </w:r>
    </w:p>
    <w:p w14:paraId="5019426D" w14:textId="77777777" w:rsidR="00183BCB" w:rsidRDefault="007172D6" w:rsidP="00A0060C">
      <w:pPr>
        <w:spacing w:after="0" w:line="360" w:lineRule="auto"/>
      </w:pPr>
      <w:r w:rsidRPr="00B7238F">
        <w:t xml:space="preserve">A unidade experimental foi constituída pela amostra de uma população de uredósporos de </w:t>
      </w:r>
      <w:r w:rsidRPr="00B7238F">
        <w:rPr>
          <w:i/>
        </w:rPr>
        <w:t>P. pachyrhizi</w:t>
      </w:r>
      <w:r w:rsidRPr="00B7238F">
        <w:t>, oriunda de parcela experimental coletada em um determinado momento. O delineamento experimental utilizado foi de blocos casualizados, com três repetições.</w:t>
      </w:r>
    </w:p>
    <w:p w14:paraId="7CF10320" w14:textId="77777777" w:rsidR="00183BCB" w:rsidRDefault="009B5D4E" w:rsidP="00A0060C">
      <w:pPr>
        <w:spacing w:after="0" w:line="360" w:lineRule="auto"/>
        <w:rPr>
          <w:color w:val="000000"/>
          <w:shd w:val="clear" w:color="auto" w:fill="FFFFFF"/>
        </w:rPr>
      </w:pPr>
      <w:r w:rsidRPr="00B7238F">
        <w:t xml:space="preserve">Nos resultados observados foi realizada a análise de normalidade dos resíduos pelo teste </w:t>
      </w:r>
      <w:r w:rsidR="00F13A83" w:rsidRPr="00B7238F">
        <w:t>Shapiro-wilk</w:t>
      </w:r>
      <w:r w:rsidRPr="00B7238F">
        <w:t xml:space="preserve"> e quando não atendidos os pressupostos de normalidade, os dados foram transformados </w:t>
      </w:r>
      <w:r w:rsidRPr="00B7238F">
        <w:rPr>
          <w:color w:val="000000"/>
          <w:shd w:val="clear" w:color="auto" w:fill="FFFFFF"/>
        </w:rPr>
        <w:t>em arc seno [raiz (x/100)].</w:t>
      </w:r>
    </w:p>
    <w:p w14:paraId="343DF28A" w14:textId="3224CF21" w:rsidR="00183BCB" w:rsidRDefault="007172D6" w:rsidP="00A0060C">
      <w:pPr>
        <w:spacing w:after="0" w:line="360" w:lineRule="auto"/>
      </w:pPr>
      <w:r w:rsidRPr="00B7238F">
        <w:rPr>
          <w:rFonts w:eastAsiaTheme="minorEastAsia"/>
          <w:kern w:val="24"/>
        </w:rPr>
        <w:t xml:space="preserve">Os resultados foram </w:t>
      </w:r>
      <w:r w:rsidRPr="00B7238F">
        <w:rPr>
          <w:shd w:val="clear" w:color="auto" w:fill="FFFFFF"/>
        </w:rPr>
        <w:t>submetidos a análise variância pelo teste F, e quando significativos</w:t>
      </w:r>
      <w:r w:rsidR="00370ACF" w:rsidRPr="00B7238F">
        <w:rPr>
          <w:shd w:val="clear" w:color="auto" w:fill="FFFFFF"/>
        </w:rPr>
        <w:t>, as médias das variáveis avaliadas foram comparadas pelo</w:t>
      </w:r>
      <w:r w:rsidRPr="00B7238F">
        <w:rPr>
          <w:shd w:val="clear" w:color="auto" w:fill="FFFFFF"/>
        </w:rPr>
        <w:t xml:space="preserve"> teste de Tukey </w:t>
      </w:r>
      <w:r w:rsidRPr="00B7238F">
        <w:t>(P &lt; 0,05). Além disto, foi também realizada análise de contrastes pelo teste t de Student visando complementar algumas comparações que não foram possíveis de serem avaliadas pelo teste de média, em virtude da observação de interação estatística.</w:t>
      </w:r>
      <w:bookmarkStart w:id="293" w:name="_Hlk16061950"/>
    </w:p>
    <w:p w14:paraId="492AEC8B" w14:textId="77777777" w:rsidR="00A0060C" w:rsidRDefault="00A0060C" w:rsidP="00A0060C">
      <w:pPr>
        <w:spacing w:after="0" w:line="360" w:lineRule="auto"/>
      </w:pPr>
    </w:p>
    <w:p w14:paraId="05133B75" w14:textId="722F6F4C" w:rsidR="009A4999" w:rsidRDefault="001B728B" w:rsidP="00A0060C">
      <w:pPr>
        <w:pStyle w:val="Ttulo3"/>
        <w:spacing w:before="0" w:after="0" w:line="360" w:lineRule="auto"/>
        <w:rPr>
          <w:rFonts w:eastAsiaTheme="minorEastAsia"/>
        </w:rPr>
      </w:pPr>
      <w:bookmarkStart w:id="294" w:name="_Toc22568283"/>
      <w:r>
        <w:rPr>
          <w:rFonts w:eastAsiaTheme="minorEastAsia"/>
        </w:rPr>
        <w:t xml:space="preserve">7.3.3 </w:t>
      </w:r>
      <w:r w:rsidR="00395A2F" w:rsidRPr="00B7238F">
        <w:rPr>
          <w:rFonts w:eastAsiaTheme="minorEastAsia"/>
        </w:rPr>
        <w:t>Efeito d</w:t>
      </w:r>
      <w:r w:rsidR="007E0D38" w:rsidRPr="00B7238F">
        <w:rPr>
          <w:rFonts w:eastAsiaTheme="minorEastAsia"/>
        </w:rPr>
        <w:t>a adição</w:t>
      </w:r>
      <w:r w:rsidR="00395A2F" w:rsidRPr="00B7238F">
        <w:rPr>
          <w:rFonts w:eastAsiaTheme="minorEastAsia"/>
        </w:rPr>
        <w:t xml:space="preserve"> de </w:t>
      </w:r>
      <w:r w:rsidR="007E2E46" w:rsidRPr="00B7238F">
        <w:rPr>
          <w:rFonts w:eastAsiaTheme="minorEastAsia"/>
        </w:rPr>
        <w:t>fungicidas</w:t>
      </w:r>
      <w:r w:rsidR="001D5164" w:rsidRPr="00B7238F">
        <w:rPr>
          <w:rFonts w:eastAsiaTheme="minorEastAsia"/>
        </w:rPr>
        <w:t xml:space="preserve"> </w:t>
      </w:r>
      <w:r w:rsidR="007E0D38" w:rsidRPr="00B7238F">
        <w:rPr>
          <w:rFonts w:eastAsiaTheme="minorEastAsia"/>
        </w:rPr>
        <w:t>a carboxamidas na o</w:t>
      </w:r>
      <w:r w:rsidR="00395A2F" w:rsidRPr="00B7238F">
        <w:rPr>
          <w:rFonts w:eastAsiaTheme="minorEastAsia"/>
        </w:rPr>
        <w:t xml:space="preserve">corrência e frequência da mutação I86F em populações de </w:t>
      </w:r>
      <w:r w:rsidR="00395A2F" w:rsidRPr="009A4999">
        <w:rPr>
          <w:rFonts w:eastAsiaTheme="minorEastAsia"/>
          <w:i/>
        </w:rPr>
        <w:t>Phakopsora pachyrhizi</w:t>
      </w:r>
      <w:bookmarkEnd w:id="294"/>
      <w:r w:rsidR="00395A2F" w:rsidRPr="00B7238F">
        <w:rPr>
          <w:rFonts w:eastAsiaTheme="minorEastAsia"/>
        </w:rPr>
        <w:t xml:space="preserve"> </w:t>
      </w:r>
      <w:bookmarkEnd w:id="293"/>
    </w:p>
    <w:p w14:paraId="20CDB4DE" w14:textId="77777777" w:rsidR="00A0060C" w:rsidRPr="00A0060C" w:rsidRDefault="00A0060C" w:rsidP="00A0060C"/>
    <w:p w14:paraId="1C8054F4" w14:textId="77777777" w:rsidR="001B728B" w:rsidRDefault="00CE540D" w:rsidP="00A0060C">
      <w:pPr>
        <w:spacing w:after="0" w:line="360" w:lineRule="auto"/>
      </w:pPr>
      <w:r w:rsidRPr="00B7238F">
        <w:t>O experimento fo</w:t>
      </w:r>
      <w:r w:rsidR="00966BAC" w:rsidRPr="00B7238F">
        <w:t>i</w:t>
      </w:r>
      <w:r w:rsidRPr="00B7238F">
        <w:t xml:space="preserve"> realizado na área experimental da UDESC/CAV, no município de Lages/SC. Fo</w:t>
      </w:r>
      <w:r w:rsidR="00966BAC" w:rsidRPr="00B7238F">
        <w:t xml:space="preserve">i semeada a </w:t>
      </w:r>
      <w:r w:rsidRPr="00B7238F">
        <w:t xml:space="preserve">cultivar de soja BMX Lança IPRO (ciclo 5.9), semeada dia 10/01/2018 sob condições de inoculo natural de </w:t>
      </w:r>
      <w:r w:rsidRPr="00B7238F">
        <w:rPr>
          <w:i/>
        </w:rPr>
        <w:t>P. pachyrhizi</w:t>
      </w:r>
      <w:r w:rsidRPr="00B7238F">
        <w:t xml:space="preserve">. </w:t>
      </w:r>
      <w:r w:rsidR="00966BAC" w:rsidRPr="00B7238F">
        <w:t xml:space="preserve">A densidade de semeadura e tratos culturais </w:t>
      </w:r>
      <w:r w:rsidR="00476C8C" w:rsidRPr="00B7238F">
        <w:t xml:space="preserve">utilizados </w:t>
      </w:r>
      <w:r w:rsidR="00966BAC" w:rsidRPr="00B7238F">
        <w:t xml:space="preserve">foram citados no item </w:t>
      </w:r>
      <w:r w:rsidR="001B728B">
        <w:t>7.</w:t>
      </w:r>
      <w:r w:rsidR="00476C8C" w:rsidRPr="00B7238F">
        <w:t>3.1.</w:t>
      </w:r>
    </w:p>
    <w:p w14:paraId="1C6F61F3" w14:textId="77777777" w:rsidR="001B728B" w:rsidRDefault="007A6734" w:rsidP="00A0060C">
      <w:pPr>
        <w:spacing w:after="0" w:line="360" w:lineRule="auto"/>
      </w:pPr>
      <w:r w:rsidRPr="00B7238F">
        <w:t>As aplicações dos tratamentos foram realizadas no pré-fechamento das entre-linhas da cultura da soja (estádio fenológico V</w:t>
      </w:r>
      <w:r w:rsidR="003B264A" w:rsidRPr="00B7238F">
        <w:t>8</w:t>
      </w:r>
      <w:r w:rsidRPr="00B7238F">
        <w:t>), V</w:t>
      </w:r>
      <w:r w:rsidR="00D748E8" w:rsidRPr="00B7238F">
        <w:t>8</w:t>
      </w:r>
      <w:r w:rsidRPr="00B7238F">
        <w:t xml:space="preserve"> +15 DAA (dias após a aplicação), V</w:t>
      </w:r>
      <w:r w:rsidR="00D748E8" w:rsidRPr="00B7238F">
        <w:t>8</w:t>
      </w:r>
      <w:r w:rsidRPr="00B7238F">
        <w:t xml:space="preserve"> + 30 DAA. </w:t>
      </w:r>
      <w:r w:rsidR="00CE540D" w:rsidRPr="00B7238F">
        <w:t>Os tratamentos se constituiram de: T</w:t>
      </w:r>
      <w:r w:rsidRPr="00B7238F">
        <w:t>1</w:t>
      </w:r>
      <w:r w:rsidR="00CE540D" w:rsidRPr="00B7238F">
        <w:t xml:space="preserve">) </w:t>
      </w:r>
      <w:r w:rsidRPr="00B7238F">
        <w:t xml:space="preserve">Três aplicações de piraclostrobina + fluxapyroxada; </w:t>
      </w:r>
      <w:r w:rsidR="00CE540D" w:rsidRPr="00B7238F">
        <w:t>T</w:t>
      </w:r>
      <w:r w:rsidRPr="00B7238F">
        <w:t>2</w:t>
      </w:r>
      <w:r w:rsidR="00CE540D" w:rsidRPr="00B7238F">
        <w:t xml:space="preserve">) </w:t>
      </w:r>
      <w:r w:rsidRPr="00B7238F">
        <w:t xml:space="preserve">Três aplicações de piraclostrobina + fluxapyroxada + mancozebe; T3) Três aplicações de piraclostrobina + fluxapyroxada + fenpropimorfo; </w:t>
      </w:r>
      <w:r w:rsidR="00CE540D" w:rsidRPr="00B7238F">
        <w:t>T</w:t>
      </w:r>
      <w:r w:rsidRPr="00B7238F">
        <w:t>4</w:t>
      </w:r>
      <w:r w:rsidR="00CE540D" w:rsidRPr="00B7238F">
        <w:t xml:space="preserve">) </w:t>
      </w:r>
      <w:r w:rsidRPr="00B7238F">
        <w:t xml:space="preserve">Testemunha sem </w:t>
      </w:r>
      <w:r w:rsidR="00CE540D" w:rsidRPr="00B7238F">
        <w:t xml:space="preserve">sem aplicação de fungicida. </w:t>
      </w:r>
      <w:r w:rsidR="00FC3F65" w:rsidRPr="00B7238F">
        <w:t xml:space="preserve">As </w:t>
      </w:r>
      <w:r w:rsidR="00310D01" w:rsidRPr="00B7238F">
        <w:t>doses utilizadas foram piraclostrobina + fluxapiroxada (116,5 + 58,4 g.i.a. ha</w:t>
      </w:r>
      <w:r w:rsidR="00310D01" w:rsidRPr="00B7238F">
        <w:rPr>
          <w:vertAlign w:val="superscript"/>
        </w:rPr>
        <w:t>-1</w:t>
      </w:r>
      <w:r w:rsidR="00310D01" w:rsidRPr="00B7238F">
        <w:t>) + 0,5 l. ha</w:t>
      </w:r>
      <w:r w:rsidR="00310D01" w:rsidRPr="00B7238F">
        <w:rPr>
          <w:vertAlign w:val="superscript"/>
        </w:rPr>
        <w:t xml:space="preserve">-1 </w:t>
      </w:r>
      <w:r w:rsidR="00310D01" w:rsidRPr="00B7238F">
        <w:t>de Assist; piraclostrobina + fluxapiroxada +mancozebe (116,5 + 58,4 +1125 g.i.a. ha</w:t>
      </w:r>
      <w:r w:rsidR="00310D01" w:rsidRPr="00B7238F">
        <w:rPr>
          <w:vertAlign w:val="superscript"/>
        </w:rPr>
        <w:t>-1</w:t>
      </w:r>
      <w:r w:rsidR="00310D01" w:rsidRPr="00B7238F">
        <w:t>) + 0,5 l. ha</w:t>
      </w:r>
      <w:r w:rsidR="00310D01" w:rsidRPr="00B7238F">
        <w:rPr>
          <w:vertAlign w:val="superscript"/>
        </w:rPr>
        <w:t xml:space="preserve">-1 </w:t>
      </w:r>
      <w:r w:rsidR="00310D01" w:rsidRPr="00B7238F">
        <w:t>de Assist; piraclostrobina + fluxapiroxada fenpropimorfo (116,5 + 58,4 + 225 g.i.a. ha</w:t>
      </w:r>
      <w:r w:rsidR="00310D01" w:rsidRPr="00B7238F">
        <w:rPr>
          <w:vertAlign w:val="superscript"/>
        </w:rPr>
        <w:t>-1</w:t>
      </w:r>
      <w:r w:rsidR="00310D01" w:rsidRPr="00B7238F">
        <w:t>) + 0,5 l. ha</w:t>
      </w:r>
      <w:r w:rsidR="00310D01" w:rsidRPr="00B7238F">
        <w:rPr>
          <w:vertAlign w:val="superscript"/>
        </w:rPr>
        <w:t xml:space="preserve">-1 </w:t>
      </w:r>
      <w:r w:rsidR="00310D01" w:rsidRPr="00B7238F">
        <w:t xml:space="preserve">de Assist. </w:t>
      </w:r>
      <w:r w:rsidR="00CE540D" w:rsidRPr="00B7238F">
        <w:t>A unidade experimental foi constituída de 5 linhas com 4 metros de comprimento, com espaçamento de entre-linha de 0,5 m.</w:t>
      </w:r>
      <w:r w:rsidRPr="00B7238F">
        <w:t xml:space="preserve"> </w:t>
      </w:r>
    </w:p>
    <w:p w14:paraId="33E29B9C" w14:textId="77777777" w:rsidR="001B728B" w:rsidRDefault="00CE540D" w:rsidP="00A0060C">
      <w:pPr>
        <w:spacing w:after="0" w:line="360" w:lineRule="auto"/>
        <w:rPr>
          <w:color w:val="000000" w:themeColor="text1"/>
        </w:rPr>
      </w:pPr>
      <w:r w:rsidRPr="00B7238F">
        <w:t>As populações de uredosporos foram coletadas em cinquenta folíolos infectados no momento da detecção dos primeiros sintomas da doença (P</w:t>
      </w:r>
      <w:r w:rsidRPr="00B7238F">
        <w:rPr>
          <w:vertAlign w:val="subscript"/>
        </w:rPr>
        <w:t>0</w:t>
      </w:r>
      <w:r w:rsidRPr="00B7238F">
        <w:t xml:space="preserve"> – somente nas parcelas testemunhas), e em todas unidades experimentais aos </w:t>
      </w:r>
      <w:r w:rsidR="00D748E8" w:rsidRPr="00B7238F">
        <w:t>quatorze</w:t>
      </w:r>
      <w:r w:rsidRPr="00B7238F">
        <w:t xml:space="preserve"> (1</w:t>
      </w:r>
      <w:r w:rsidR="00D748E8" w:rsidRPr="00B7238F">
        <w:t>4</w:t>
      </w:r>
      <w:r w:rsidRPr="00B7238F">
        <w:t xml:space="preserve"> DAP</w:t>
      </w:r>
      <w:r w:rsidRPr="00B7238F">
        <w:rPr>
          <w:vertAlign w:val="subscript"/>
        </w:rPr>
        <w:t>0</w:t>
      </w:r>
      <w:r w:rsidRPr="00B7238F">
        <w:t xml:space="preserve">), </w:t>
      </w:r>
      <w:r w:rsidR="00D748E8" w:rsidRPr="00B7238F">
        <w:t>vinte oito</w:t>
      </w:r>
      <w:r w:rsidRPr="00B7238F">
        <w:t xml:space="preserve"> (</w:t>
      </w:r>
      <w:r w:rsidR="00D748E8" w:rsidRPr="00B7238F">
        <w:t>28</w:t>
      </w:r>
      <w:r w:rsidRPr="00B7238F">
        <w:t xml:space="preserve"> DAP</w:t>
      </w:r>
      <w:r w:rsidRPr="00B7238F">
        <w:rPr>
          <w:vertAlign w:val="subscript"/>
        </w:rPr>
        <w:t>0</w:t>
      </w:r>
      <w:r w:rsidRPr="00B7238F">
        <w:t xml:space="preserve">), e </w:t>
      </w:r>
      <w:r w:rsidR="00D748E8" w:rsidRPr="00B7238F">
        <w:t xml:space="preserve">quarenta </w:t>
      </w:r>
      <w:r w:rsidRPr="00B7238F">
        <w:t>e dois dias após a detecção dos primeiros sintomas da FAS (</w:t>
      </w:r>
      <w:r w:rsidR="00D748E8" w:rsidRPr="00B7238F">
        <w:t>4</w:t>
      </w:r>
      <w:r w:rsidRPr="00B7238F">
        <w:t>2 DAP</w:t>
      </w:r>
      <w:r w:rsidRPr="00B7238F">
        <w:rPr>
          <w:vertAlign w:val="subscript"/>
        </w:rPr>
        <w:t>0</w:t>
      </w:r>
      <w:r w:rsidRPr="00B7238F">
        <w:t xml:space="preserve">). </w:t>
      </w:r>
      <w:r w:rsidRPr="00B7238F">
        <w:rPr>
          <w:color w:val="000000" w:themeColor="text1"/>
        </w:rPr>
        <w:t>As folhas infectadas foram armazenadas, exsicatas e enviadas para o laboratório de pesquisa da BASF, no município de Santo Antônio de Posse.</w:t>
      </w:r>
    </w:p>
    <w:p w14:paraId="3381F11C" w14:textId="77777777" w:rsidR="006A11B3" w:rsidRDefault="00CE540D" w:rsidP="00A0060C">
      <w:pPr>
        <w:spacing w:after="0" w:line="360" w:lineRule="auto"/>
      </w:pPr>
      <w:r w:rsidRPr="00B7238F">
        <w:t xml:space="preserve">A metodologia para extração de DNA, e quantificação da mutação I86F utilizadas foram as mesmas citadas no item </w:t>
      </w:r>
      <w:r w:rsidR="001B728B">
        <w:t>7</w:t>
      </w:r>
      <w:r w:rsidRPr="00B7238F">
        <w:t>.3.1.</w:t>
      </w:r>
    </w:p>
    <w:p w14:paraId="7672F37F" w14:textId="77777777" w:rsidR="006A11B3" w:rsidRDefault="006A11B3" w:rsidP="00A0060C">
      <w:pPr>
        <w:spacing w:after="0" w:line="360" w:lineRule="auto"/>
      </w:pPr>
      <w:r>
        <w:t>F</w:t>
      </w:r>
      <w:r w:rsidR="00CE540D" w:rsidRPr="00B7238F">
        <w:t xml:space="preserve">oram obtidos resultados da frequência da mutação I86F em populações de </w:t>
      </w:r>
      <w:r w:rsidR="00CE540D" w:rsidRPr="00B7238F">
        <w:rPr>
          <w:i/>
        </w:rPr>
        <w:t>P. pachyrhizi</w:t>
      </w:r>
      <w:r w:rsidR="00CE540D" w:rsidRPr="00B7238F">
        <w:t xml:space="preserve"> coletadas em quatro momentos durante o ciclo da cultura da soja, submetidas a </w:t>
      </w:r>
      <w:r w:rsidR="00D748E8" w:rsidRPr="00B7238F">
        <w:t>aplicação de diferentes misturas de fungicidas</w:t>
      </w:r>
      <w:r w:rsidR="00CE540D" w:rsidRPr="00B7238F">
        <w:t xml:space="preserve">. </w:t>
      </w:r>
    </w:p>
    <w:p w14:paraId="7552F46A" w14:textId="32F458DB" w:rsidR="00CE540D" w:rsidRPr="00B7238F" w:rsidRDefault="006A11B3" w:rsidP="00A0060C">
      <w:pPr>
        <w:spacing w:after="0" w:line="360" w:lineRule="auto"/>
      </w:pPr>
      <w:r>
        <w:t>A</w:t>
      </w:r>
      <w:r w:rsidR="00CE540D" w:rsidRPr="00B7238F">
        <w:t xml:space="preserve"> unidade experimental foi constituída pela amostra de uma população de uredósporos de </w:t>
      </w:r>
      <w:r w:rsidR="00CE540D" w:rsidRPr="00B7238F">
        <w:rPr>
          <w:i/>
        </w:rPr>
        <w:t>P. pachyrhizi</w:t>
      </w:r>
      <w:r w:rsidR="00CE540D" w:rsidRPr="00B7238F">
        <w:t xml:space="preserve">, oriunda de parcela experimental coletada em um determinado momento. O delineamento experimental utilizado foi de blocos casualizados, com três repetições. </w:t>
      </w:r>
    </w:p>
    <w:p w14:paraId="0A77782D" w14:textId="74C9E6BA" w:rsidR="00CE540D" w:rsidRPr="00B7238F" w:rsidRDefault="00CE540D" w:rsidP="00A0060C">
      <w:pPr>
        <w:spacing w:after="0" w:line="360" w:lineRule="auto"/>
      </w:pPr>
      <w:r w:rsidRPr="00B7238F">
        <w:t xml:space="preserve">Nos resultados observados foi realizada a análise de normalidade dos resíduos pelo teste </w:t>
      </w:r>
      <w:r w:rsidR="00F13A83" w:rsidRPr="00B7238F">
        <w:t>Shapiro-wilk</w:t>
      </w:r>
      <w:r w:rsidRPr="00B7238F">
        <w:t xml:space="preserve"> e quando não atendidos os pressupostos de normalidade, os dados foram transformados </w:t>
      </w:r>
      <w:r w:rsidRPr="00B7238F">
        <w:rPr>
          <w:color w:val="000000"/>
          <w:shd w:val="clear" w:color="auto" w:fill="FFFFFF"/>
        </w:rPr>
        <w:t>em arc seno [raiz (x/100)].</w:t>
      </w:r>
    </w:p>
    <w:p w14:paraId="11EC98FE" w14:textId="0A6B210E" w:rsidR="000F6C58" w:rsidRDefault="00CE540D" w:rsidP="00A0060C">
      <w:pPr>
        <w:spacing w:after="0" w:line="360" w:lineRule="auto"/>
      </w:pPr>
      <w:r w:rsidRPr="00B7238F">
        <w:rPr>
          <w:rFonts w:eastAsiaTheme="minorEastAsia"/>
          <w:kern w:val="24"/>
        </w:rPr>
        <w:t xml:space="preserve">Os resultados foram </w:t>
      </w:r>
      <w:r w:rsidRPr="00B7238F">
        <w:rPr>
          <w:shd w:val="clear" w:color="auto" w:fill="FFFFFF"/>
        </w:rPr>
        <w:t xml:space="preserve">submetidos a análise de variância pelo teste F, e quando significativos, as médias das variáveis avaliadas foram comparadas pelo teste de Tukey </w:t>
      </w:r>
      <w:r w:rsidRPr="00B7238F">
        <w:t xml:space="preserve">(P &lt; 0,05). </w:t>
      </w:r>
    </w:p>
    <w:p w14:paraId="32D1DA3E" w14:textId="37AE3E16" w:rsidR="006A11B3" w:rsidRDefault="006A11B3" w:rsidP="00A0060C">
      <w:pPr>
        <w:spacing w:after="0" w:line="360" w:lineRule="auto"/>
        <w:ind w:firstLine="0"/>
      </w:pPr>
    </w:p>
    <w:p w14:paraId="3E485922" w14:textId="0924D2CB" w:rsidR="00235E6F" w:rsidRPr="00B7238F" w:rsidRDefault="005C27AE" w:rsidP="00A0060C">
      <w:pPr>
        <w:pStyle w:val="Ttulo2"/>
        <w:spacing w:before="0" w:after="0" w:line="360" w:lineRule="auto"/>
      </w:pPr>
      <w:bookmarkStart w:id="295" w:name="_Toc22568284"/>
      <w:r>
        <w:t xml:space="preserve">7.4 </w:t>
      </w:r>
      <w:r w:rsidR="00076AB0" w:rsidRPr="00B7238F">
        <w:t>RESULTADOS</w:t>
      </w:r>
      <w:bookmarkEnd w:id="295"/>
    </w:p>
    <w:p w14:paraId="7C86294E" w14:textId="77777777" w:rsidR="005C27AE" w:rsidRDefault="005C27AE" w:rsidP="00A0060C">
      <w:pPr>
        <w:spacing w:after="0" w:line="360" w:lineRule="auto"/>
      </w:pPr>
    </w:p>
    <w:p w14:paraId="1017075B" w14:textId="75592D77" w:rsidR="006F0E2B" w:rsidRPr="00B7238F" w:rsidRDefault="005C27AE" w:rsidP="00A0060C">
      <w:pPr>
        <w:pStyle w:val="Ttulo3"/>
        <w:spacing w:before="0" w:after="0" w:line="360" w:lineRule="auto"/>
      </w:pPr>
      <w:bookmarkStart w:id="296" w:name="_Toc22568285"/>
      <w:r>
        <w:t xml:space="preserve">7.4.1 </w:t>
      </w:r>
      <w:r w:rsidR="006F0E2B" w:rsidRPr="00B7238F">
        <w:t xml:space="preserve">Efeito de programas de aplicações de fungicidas na ocorrência e frequência da mutação I86F em populações de </w:t>
      </w:r>
      <w:r w:rsidR="006F0E2B" w:rsidRPr="00B7238F">
        <w:rPr>
          <w:i/>
          <w:iCs/>
        </w:rPr>
        <w:t>Phakopsora pachyrhizi</w:t>
      </w:r>
      <w:bookmarkEnd w:id="296"/>
    </w:p>
    <w:p w14:paraId="21831FD7" w14:textId="3E69401D" w:rsidR="00076AB0" w:rsidRPr="00B7238F" w:rsidRDefault="00076AB0" w:rsidP="00A0060C">
      <w:pPr>
        <w:pStyle w:val="Default"/>
        <w:spacing w:line="360" w:lineRule="auto"/>
        <w:rPr>
          <w:color w:val="000000" w:themeColor="text1"/>
          <w:lang w:val="pt-BR"/>
        </w:rPr>
      </w:pPr>
    </w:p>
    <w:p w14:paraId="087CD19C" w14:textId="77777777" w:rsidR="00FB001A" w:rsidRPr="00B7238F" w:rsidRDefault="00AC217F" w:rsidP="00A0060C">
      <w:pPr>
        <w:pStyle w:val="Default"/>
        <w:spacing w:line="360" w:lineRule="auto"/>
        <w:ind w:firstLine="708"/>
        <w:jc w:val="both"/>
        <w:rPr>
          <w:color w:val="000000" w:themeColor="text1"/>
          <w:lang w:val="pt-BR"/>
        </w:rPr>
      </w:pPr>
      <w:r w:rsidRPr="00B7238F">
        <w:rPr>
          <w:color w:val="000000" w:themeColor="text1"/>
          <w:lang w:val="pt-BR"/>
        </w:rPr>
        <w:t xml:space="preserve">A detecção dos primeiros sintomas da FAS ocorreu no dia 30/03/2018, aos 51 dias após a emergência </w:t>
      </w:r>
      <w:r w:rsidR="00CB70CD" w:rsidRPr="00B7238F">
        <w:rPr>
          <w:color w:val="000000" w:themeColor="text1"/>
          <w:lang w:val="pt-BR"/>
        </w:rPr>
        <w:t>no estádio fenológico V8 (pré-fechamento). A frequência inicial da mutação I86F na população inicial (P</w:t>
      </w:r>
      <w:r w:rsidR="00CB70CD" w:rsidRPr="00B7238F">
        <w:rPr>
          <w:color w:val="000000" w:themeColor="text1"/>
          <w:vertAlign w:val="subscript"/>
          <w:lang w:val="pt-BR"/>
        </w:rPr>
        <w:t>0</w:t>
      </w:r>
      <w:r w:rsidR="00CB70CD" w:rsidRPr="00B7238F">
        <w:rPr>
          <w:color w:val="000000" w:themeColor="text1"/>
          <w:lang w:val="pt-BR"/>
        </w:rPr>
        <w:t xml:space="preserve">) de </w:t>
      </w:r>
      <w:r w:rsidR="00CB70CD" w:rsidRPr="00B7238F">
        <w:rPr>
          <w:i/>
          <w:color w:val="000000" w:themeColor="text1"/>
          <w:lang w:val="pt-BR"/>
        </w:rPr>
        <w:t xml:space="preserve">P. pachyrhizi </w:t>
      </w:r>
      <w:r w:rsidR="00CB70CD" w:rsidRPr="00B7238F">
        <w:rPr>
          <w:color w:val="000000" w:themeColor="text1"/>
          <w:lang w:val="pt-BR"/>
        </w:rPr>
        <w:t>foi 2,75 %.</w:t>
      </w:r>
      <w:r w:rsidR="00056395" w:rsidRPr="00B7238F">
        <w:rPr>
          <w:color w:val="000000" w:themeColor="text1"/>
          <w:lang w:val="pt-BR"/>
        </w:rPr>
        <w:t xml:space="preserve"> </w:t>
      </w:r>
    </w:p>
    <w:p w14:paraId="102E0F18" w14:textId="67844831" w:rsidR="00FB001A" w:rsidRPr="00B7238F" w:rsidRDefault="00FB001A" w:rsidP="00A0060C">
      <w:pPr>
        <w:pStyle w:val="Default"/>
        <w:spacing w:line="360" w:lineRule="auto"/>
        <w:ind w:firstLine="708"/>
        <w:jc w:val="both"/>
        <w:rPr>
          <w:color w:val="000000" w:themeColor="text1"/>
          <w:lang w:val="pt-BR"/>
        </w:rPr>
      </w:pPr>
      <w:r w:rsidRPr="00B7238F">
        <w:rPr>
          <w:color w:val="000000" w:themeColor="text1"/>
          <w:lang w:val="pt-BR"/>
        </w:rPr>
        <w:t>Houve interação estatística entre os momentos de coleta e os programas de aplicações de fungicidas (tratamentos), com isto foi realizada a análise de contrastes estatísticos para comparar média de momentos</w:t>
      </w:r>
      <w:r w:rsidR="002A1A7A" w:rsidRPr="00B7238F">
        <w:rPr>
          <w:color w:val="000000" w:themeColor="text1"/>
          <w:lang w:val="pt-BR"/>
        </w:rPr>
        <w:t xml:space="preserve"> de avaliação, médias de tratamentos nos diferentes momentos de coleta </w:t>
      </w:r>
      <w:r w:rsidRPr="00B7238F">
        <w:rPr>
          <w:color w:val="000000" w:themeColor="text1"/>
          <w:lang w:val="pt-BR"/>
        </w:rPr>
        <w:t>e/ou grupos de tratamentos</w:t>
      </w:r>
      <w:r w:rsidR="002A1A7A" w:rsidRPr="00B7238F">
        <w:rPr>
          <w:color w:val="000000" w:themeColor="text1"/>
          <w:lang w:val="pt-BR"/>
        </w:rPr>
        <w:t>.</w:t>
      </w:r>
    </w:p>
    <w:p w14:paraId="4E2F1EF9" w14:textId="6944FCDC" w:rsidR="002A1A7A" w:rsidRPr="00B7238F" w:rsidRDefault="00056395" w:rsidP="00A0060C">
      <w:pPr>
        <w:pStyle w:val="Default"/>
        <w:spacing w:line="360" w:lineRule="auto"/>
        <w:ind w:firstLine="708"/>
        <w:jc w:val="both"/>
        <w:rPr>
          <w:color w:val="000000" w:themeColor="text1"/>
          <w:lang w:val="pt-BR"/>
        </w:rPr>
      </w:pPr>
      <w:r w:rsidRPr="00B7238F">
        <w:rPr>
          <w:color w:val="000000" w:themeColor="text1"/>
          <w:lang w:val="pt-BR"/>
        </w:rPr>
        <w:t xml:space="preserve">A média da frequência da mutação I86F nos tratamentos contendo aplicação dos fungicidas do grupo das carboxamidas foi </w:t>
      </w:r>
      <w:r w:rsidR="002A1A7A" w:rsidRPr="00B7238F">
        <w:rPr>
          <w:color w:val="000000" w:themeColor="text1"/>
          <w:lang w:val="pt-BR"/>
        </w:rPr>
        <w:t>estatisticamente</w:t>
      </w:r>
      <w:r w:rsidRPr="00B7238F">
        <w:rPr>
          <w:color w:val="000000" w:themeColor="text1"/>
          <w:lang w:val="pt-BR"/>
        </w:rPr>
        <w:t xml:space="preserve"> superior aos tratamentos testemunhas (T1 e T8) aos 14, 28, 42, e 56 DAP</w:t>
      </w:r>
      <w:r w:rsidRPr="00B7238F">
        <w:rPr>
          <w:color w:val="000000" w:themeColor="text1"/>
          <w:vertAlign w:val="subscript"/>
          <w:lang w:val="pt-BR"/>
        </w:rPr>
        <w:t>0</w:t>
      </w:r>
      <w:r w:rsidR="00F23346" w:rsidRPr="00B7238F">
        <w:rPr>
          <w:color w:val="000000" w:themeColor="text1"/>
          <w:vertAlign w:val="subscript"/>
          <w:lang w:val="pt-BR"/>
        </w:rPr>
        <w:t xml:space="preserve"> </w:t>
      </w:r>
      <w:r w:rsidRPr="00B7238F">
        <w:rPr>
          <w:color w:val="000000" w:themeColor="text1"/>
          <w:lang w:val="pt-BR"/>
        </w:rPr>
        <w:t>pela análise de contrastes estatísticos (p &lt;0,0001)</w:t>
      </w:r>
      <w:r w:rsidR="002A1A7A" w:rsidRPr="00B7238F">
        <w:rPr>
          <w:color w:val="000000" w:themeColor="text1"/>
          <w:lang w:val="pt-BR"/>
        </w:rPr>
        <w:t xml:space="preserve"> </w:t>
      </w:r>
      <w:r w:rsidR="000040AD" w:rsidRPr="00B7238F">
        <w:rPr>
          <w:color w:val="000000" w:themeColor="text1"/>
          <w:lang w:val="pt-BR"/>
        </w:rPr>
        <w:t>(Anexo 1)</w:t>
      </w:r>
      <w:r w:rsidR="002A1A7A" w:rsidRPr="00B7238F">
        <w:rPr>
          <w:color w:val="000000" w:themeColor="text1"/>
          <w:lang w:val="pt-BR"/>
        </w:rPr>
        <w:t>.</w:t>
      </w:r>
      <w:r w:rsidR="00085D8D" w:rsidRPr="00B7238F">
        <w:rPr>
          <w:color w:val="000000" w:themeColor="text1"/>
          <w:lang w:val="pt-BR"/>
        </w:rPr>
        <w:t xml:space="preserve"> </w:t>
      </w:r>
    </w:p>
    <w:p w14:paraId="35BA7C53" w14:textId="77777777" w:rsidR="007B08EE" w:rsidRDefault="00281D7F" w:rsidP="00A0060C">
      <w:pPr>
        <w:pStyle w:val="Default"/>
        <w:spacing w:line="360" w:lineRule="auto"/>
        <w:ind w:firstLine="708"/>
        <w:jc w:val="both"/>
        <w:rPr>
          <w:color w:val="000000" w:themeColor="text1"/>
          <w:lang w:val="pt-BR"/>
        </w:rPr>
      </w:pPr>
      <w:r w:rsidRPr="00B7238F">
        <w:rPr>
          <w:color w:val="000000" w:themeColor="text1"/>
          <w:lang w:val="pt-BR"/>
        </w:rPr>
        <w:t>Ao avaliar a média de frequência da mutação I86F nos tratamentos com utilização de fungicidas do grupo químico das carboxamidas ao longo dos diferentes momentos de avaliação, fo</w:t>
      </w:r>
      <w:r w:rsidR="00FB001A" w:rsidRPr="00B7238F">
        <w:rPr>
          <w:color w:val="000000" w:themeColor="text1"/>
          <w:lang w:val="pt-BR"/>
        </w:rPr>
        <w:t>ram observados os menores valores da mutação aos 14 DAP</w:t>
      </w:r>
      <w:r w:rsidR="00FB001A" w:rsidRPr="00B7238F">
        <w:rPr>
          <w:color w:val="000000" w:themeColor="text1"/>
          <w:vertAlign w:val="subscript"/>
          <w:lang w:val="pt-BR"/>
        </w:rPr>
        <w:t>0</w:t>
      </w:r>
      <w:r w:rsidR="00F23346" w:rsidRPr="00B7238F">
        <w:rPr>
          <w:color w:val="000000" w:themeColor="text1"/>
          <w:vertAlign w:val="subscript"/>
          <w:lang w:val="pt-BR"/>
        </w:rPr>
        <w:t xml:space="preserve"> </w:t>
      </w:r>
      <w:r w:rsidR="00F23346" w:rsidRPr="00B7238F">
        <w:rPr>
          <w:color w:val="000000" w:themeColor="text1"/>
          <w:lang w:val="pt-BR"/>
        </w:rPr>
        <w:t>(23,4 %)</w:t>
      </w:r>
      <w:r w:rsidR="00FB001A" w:rsidRPr="00B7238F">
        <w:rPr>
          <w:color w:val="000000" w:themeColor="text1"/>
          <w:lang w:val="pt-BR"/>
        </w:rPr>
        <w:t>, quando comparados as avaliações realizadas aos 28</w:t>
      </w:r>
      <w:r w:rsidR="00F23346" w:rsidRPr="00B7238F">
        <w:rPr>
          <w:color w:val="000000" w:themeColor="text1"/>
          <w:lang w:val="pt-BR"/>
        </w:rPr>
        <w:t xml:space="preserve"> (37,4 %)</w:t>
      </w:r>
      <w:r w:rsidR="00FB001A" w:rsidRPr="00B7238F">
        <w:rPr>
          <w:color w:val="000000" w:themeColor="text1"/>
          <w:lang w:val="pt-BR"/>
        </w:rPr>
        <w:t>, 42</w:t>
      </w:r>
      <w:r w:rsidR="00F23346" w:rsidRPr="00B7238F">
        <w:rPr>
          <w:color w:val="000000" w:themeColor="text1"/>
          <w:lang w:val="pt-BR"/>
        </w:rPr>
        <w:t xml:space="preserve"> (40,3 %)</w:t>
      </w:r>
      <w:r w:rsidR="00FB001A" w:rsidRPr="00B7238F">
        <w:rPr>
          <w:color w:val="000000" w:themeColor="text1"/>
          <w:lang w:val="pt-BR"/>
        </w:rPr>
        <w:t xml:space="preserve"> e 56 DAP</w:t>
      </w:r>
      <w:r w:rsidR="00FB001A" w:rsidRPr="00B7238F">
        <w:rPr>
          <w:color w:val="000000" w:themeColor="text1"/>
          <w:vertAlign w:val="subscript"/>
          <w:lang w:val="pt-BR"/>
        </w:rPr>
        <w:t>0</w:t>
      </w:r>
      <w:r w:rsidR="00F23346" w:rsidRPr="00B7238F">
        <w:rPr>
          <w:color w:val="000000" w:themeColor="text1"/>
          <w:vertAlign w:val="subscript"/>
          <w:lang w:val="pt-BR"/>
        </w:rPr>
        <w:t xml:space="preserve"> </w:t>
      </w:r>
      <w:r w:rsidR="00F23346" w:rsidRPr="00B7238F">
        <w:rPr>
          <w:color w:val="000000" w:themeColor="text1"/>
          <w:lang w:val="pt-BR"/>
        </w:rPr>
        <w:t>(33,7 %)</w:t>
      </w:r>
      <w:r w:rsidR="00FB001A" w:rsidRPr="00B7238F">
        <w:rPr>
          <w:color w:val="000000" w:themeColor="text1"/>
          <w:vertAlign w:val="subscript"/>
          <w:lang w:val="pt-BR"/>
        </w:rPr>
        <w:t xml:space="preserve">. </w:t>
      </w:r>
      <w:r w:rsidR="001052A5" w:rsidRPr="00B7238F">
        <w:rPr>
          <w:color w:val="000000" w:themeColor="text1"/>
          <w:lang w:val="pt-BR"/>
        </w:rPr>
        <w:t xml:space="preserve"> No entanto, </w:t>
      </w:r>
      <w:r w:rsidR="0075627A" w:rsidRPr="00B7238F">
        <w:rPr>
          <w:color w:val="000000" w:themeColor="text1"/>
          <w:lang w:val="pt-BR"/>
        </w:rPr>
        <w:t xml:space="preserve">populações de </w:t>
      </w:r>
      <w:r w:rsidR="0075627A" w:rsidRPr="00B7238F">
        <w:rPr>
          <w:i/>
          <w:color w:val="000000" w:themeColor="text1"/>
          <w:lang w:val="pt-BR"/>
        </w:rPr>
        <w:t>P. pachyrhizi</w:t>
      </w:r>
      <w:r w:rsidR="0075627A" w:rsidRPr="00B7238F">
        <w:rPr>
          <w:color w:val="000000" w:themeColor="text1"/>
          <w:lang w:val="pt-BR"/>
        </w:rPr>
        <w:t xml:space="preserve"> coletados aos 28 DAP</w:t>
      </w:r>
      <w:r w:rsidR="0075627A" w:rsidRPr="00B7238F">
        <w:rPr>
          <w:color w:val="000000" w:themeColor="text1"/>
          <w:vertAlign w:val="subscript"/>
          <w:lang w:val="pt-BR"/>
        </w:rPr>
        <w:t xml:space="preserve">0 </w:t>
      </w:r>
      <w:r w:rsidR="0075627A" w:rsidRPr="00B7238F">
        <w:rPr>
          <w:color w:val="000000" w:themeColor="text1"/>
          <w:lang w:val="pt-BR"/>
        </w:rPr>
        <w:t>não apresentaram diferença estatística em relação a 42 e 56 DAP</w:t>
      </w:r>
      <w:r w:rsidR="0075627A" w:rsidRPr="00B7238F">
        <w:rPr>
          <w:color w:val="000000" w:themeColor="text1"/>
          <w:vertAlign w:val="subscript"/>
          <w:lang w:val="pt-BR"/>
        </w:rPr>
        <w:t xml:space="preserve">0. </w:t>
      </w:r>
      <w:r w:rsidR="005D5111" w:rsidRPr="00B7238F">
        <w:rPr>
          <w:color w:val="000000" w:themeColor="text1"/>
          <w:lang w:val="pt-BR"/>
        </w:rPr>
        <w:t>Além disto,</w:t>
      </w:r>
      <w:r w:rsidR="0075627A" w:rsidRPr="00B7238F">
        <w:rPr>
          <w:color w:val="000000" w:themeColor="text1"/>
          <w:lang w:val="pt-BR"/>
        </w:rPr>
        <w:t xml:space="preserve"> a frequência da mutação </w:t>
      </w:r>
      <w:r w:rsidR="005D5111" w:rsidRPr="00B7238F">
        <w:rPr>
          <w:color w:val="000000" w:themeColor="text1"/>
          <w:lang w:val="pt-BR"/>
        </w:rPr>
        <w:t>apresentou redução entre 42 e</w:t>
      </w:r>
      <w:r w:rsidR="0075627A" w:rsidRPr="00B7238F">
        <w:rPr>
          <w:color w:val="000000" w:themeColor="text1"/>
          <w:lang w:val="pt-BR"/>
        </w:rPr>
        <w:t xml:space="preserve"> 56 DAP</w:t>
      </w:r>
      <w:r w:rsidR="0075627A" w:rsidRPr="00B7238F">
        <w:rPr>
          <w:color w:val="000000" w:themeColor="text1"/>
          <w:vertAlign w:val="subscript"/>
          <w:lang w:val="pt-BR"/>
        </w:rPr>
        <w:t xml:space="preserve">0 </w:t>
      </w:r>
      <w:r w:rsidR="000040AD" w:rsidRPr="00B7238F">
        <w:rPr>
          <w:color w:val="000000" w:themeColor="text1"/>
          <w:lang w:val="pt-BR"/>
        </w:rPr>
        <w:t>(Anexo 1).</w:t>
      </w:r>
    </w:p>
    <w:p w14:paraId="73B12054" w14:textId="340B6F52" w:rsidR="004E778E" w:rsidRPr="00B7238F" w:rsidRDefault="00A76730" w:rsidP="00A0060C">
      <w:pPr>
        <w:pStyle w:val="Default"/>
        <w:spacing w:line="360" w:lineRule="auto"/>
        <w:ind w:firstLine="708"/>
        <w:jc w:val="both"/>
        <w:rPr>
          <w:color w:val="000000" w:themeColor="text1"/>
          <w:lang w:val="pt-BR"/>
        </w:rPr>
      </w:pPr>
      <w:r w:rsidRPr="00B7238F">
        <w:rPr>
          <w:color w:val="000000" w:themeColor="text1"/>
          <w:lang w:val="pt-BR"/>
        </w:rPr>
        <w:t>O tratamento com aplicações de misturas de estrobilurina + triazol/triazolinthione</w:t>
      </w:r>
      <w:r w:rsidR="004E778E" w:rsidRPr="00B7238F">
        <w:rPr>
          <w:color w:val="000000" w:themeColor="text1"/>
          <w:lang w:val="pt-BR"/>
        </w:rPr>
        <w:t xml:space="preserve"> (T1) apresentou os menores valores de frequência da mutação I86F independente do momento de coleta, contudo diferiu estatisticamente da testemunha sem aplicação de fungicidas (T8) apenas aos 28 e 42 DAP</w:t>
      </w:r>
      <w:r w:rsidR="004E778E" w:rsidRPr="00B7238F">
        <w:rPr>
          <w:color w:val="000000" w:themeColor="text1"/>
          <w:vertAlign w:val="subscript"/>
          <w:lang w:val="pt-BR"/>
        </w:rPr>
        <w:t>0</w:t>
      </w:r>
      <w:r w:rsidR="004E778E" w:rsidRPr="00B7238F">
        <w:rPr>
          <w:color w:val="000000" w:themeColor="text1"/>
          <w:lang w:val="pt-BR"/>
        </w:rPr>
        <w:t>. Para os dois tratamentos testemunhas, não houve diferença estatística ao comparar os diferentes momentos de coleta dentro de cada tratamento</w:t>
      </w:r>
      <w:r w:rsidR="005A40F5" w:rsidRPr="00B7238F">
        <w:rPr>
          <w:color w:val="000000" w:themeColor="text1"/>
          <w:lang w:val="pt-BR"/>
        </w:rPr>
        <w:t xml:space="preserve"> (Tabela 18)</w:t>
      </w:r>
      <w:r w:rsidR="004E778E" w:rsidRPr="00B7238F">
        <w:rPr>
          <w:color w:val="000000" w:themeColor="text1"/>
          <w:lang w:val="pt-BR"/>
        </w:rPr>
        <w:t>.</w:t>
      </w:r>
    </w:p>
    <w:p w14:paraId="7E73F8A1" w14:textId="19B78CA0" w:rsidR="00875F62" w:rsidRDefault="00875F62" w:rsidP="00A0060C">
      <w:pPr>
        <w:pStyle w:val="Default"/>
        <w:tabs>
          <w:tab w:val="left" w:pos="709"/>
        </w:tabs>
        <w:spacing w:line="360" w:lineRule="auto"/>
        <w:jc w:val="both"/>
        <w:rPr>
          <w:color w:val="000000" w:themeColor="text1"/>
          <w:lang w:val="pt-BR"/>
        </w:rPr>
      </w:pPr>
    </w:p>
    <w:p w14:paraId="319A936B" w14:textId="121639AE" w:rsidR="00A0060C" w:rsidRDefault="00A0060C" w:rsidP="00A0060C">
      <w:pPr>
        <w:pStyle w:val="Default"/>
        <w:tabs>
          <w:tab w:val="left" w:pos="709"/>
        </w:tabs>
        <w:spacing w:line="360" w:lineRule="auto"/>
        <w:jc w:val="both"/>
        <w:rPr>
          <w:color w:val="000000" w:themeColor="text1"/>
          <w:lang w:val="pt-BR"/>
        </w:rPr>
      </w:pPr>
    </w:p>
    <w:p w14:paraId="79AF7876" w14:textId="737D8D30" w:rsidR="00A0060C" w:rsidRDefault="00A0060C" w:rsidP="00A0060C">
      <w:pPr>
        <w:pStyle w:val="Default"/>
        <w:tabs>
          <w:tab w:val="left" w:pos="709"/>
        </w:tabs>
        <w:spacing w:line="360" w:lineRule="auto"/>
        <w:jc w:val="both"/>
        <w:rPr>
          <w:color w:val="000000" w:themeColor="text1"/>
          <w:lang w:val="pt-BR"/>
        </w:rPr>
      </w:pPr>
    </w:p>
    <w:p w14:paraId="329E5669" w14:textId="1F8B43F3" w:rsidR="00A0060C" w:rsidRDefault="00A0060C" w:rsidP="00A0060C">
      <w:pPr>
        <w:pStyle w:val="Default"/>
        <w:tabs>
          <w:tab w:val="left" w:pos="709"/>
        </w:tabs>
        <w:spacing w:line="360" w:lineRule="auto"/>
        <w:jc w:val="both"/>
        <w:rPr>
          <w:color w:val="000000" w:themeColor="text1"/>
          <w:lang w:val="pt-BR"/>
        </w:rPr>
      </w:pPr>
    </w:p>
    <w:p w14:paraId="3CBA853D" w14:textId="4DB037FA" w:rsidR="00A0060C" w:rsidRDefault="00A0060C" w:rsidP="00A0060C">
      <w:pPr>
        <w:pStyle w:val="Default"/>
        <w:tabs>
          <w:tab w:val="left" w:pos="709"/>
        </w:tabs>
        <w:spacing w:line="360" w:lineRule="auto"/>
        <w:jc w:val="both"/>
        <w:rPr>
          <w:color w:val="000000" w:themeColor="text1"/>
          <w:lang w:val="pt-BR"/>
        </w:rPr>
      </w:pPr>
    </w:p>
    <w:p w14:paraId="7C605C71" w14:textId="2A41AB10" w:rsidR="00A0060C" w:rsidRDefault="00A0060C" w:rsidP="00A0060C">
      <w:pPr>
        <w:pStyle w:val="Default"/>
        <w:tabs>
          <w:tab w:val="left" w:pos="709"/>
        </w:tabs>
        <w:spacing w:line="360" w:lineRule="auto"/>
        <w:jc w:val="both"/>
        <w:rPr>
          <w:color w:val="000000" w:themeColor="text1"/>
          <w:lang w:val="pt-BR"/>
        </w:rPr>
      </w:pPr>
    </w:p>
    <w:p w14:paraId="344C591C" w14:textId="69335DEE" w:rsidR="00A0060C" w:rsidRDefault="00A0060C" w:rsidP="00A0060C">
      <w:pPr>
        <w:pStyle w:val="Default"/>
        <w:tabs>
          <w:tab w:val="left" w:pos="709"/>
        </w:tabs>
        <w:spacing w:line="360" w:lineRule="auto"/>
        <w:jc w:val="both"/>
        <w:rPr>
          <w:color w:val="000000" w:themeColor="text1"/>
          <w:lang w:val="pt-BR"/>
        </w:rPr>
      </w:pPr>
    </w:p>
    <w:p w14:paraId="72A7649A" w14:textId="1C05350A" w:rsidR="00A0060C" w:rsidRDefault="00A0060C" w:rsidP="00A0060C">
      <w:pPr>
        <w:pStyle w:val="Default"/>
        <w:tabs>
          <w:tab w:val="left" w:pos="709"/>
        </w:tabs>
        <w:spacing w:line="360" w:lineRule="auto"/>
        <w:jc w:val="both"/>
        <w:rPr>
          <w:color w:val="000000" w:themeColor="text1"/>
          <w:lang w:val="pt-BR"/>
        </w:rPr>
      </w:pPr>
    </w:p>
    <w:p w14:paraId="0ED07336" w14:textId="56759DCA" w:rsidR="00A0060C" w:rsidRDefault="00A0060C" w:rsidP="00A0060C">
      <w:pPr>
        <w:pStyle w:val="Default"/>
        <w:tabs>
          <w:tab w:val="left" w:pos="709"/>
        </w:tabs>
        <w:spacing w:line="360" w:lineRule="auto"/>
        <w:jc w:val="both"/>
        <w:rPr>
          <w:color w:val="000000" w:themeColor="text1"/>
          <w:lang w:val="pt-BR"/>
        </w:rPr>
      </w:pPr>
    </w:p>
    <w:p w14:paraId="793324FF" w14:textId="70C5F3DD" w:rsidR="00A0060C" w:rsidRDefault="00A0060C" w:rsidP="00A0060C">
      <w:pPr>
        <w:pStyle w:val="Default"/>
        <w:tabs>
          <w:tab w:val="left" w:pos="709"/>
        </w:tabs>
        <w:spacing w:line="360" w:lineRule="auto"/>
        <w:jc w:val="both"/>
        <w:rPr>
          <w:color w:val="000000" w:themeColor="text1"/>
          <w:lang w:val="pt-BR"/>
        </w:rPr>
      </w:pPr>
    </w:p>
    <w:p w14:paraId="75295141" w14:textId="6D19920E" w:rsidR="00A0060C" w:rsidRDefault="00A0060C" w:rsidP="00A0060C">
      <w:pPr>
        <w:pStyle w:val="Default"/>
        <w:tabs>
          <w:tab w:val="left" w:pos="709"/>
        </w:tabs>
        <w:spacing w:line="360" w:lineRule="auto"/>
        <w:jc w:val="both"/>
        <w:rPr>
          <w:color w:val="000000" w:themeColor="text1"/>
          <w:lang w:val="pt-BR"/>
        </w:rPr>
      </w:pPr>
    </w:p>
    <w:p w14:paraId="09050938" w14:textId="77777777" w:rsidR="00A0060C" w:rsidRPr="00B7238F" w:rsidRDefault="00A0060C" w:rsidP="00A0060C">
      <w:pPr>
        <w:pStyle w:val="Default"/>
        <w:tabs>
          <w:tab w:val="left" w:pos="709"/>
        </w:tabs>
        <w:spacing w:line="360" w:lineRule="auto"/>
        <w:jc w:val="both"/>
        <w:rPr>
          <w:color w:val="000000" w:themeColor="text1"/>
          <w:lang w:val="pt-BR"/>
        </w:rPr>
      </w:pPr>
    </w:p>
    <w:p w14:paraId="1C756F24" w14:textId="16677AAB" w:rsidR="002567F3" w:rsidRDefault="002567F3" w:rsidP="002567F3">
      <w:pPr>
        <w:pStyle w:val="Legenda"/>
        <w:keepNext/>
        <w:ind w:firstLine="0"/>
      </w:pPr>
      <w:bookmarkStart w:id="297" w:name="_Toc16173054"/>
      <w:r>
        <w:t xml:space="preserve">Tabela </w:t>
      </w:r>
      <w:r w:rsidR="00D00510">
        <w:fldChar w:fldCharType="begin"/>
      </w:r>
      <w:r w:rsidR="00D00510">
        <w:instrText xml:space="preserve"> SEQ Tabela \* ARABIC </w:instrText>
      </w:r>
      <w:r w:rsidR="00D00510">
        <w:fldChar w:fldCharType="separate"/>
      </w:r>
      <w:r w:rsidR="002D15F8">
        <w:rPr>
          <w:noProof/>
        </w:rPr>
        <w:t>18</w:t>
      </w:r>
      <w:r w:rsidR="00D00510">
        <w:rPr>
          <w:noProof/>
        </w:rPr>
        <w:fldChar w:fldCharType="end"/>
      </w:r>
      <w:r>
        <w:t xml:space="preserve">. </w:t>
      </w:r>
      <w:r w:rsidRPr="00FE2723">
        <w:t xml:space="preserve">Frequência da mutação I86F em populações de </w:t>
      </w:r>
      <w:r w:rsidRPr="002567F3">
        <w:rPr>
          <w:i/>
        </w:rPr>
        <w:t>P. pachyrhizi</w:t>
      </w:r>
      <w:r w:rsidRPr="00FE2723">
        <w:t xml:space="preserve"> submetidas a diferentes programas de aplicação de fungicidas, coletadas aos 14, 28, 42 e 56 dias após a detecção do fungo. Lages, 2019.</w:t>
      </w:r>
      <w:bookmarkEnd w:id="297"/>
    </w:p>
    <w:tbl>
      <w:tblPr>
        <w:tblStyle w:val="Tabelacomgrade1"/>
        <w:tblW w:w="8990" w:type="dxa"/>
        <w:tblInd w:w="-5" w:type="dxa"/>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380"/>
        <w:gridCol w:w="1399"/>
        <w:gridCol w:w="1582"/>
        <w:gridCol w:w="1582"/>
        <w:gridCol w:w="1582"/>
        <w:gridCol w:w="1465"/>
      </w:tblGrid>
      <w:tr w:rsidR="00875F62" w:rsidRPr="00875F62" w14:paraId="4EF37CEB" w14:textId="77777777" w:rsidTr="002B23EA">
        <w:trPr>
          <w:trHeight w:val="298"/>
        </w:trPr>
        <w:tc>
          <w:tcPr>
            <w:tcW w:w="8990" w:type="dxa"/>
            <w:gridSpan w:val="6"/>
            <w:tcBorders>
              <w:top w:val="single" w:sz="4" w:space="0" w:color="auto"/>
              <w:bottom w:val="single" w:sz="4" w:space="0" w:color="auto"/>
            </w:tcBorders>
            <w:vAlign w:val="center"/>
            <w:hideMark/>
          </w:tcPr>
          <w:p w14:paraId="27B7BDA7" w14:textId="77777777" w:rsidR="00875F62" w:rsidRPr="00875F62" w:rsidRDefault="00875F62" w:rsidP="00875F62">
            <w:pPr>
              <w:autoSpaceDE/>
              <w:autoSpaceDN/>
              <w:adjustRightInd/>
              <w:ind w:firstLine="0"/>
              <w:jc w:val="center"/>
              <w:textAlignment w:val="bottom"/>
              <w:rPr>
                <w:rFonts w:eastAsia="Times New Roman"/>
                <w:b/>
                <w:lang w:eastAsia="pt-BR"/>
              </w:rPr>
            </w:pPr>
            <w:r w:rsidRPr="00875F62">
              <w:rPr>
                <w:rFonts w:eastAsia="Times New Roman"/>
                <w:b/>
                <w:color w:val="000000" w:themeColor="text1"/>
                <w:kern w:val="24"/>
                <w:lang w:eastAsia="pt-BR"/>
              </w:rPr>
              <w:t>Dias após a detecção do fungo</w:t>
            </w:r>
          </w:p>
        </w:tc>
      </w:tr>
      <w:tr w:rsidR="00875F62" w:rsidRPr="00875F62" w14:paraId="52B0EF5B" w14:textId="77777777" w:rsidTr="002B23EA">
        <w:trPr>
          <w:trHeight w:val="298"/>
        </w:trPr>
        <w:tc>
          <w:tcPr>
            <w:tcW w:w="1380" w:type="dxa"/>
            <w:tcBorders>
              <w:top w:val="single" w:sz="4" w:space="0" w:color="auto"/>
              <w:bottom w:val="single" w:sz="4" w:space="0" w:color="auto"/>
            </w:tcBorders>
            <w:vAlign w:val="center"/>
            <w:hideMark/>
          </w:tcPr>
          <w:p w14:paraId="6E0C279F" w14:textId="77777777" w:rsidR="00875F62" w:rsidRPr="00875F62" w:rsidRDefault="00875F62" w:rsidP="00875F62">
            <w:pPr>
              <w:autoSpaceDE/>
              <w:autoSpaceDN/>
              <w:adjustRightInd/>
              <w:ind w:firstLine="0"/>
              <w:jc w:val="center"/>
              <w:textAlignment w:val="bottom"/>
              <w:rPr>
                <w:rFonts w:eastAsia="Times New Roman"/>
                <w:b/>
                <w:lang w:eastAsia="pt-BR"/>
              </w:rPr>
            </w:pPr>
            <w:r w:rsidRPr="00875F62">
              <w:rPr>
                <w:rFonts w:eastAsia="Times New Roman"/>
                <w:b/>
                <w:color w:val="000000" w:themeColor="text1"/>
                <w:kern w:val="24"/>
                <w:lang w:eastAsia="pt-BR"/>
              </w:rPr>
              <w:t>Prog. Apl.</w:t>
            </w:r>
          </w:p>
        </w:tc>
        <w:tc>
          <w:tcPr>
            <w:tcW w:w="1399" w:type="dxa"/>
            <w:tcBorders>
              <w:top w:val="single" w:sz="4" w:space="0" w:color="auto"/>
              <w:bottom w:val="single" w:sz="4" w:space="0" w:color="auto"/>
            </w:tcBorders>
            <w:vAlign w:val="center"/>
            <w:hideMark/>
          </w:tcPr>
          <w:p w14:paraId="63590050" w14:textId="77777777" w:rsidR="00875F62" w:rsidRPr="00875F62" w:rsidRDefault="00875F62" w:rsidP="00875F62">
            <w:pPr>
              <w:autoSpaceDE/>
              <w:autoSpaceDN/>
              <w:adjustRightInd/>
              <w:ind w:firstLine="0"/>
              <w:jc w:val="center"/>
              <w:textAlignment w:val="bottom"/>
              <w:rPr>
                <w:rFonts w:eastAsia="Times New Roman"/>
                <w:b/>
                <w:lang w:eastAsia="pt-BR"/>
              </w:rPr>
            </w:pPr>
            <w:r w:rsidRPr="00875F62">
              <w:rPr>
                <w:rFonts w:eastAsia="Times New Roman"/>
                <w:b/>
                <w:color w:val="000000" w:themeColor="text1"/>
                <w:kern w:val="24"/>
                <w:lang w:eastAsia="pt-BR"/>
              </w:rPr>
              <w:t>14 DAP</w:t>
            </w:r>
            <w:r w:rsidRPr="00875F62">
              <w:rPr>
                <w:rFonts w:eastAsia="Times New Roman"/>
                <w:b/>
                <w:color w:val="000000" w:themeColor="text1"/>
                <w:kern w:val="24"/>
                <w:position w:val="-7"/>
                <w:vertAlign w:val="subscript"/>
                <w:lang w:eastAsia="pt-BR"/>
              </w:rPr>
              <w:t>0</w:t>
            </w:r>
          </w:p>
        </w:tc>
        <w:tc>
          <w:tcPr>
            <w:tcW w:w="1582" w:type="dxa"/>
            <w:tcBorders>
              <w:top w:val="single" w:sz="4" w:space="0" w:color="auto"/>
              <w:bottom w:val="single" w:sz="4" w:space="0" w:color="auto"/>
            </w:tcBorders>
            <w:vAlign w:val="center"/>
            <w:hideMark/>
          </w:tcPr>
          <w:p w14:paraId="686DD926" w14:textId="77777777" w:rsidR="00875F62" w:rsidRPr="00875F62" w:rsidRDefault="00875F62" w:rsidP="00875F62">
            <w:pPr>
              <w:autoSpaceDE/>
              <w:autoSpaceDN/>
              <w:adjustRightInd/>
              <w:ind w:firstLine="0"/>
              <w:jc w:val="center"/>
              <w:textAlignment w:val="bottom"/>
              <w:rPr>
                <w:rFonts w:eastAsia="Times New Roman"/>
                <w:b/>
                <w:lang w:eastAsia="pt-BR"/>
              </w:rPr>
            </w:pPr>
            <w:r w:rsidRPr="00875F62">
              <w:rPr>
                <w:rFonts w:eastAsia="Times New Roman"/>
                <w:b/>
                <w:color w:val="000000" w:themeColor="text1"/>
                <w:kern w:val="24"/>
                <w:lang w:eastAsia="pt-BR"/>
              </w:rPr>
              <w:t>28DAP</w:t>
            </w:r>
            <w:r w:rsidRPr="00875F62">
              <w:rPr>
                <w:rFonts w:eastAsia="Times New Roman"/>
                <w:b/>
                <w:color w:val="000000" w:themeColor="text1"/>
                <w:kern w:val="24"/>
                <w:position w:val="-7"/>
                <w:vertAlign w:val="subscript"/>
                <w:lang w:eastAsia="pt-BR"/>
              </w:rPr>
              <w:t>0</w:t>
            </w:r>
          </w:p>
        </w:tc>
        <w:tc>
          <w:tcPr>
            <w:tcW w:w="1582" w:type="dxa"/>
            <w:tcBorders>
              <w:top w:val="single" w:sz="4" w:space="0" w:color="auto"/>
              <w:bottom w:val="single" w:sz="4" w:space="0" w:color="auto"/>
            </w:tcBorders>
            <w:vAlign w:val="center"/>
            <w:hideMark/>
          </w:tcPr>
          <w:p w14:paraId="593069B5" w14:textId="77777777" w:rsidR="00875F62" w:rsidRPr="00875F62" w:rsidRDefault="00875F62" w:rsidP="00875F62">
            <w:pPr>
              <w:autoSpaceDE/>
              <w:autoSpaceDN/>
              <w:adjustRightInd/>
              <w:ind w:firstLine="0"/>
              <w:jc w:val="center"/>
              <w:textAlignment w:val="bottom"/>
              <w:rPr>
                <w:rFonts w:eastAsia="Times New Roman"/>
                <w:b/>
                <w:lang w:eastAsia="pt-BR"/>
              </w:rPr>
            </w:pPr>
            <w:r w:rsidRPr="00875F62">
              <w:rPr>
                <w:rFonts w:eastAsia="Times New Roman"/>
                <w:b/>
                <w:color w:val="000000" w:themeColor="text1"/>
                <w:kern w:val="24"/>
                <w:lang w:eastAsia="pt-BR"/>
              </w:rPr>
              <w:t>42DAP</w:t>
            </w:r>
            <w:r w:rsidRPr="00875F62">
              <w:rPr>
                <w:rFonts w:eastAsia="Times New Roman"/>
                <w:b/>
                <w:color w:val="000000" w:themeColor="text1"/>
                <w:kern w:val="24"/>
                <w:position w:val="-7"/>
                <w:vertAlign w:val="subscript"/>
                <w:lang w:eastAsia="pt-BR"/>
              </w:rPr>
              <w:t>0</w:t>
            </w:r>
          </w:p>
        </w:tc>
        <w:tc>
          <w:tcPr>
            <w:tcW w:w="1582" w:type="dxa"/>
            <w:tcBorders>
              <w:top w:val="single" w:sz="4" w:space="0" w:color="auto"/>
              <w:bottom w:val="single" w:sz="4" w:space="0" w:color="auto"/>
            </w:tcBorders>
            <w:vAlign w:val="center"/>
            <w:hideMark/>
          </w:tcPr>
          <w:p w14:paraId="31543BF7" w14:textId="77777777" w:rsidR="00875F62" w:rsidRPr="00875F62" w:rsidRDefault="00875F62" w:rsidP="00875F62">
            <w:pPr>
              <w:autoSpaceDE/>
              <w:autoSpaceDN/>
              <w:adjustRightInd/>
              <w:ind w:firstLine="0"/>
              <w:jc w:val="center"/>
              <w:textAlignment w:val="bottom"/>
              <w:rPr>
                <w:rFonts w:eastAsia="Times New Roman"/>
                <w:b/>
                <w:lang w:eastAsia="pt-BR"/>
              </w:rPr>
            </w:pPr>
            <w:r w:rsidRPr="00875F62">
              <w:rPr>
                <w:rFonts w:eastAsia="Times New Roman"/>
                <w:b/>
                <w:color w:val="000000" w:themeColor="text1"/>
                <w:kern w:val="24"/>
                <w:lang w:eastAsia="pt-BR"/>
              </w:rPr>
              <w:t>56DAP</w:t>
            </w:r>
            <w:r w:rsidRPr="00875F62">
              <w:rPr>
                <w:rFonts w:eastAsia="Times New Roman"/>
                <w:b/>
                <w:color w:val="000000" w:themeColor="text1"/>
                <w:kern w:val="24"/>
                <w:position w:val="-7"/>
                <w:vertAlign w:val="subscript"/>
                <w:lang w:eastAsia="pt-BR"/>
              </w:rPr>
              <w:t>0</w:t>
            </w:r>
          </w:p>
        </w:tc>
        <w:tc>
          <w:tcPr>
            <w:tcW w:w="1462" w:type="dxa"/>
            <w:tcBorders>
              <w:top w:val="single" w:sz="4" w:space="0" w:color="auto"/>
              <w:bottom w:val="single" w:sz="4" w:space="0" w:color="auto"/>
            </w:tcBorders>
            <w:vAlign w:val="center"/>
            <w:hideMark/>
          </w:tcPr>
          <w:p w14:paraId="078D4C33" w14:textId="77777777" w:rsidR="00875F62" w:rsidRPr="00875F62" w:rsidRDefault="00875F62" w:rsidP="00875F62">
            <w:pPr>
              <w:autoSpaceDE/>
              <w:autoSpaceDN/>
              <w:adjustRightInd/>
              <w:ind w:firstLine="0"/>
              <w:jc w:val="center"/>
              <w:textAlignment w:val="bottom"/>
              <w:rPr>
                <w:rFonts w:eastAsia="Times New Roman"/>
                <w:b/>
                <w:lang w:eastAsia="pt-BR"/>
              </w:rPr>
            </w:pPr>
            <w:r w:rsidRPr="00875F62">
              <w:rPr>
                <w:rFonts w:eastAsia="Times New Roman"/>
                <w:b/>
                <w:color w:val="000000" w:themeColor="text1"/>
                <w:kern w:val="24"/>
                <w:lang w:eastAsia="pt-BR"/>
              </w:rPr>
              <w:t>Média</w:t>
            </w:r>
          </w:p>
        </w:tc>
      </w:tr>
      <w:tr w:rsidR="00875F62" w:rsidRPr="00875F62" w14:paraId="39749F55" w14:textId="77777777" w:rsidTr="002B23EA">
        <w:trPr>
          <w:trHeight w:val="298"/>
        </w:trPr>
        <w:tc>
          <w:tcPr>
            <w:tcW w:w="1380" w:type="dxa"/>
            <w:tcBorders>
              <w:top w:val="single" w:sz="4" w:space="0" w:color="auto"/>
            </w:tcBorders>
            <w:vAlign w:val="center"/>
            <w:hideMark/>
          </w:tcPr>
          <w:p w14:paraId="68DB640D"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T1</w:t>
            </w:r>
          </w:p>
        </w:tc>
        <w:tc>
          <w:tcPr>
            <w:tcW w:w="1399" w:type="dxa"/>
            <w:tcBorders>
              <w:top w:val="single" w:sz="4" w:space="0" w:color="auto"/>
            </w:tcBorders>
            <w:vAlign w:val="center"/>
            <w:hideMark/>
          </w:tcPr>
          <w:p w14:paraId="439A3970"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8,0 Da</w:t>
            </w:r>
          </w:p>
        </w:tc>
        <w:tc>
          <w:tcPr>
            <w:tcW w:w="1582" w:type="dxa"/>
            <w:tcBorders>
              <w:top w:val="single" w:sz="4" w:space="0" w:color="auto"/>
            </w:tcBorders>
            <w:vAlign w:val="center"/>
            <w:hideMark/>
          </w:tcPr>
          <w:p w14:paraId="0E9A5B0D"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8,5 Ea</w:t>
            </w:r>
          </w:p>
        </w:tc>
        <w:tc>
          <w:tcPr>
            <w:tcW w:w="1582" w:type="dxa"/>
            <w:tcBorders>
              <w:top w:val="single" w:sz="4" w:space="0" w:color="auto"/>
            </w:tcBorders>
            <w:vAlign w:val="center"/>
            <w:hideMark/>
          </w:tcPr>
          <w:p w14:paraId="52A3C1A3"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3,1 Ea</w:t>
            </w:r>
          </w:p>
        </w:tc>
        <w:tc>
          <w:tcPr>
            <w:tcW w:w="1582" w:type="dxa"/>
            <w:tcBorders>
              <w:top w:val="single" w:sz="4" w:space="0" w:color="auto"/>
            </w:tcBorders>
            <w:vAlign w:val="center"/>
            <w:hideMark/>
          </w:tcPr>
          <w:p w14:paraId="6F4861BB"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8,5 Da</w:t>
            </w:r>
          </w:p>
        </w:tc>
        <w:tc>
          <w:tcPr>
            <w:tcW w:w="1462" w:type="dxa"/>
            <w:tcBorders>
              <w:top w:val="single" w:sz="4" w:space="0" w:color="auto"/>
            </w:tcBorders>
            <w:vAlign w:val="center"/>
            <w:hideMark/>
          </w:tcPr>
          <w:p w14:paraId="46DA22C4"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7,0 E</w:t>
            </w:r>
          </w:p>
        </w:tc>
      </w:tr>
      <w:tr w:rsidR="00875F62" w:rsidRPr="00875F62" w14:paraId="686B69B2" w14:textId="77777777" w:rsidTr="002B23EA">
        <w:trPr>
          <w:trHeight w:val="298"/>
        </w:trPr>
        <w:tc>
          <w:tcPr>
            <w:tcW w:w="1380" w:type="dxa"/>
            <w:vAlign w:val="center"/>
            <w:hideMark/>
          </w:tcPr>
          <w:p w14:paraId="4A114975"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T2</w:t>
            </w:r>
          </w:p>
        </w:tc>
        <w:tc>
          <w:tcPr>
            <w:tcW w:w="1399" w:type="dxa"/>
            <w:vAlign w:val="center"/>
            <w:hideMark/>
          </w:tcPr>
          <w:p w14:paraId="143BF595"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16,9 BCb</w:t>
            </w:r>
          </w:p>
        </w:tc>
        <w:tc>
          <w:tcPr>
            <w:tcW w:w="1582" w:type="dxa"/>
            <w:vAlign w:val="center"/>
            <w:hideMark/>
          </w:tcPr>
          <w:p w14:paraId="5B491411"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31,6 BCa</w:t>
            </w:r>
          </w:p>
        </w:tc>
        <w:tc>
          <w:tcPr>
            <w:tcW w:w="1582" w:type="dxa"/>
            <w:vAlign w:val="center"/>
            <w:hideMark/>
          </w:tcPr>
          <w:p w14:paraId="1D93C032"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29,4 Ca</w:t>
            </w:r>
          </w:p>
        </w:tc>
        <w:tc>
          <w:tcPr>
            <w:tcW w:w="1582" w:type="dxa"/>
            <w:vAlign w:val="center"/>
            <w:hideMark/>
          </w:tcPr>
          <w:p w14:paraId="484106D8"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30,4 Ba</w:t>
            </w:r>
          </w:p>
        </w:tc>
        <w:tc>
          <w:tcPr>
            <w:tcW w:w="1462" w:type="dxa"/>
            <w:vAlign w:val="center"/>
            <w:hideMark/>
          </w:tcPr>
          <w:p w14:paraId="01B06DA8"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27,1 C</w:t>
            </w:r>
          </w:p>
        </w:tc>
      </w:tr>
      <w:tr w:rsidR="00875F62" w:rsidRPr="00875F62" w14:paraId="26E42025" w14:textId="77777777" w:rsidTr="002B23EA">
        <w:trPr>
          <w:trHeight w:val="298"/>
        </w:trPr>
        <w:tc>
          <w:tcPr>
            <w:tcW w:w="1380" w:type="dxa"/>
            <w:vAlign w:val="center"/>
            <w:hideMark/>
          </w:tcPr>
          <w:p w14:paraId="7BC2BD2F"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T3</w:t>
            </w:r>
          </w:p>
        </w:tc>
        <w:tc>
          <w:tcPr>
            <w:tcW w:w="1399" w:type="dxa"/>
            <w:vAlign w:val="center"/>
            <w:hideMark/>
          </w:tcPr>
          <w:p w14:paraId="78E0BE04"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26,7 ABab</w:t>
            </w:r>
          </w:p>
        </w:tc>
        <w:tc>
          <w:tcPr>
            <w:tcW w:w="1582" w:type="dxa"/>
            <w:vAlign w:val="center"/>
            <w:hideMark/>
          </w:tcPr>
          <w:p w14:paraId="60E688BA"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29,6 Ca</w:t>
            </w:r>
          </w:p>
        </w:tc>
        <w:tc>
          <w:tcPr>
            <w:tcW w:w="1582" w:type="dxa"/>
            <w:vAlign w:val="center"/>
            <w:hideMark/>
          </w:tcPr>
          <w:p w14:paraId="0718295B"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27,7 Cab</w:t>
            </w:r>
          </w:p>
        </w:tc>
        <w:tc>
          <w:tcPr>
            <w:tcW w:w="1582" w:type="dxa"/>
            <w:vAlign w:val="center"/>
            <w:hideMark/>
          </w:tcPr>
          <w:p w14:paraId="44F73D1C"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17,6 Cb</w:t>
            </w:r>
          </w:p>
        </w:tc>
        <w:tc>
          <w:tcPr>
            <w:tcW w:w="1462" w:type="dxa"/>
            <w:vAlign w:val="center"/>
            <w:hideMark/>
          </w:tcPr>
          <w:p w14:paraId="5BF025B9"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25,4 C</w:t>
            </w:r>
          </w:p>
        </w:tc>
      </w:tr>
      <w:tr w:rsidR="00875F62" w:rsidRPr="00875F62" w14:paraId="3F701E85" w14:textId="77777777" w:rsidTr="002B23EA">
        <w:trPr>
          <w:trHeight w:val="298"/>
        </w:trPr>
        <w:tc>
          <w:tcPr>
            <w:tcW w:w="1380" w:type="dxa"/>
            <w:vAlign w:val="center"/>
            <w:hideMark/>
          </w:tcPr>
          <w:p w14:paraId="18B20189"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T4</w:t>
            </w:r>
          </w:p>
        </w:tc>
        <w:tc>
          <w:tcPr>
            <w:tcW w:w="1399" w:type="dxa"/>
            <w:vAlign w:val="center"/>
            <w:hideMark/>
          </w:tcPr>
          <w:p w14:paraId="7FF1B34A"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20,1 ABCb</w:t>
            </w:r>
          </w:p>
        </w:tc>
        <w:tc>
          <w:tcPr>
            <w:tcW w:w="1582" w:type="dxa"/>
            <w:vAlign w:val="center"/>
            <w:hideMark/>
          </w:tcPr>
          <w:p w14:paraId="76782BDE"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34,2 BCa</w:t>
            </w:r>
          </w:p>
        </w:tc>
        <w:tc>
          <w:tcPr>
            <w:tcW w:w="1582" w:type="dxa"/>
            <w:vAlign w:val="center"/>
            <w:hideMark/>
          </w:tcPr>
          <w:p w14:paraId="7B37EBF1"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36,9 BCa</w:t>
            </w:r>
          </w:p>
        </w:tc>
        <w:tc>
          <w:tcPr>
            <w:tcW w:w="1582" w:type="dxa"/>
            <w:vAlign w:val="center"/>
            <w:hideMark/>
          </w:tcPr>
          <w:p w14:paraId="2B6365FA"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43,5 Aa</w:t>
            </w:r>
          </w:p>
        </w:tc>
        <w:tc>
          <w:tcPr>
            <w:tcW w:w="1462" w:type="dxa"/>
            <w:vAlign w:val="center"/>
            <w:hideMark/>
          </w:tcPr>
          <w:p w14:paraId="1F4BF12D"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33,7 B</w:t>
            </w:r>
          </w:p>
        </w:tc>
      </w:tr>
      <w:tr w:rsidR="00875F62" w:rsidRPr="00875F62" w14:paraId="35B99FD7" w14:textId="77777777" w:rsidTr="002B23EA">
        <w:trPr>
          <w:trHeight w:val="298"/>
        </w:trPr>
        <w:tc>
          <w:tcPr>
            <w:tcW w:w="1380" w:type="dxa"/>
            <w:vAlign w:val="center"/>
            <w:hideMark/>
          </w:tcPr>
          <w:p w14:paraId="4B4F9F9E"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T5</w:t>
            </w:r>
          </w:p>
        </w:tc>
        <w:tc>
          <w:tcPr>
            <w:tcW w:w="1399" w:type="dxa"/>
            <w:vAlign w:val="center"/>
            <w:hideMark/>
          </w:tcPr>
          <w:p w14:paraId="48AB5F4B"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23,2 ABCb</w:t>
            </w:r>
          </w:p>
        </w:tc>
        <w:tc>
          <w:tcPr>
            <w:tcW w:w="1582" w:type="dxa"/>
            <w:vAlign w:val="center"/>
            <w:hideMark/>
          </w:tcPr>
          <w:p w14:paraId="7173937D"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44,0 Aba</w:t>
            </w:r>
          </w:p>
        </w:tc>
        <w:tc>
          <w:tcPr>
            <w:tcW w:w="1582" w:type="dxa"/>
            <w:vAlign w:val="center"/>
            <w:hideMark/>
          </w:tcPr>
          <w:p w14:paraId="79EE1B0B"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47,6 Aba</w:t>
            </w:r>
          </w:p>
        </w:tc>
        <w:tc>
          <w:tcPr>
            <w:tcW w:w="1582" w:type="dxa"/>
            <w:vAlign w:val="center"/>
            <w:hideMark/>
          </w:tcPr>
          <w:p w14:paraId="3E905FEB"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20,4 BCb</w:t>
            </w:r>
          </w:p>
        </w:tc>
        <w:tc>
          <w:tcPr>
            <w:tcW w:w="1462" w:type="dxa"/>
            <w:vAlign w:val="center"/>
            <w:hideMark/>
          </w:tcPr>
          <w:p w14:paraId="43BC9C01"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33,8 B</w:t>
            </w:r>
          </w:p>
        </w:tc>
      </w:tr>
      <w:tr w:rsidR="00875F62" w:rsidRPr="00875F62" w14:paraId="1B37C53C" w14:textId="77777777" w:rsidTr="002B23EA">
        <w:trPr>
          <w:trHeight w:val="298"/>
        </w:trPr>
        <w:tc>
          <w:tcPr>
            <w:tcW w:w="1380" w:type="dxa"/>
            <w:vAlign w:val="center"/>
            <w:hideMark/>
          </w:tcPr>
          <w:p w14:paraId="2D35CDE7"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T6</w:t>
            </w:r>
          </w:p>
        </w:tc>
        <w:tc>
          <w:tcPr>
            <w:tcW w:w="1399" w:type="dxa"/>
            <w:vAlign w:val="center"/>
            <w:hideMark/>
          </w:tcPr>
          <w:p w14:paraId="0428E5BF"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29,8 Ab</w:t>
            </w:r>
          </w:p>
        </w:tc>
        <w:tc>
          <w:tcPr>
            <w:tcW w:w="1582" w:type="dxa"/>
            <w:vAlign w:val="center"/>
            <w:hideMark/>
          </w:tcPr>
          <w:p w14:paraId="30028729"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37,0 ABCab</w:t>
            </w:r>
          </w:p>
        </w:tc>
        <w:tc>
          <w:tcPr>
            <w:tcW w:w="1582" w:type="dxa"/>
            <w:vAlign w:val="center"/>
            <w:hideMark/>
          </w:tcPr>
          <w:p w14:paraId="6C080144"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49,0 Aba</w:t>
            </w:r>
          </w:p>
        </w:tc>
        <w:tc>
          <w:tcPr>
            <w:tcW w:w="1582" w:type="dxa"/>
            <w:vAlign w:val="center"/>
            <w:hideMark/>
          </w:tcPr>
          <w:p w14:paraId="0A257196"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43,5 Aa</w:t>
            </w:r>
          </w:p>
        </w:tc>
        <w:tc>
          <w:tcPr>
            <w:tcW w:w="1462" w:type="dxa"/>
            <w:vAlign w:val="center"/>
            <w:hideMark/>
          </w:tcPr>
          <w:p w14:paraId="59833FE9"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39,8 A</w:t>
            </w:r>
          </w:p>
        </w:tc>
      </w:tr>
      <w:tr w:rsidR="00875F62" w:rsidRPr="00875F62" w14:paraId="437F590D" w14:textId="77777777" w:rsidTr="002B23EA">
        <w:trPr>
          <w:trHeight w:val="298"/>
        </w:trPr>
        <w:tc>
          <w:tcPr>
            <w:tcW w:w="1380" w:type="dxa"/>
            <w:vAlign w:val="center"/>
            <w:hideMark/>
          </w:tcPr>
          <w:p w14:paraId="45963E60"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T7</w:t>
            </w:r>
          </w:p>
        </w:tc>
        <w:tc>
          <w:tcPr>
            <w:tcW w:w="1399" w:type="dxa"/>
            <w:vAlign w:val="center"/>
            <w:hideMark/>
          </w:tcPr>
          <w:p w14:paraId="2FE3CFD4"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23,9 ABb</w:t>
            </w:r>
          </w:p>
        </w:tc>
        <w:tc>
          <w:tcPr>
            <w:tcW w:w="1582" w:type="dxa"/>
            <w:vAlign w:val="center"/>
            <w:hideMark/>
          </w:tcPr>
          <w:p w14:paraId="51A8C185"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48,1 Aa</w:t>
            </w:r>
          </w:p>
        </w:tc>
        <w:tc>
          <w:tcPr>
            <w:tcW w:w="1582" w:type="dxa"/>
            <w:vAlign w:val="center"/>
            <w:hideMark/>
          </w:tcPr>
          <w:p w14:paraId="5214EC6C"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51,3 Aa</w:t>
            </w:r>
          </w:p>
        </w:tc>
        <w:tc>
          <w:tcPr>
            <w:tcW w:w="1582" w:type="dxa"/>
            <w:vAlign w:val="center"/>
            <w:hideMark/>
          </w:tcPr>
          <w:p w14:paraId="07BED4AA"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46,7 Aa</w:t>
            </w:r>
          </w:p>
        </w:tc>
        <w:tc>
          <w:tcPr>
            <w:tcW w:w="1462" w:type="dxa"/>
            <w:vAlign w:val="center"/>
            <w:hideMark/>
          </w:tcPr>
          <w:p w14:paraId="3EF120AD"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42,5 A</w:t>
            </w:r>
          </w:p>
        </w:tc>
      </w:tr>
      <w:tr w:rsidR="00875F62" w:rsidRPr="00875F62" w14:paraId="5EEEF9E9" w14:textId="77777777" w:rsidTr="002B23EA">
        <w:trPr>
          <w:trHeight w:val="298"/>
        </w:trPr>
        <w:tc>
          <w:tcPr>
            <w:tcW w:w="1380" w:type="dxa"/>
            <w:vAlign w:val="center"/>
            <w:hideMark/>
          </w:tcPr>
          <w:p w14:paraId="07881727"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T8</w:t>
            </w:r>
          </w:p>
        </w:tc>
        <w:tc>
          <w:tcPr>
            <w:tcW w:w="1399" w:type="dxa"/>
            <w:vAlign w:val="center"/>
            <w:hideMark/>
          </w:tcPr>
          <w:p w14:paraId="0AECD4F7"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12,9 CDa</w:t>
            </w:r>
          </w:p>
        </w:tc>
        <w:tc>
          <w:tcPr>
            <w:tcW w:w="1582" w:type="dxa"/>
            <w:vAlign w:val="center"/>
            <w:hideMark/>
          </w:tcPr>
          <w:p w14:paraId="3AB2B823"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17,4 Da</w:t>
            </w:r>
          </w:p>
        </w:tc>
        <w:tc>
          <w:tcPr>
            <w:tcW w:w="1582" w:type="dxa"/>
            <w:vAlign w:val="center"/>
            <w:hideMark/>
          </w:tcPr>
          <w:p w14:paraId="754ED73A"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13,8 Da</w:t>
            </w:r>
          </w:p>
        </w:tc>
        <w:tc>
          <w:tcPr>
            <w:tcW w:w="1582" w:type="dxa"/>
            <w:vAlign w:val="center"/>
            <w:hideMark/>
          </w:tcPr>
          <w:p w14:paraId="6CA3B4F8"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11,0 CDa</w:t>
            </w:r>
          </w:p>
        </w:tc>
        <w:tc>
          <w:tcPr>
            <w:tcW w:w="1462" w:type="dxa"/>
            <w:vAlign w:val="center"/>
            <w:hideMark/>
          </w:tcPr>
          <w:p w14:paraId="5F627352" w14:textId="77777777" w:rsidR="00875F62" w:rsidRPr="00875F62" w:rsidRDefault="00875F62" w:rsidP="00875F62">
            <w:pPr>
              <w:autoSpaceDE/>
              <w:autoSpaceDN/>
              <w:adjustRightInd/>
              <w:ind w:firstLine="0"/>
              <w:jc w:val="center"/>
              <w:textAlignment w:val="bottom"/>
              <w:rPr>
                <w:rFonts w:eastAsia="Times New Roman"/>
                <w:sz w:val="20"/>
                <w:szCs w:val="20"/>
                <w:lang w:eastAsia="pt-BR"/>
              </w:rPr>
            </w:pPr>
            <w:r w:rsidRPr="00875F62">
              <w:rPr>
                <w:rFonts w:eastAsia="Times New Roman"/>
                <w:color w:val="000000" w:themeColor="text1"/>
                <w:kern w:val="24"/>
                <w:sz w:val="20"/>
                <w:szCs w:val="20"/>
                <w:lang w:eastAsia="pt-BR"/>
              </w:rPr>
              <w:t>13,8 D</w:t>
            </w:r>
          </w:p>
        </w:tc>
      </w:tr>
      <w:tr w:rsidR="00875F62" w:rsidRPr="00875F62" w14:paraId="47EEE7ED" w14:textId="77777777" w:rsidTr="002B23EA">
        <w:trPr>
          <w:trHeight w:val="298"/>
        </w:trPr>
        <w:tc>
          <w:tcPr>
            <w:tcW w:w="1380" w:type="dxa"/>
            <w:tcBorders>
              <w:bottom w:val="single" w:sz="4" w:space="0" w:color="auto"/>
            </w:tcBorders>
            <w:vAlign w:val="center"/>
            <w:hideMark/>
          </w:tcPr>
          <w:p w14:paraId="10F659C8" w14:textId="77777777" w:rsidR="00875F62" w:rsidRPr="00875F62" w:rsidRDefault="00875F62" w:rsidP="00875F62">
            <w:pPr>
              <w:autoSpaceDE/>
              <w:autoSpaceDN/>
              <w:adjustRightInd/>
              <w:ind w:firstLine="0"/>
              <w:jc w:val="center"/>
              <w:textAlignment w:val="bottom"/>
              <w:rPr>
                <w:rFonts w:eastAsia="Times New Roman"/>
                <w:b/>
                <w:sz w:val="20"/>
                <w:szCs w:val="20"/>
                <w:lang w:eastAsia="pt-BR"/>
              </w:rPr>
            </w:pPr>
            <w:r w:rsidRPr="00875F62">
              <w:rPr>
                <w:rFonts w:eastAsia="Times New Roman"/>
                <w:b/>
                <w:color w:val="000000" w:themeColor="text1"/>
                <w:kern w:val="24"/>
                <w:sz w:val="20"/>
                <w:szCs w:val="20"/>
                <w:lang w:eastAsia="pt-BR"/>
              </w:rPr>
              <w:t>Média</w:t>
            </w:r>
          </w:p>
        </w:tc>
        <w:tc>
          <w:tcPr>
            <w:tcW w:w="1399" w:type="dxa"/>
            <w:tcBorders>
              <w:bottom w:val="single" w:sz="4" w:space="0" w:color="auto"/>
            </w:tcBorders>
            <w:vAlign w:val="center"/>
            <w:hideMark/>
          </w:tcPr>
          <w:p w14:paraId="55DF03FA"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20,2 c</w:t>
            </w:r>
          </w:p>
        </w:tc>
        <w:tc>
          <w:tcPr>
            <w:tcW w:w="1582" w:type="dxa"/>
            <w:tcBorders>
              <w:bottom w:val="single" w:sz="4" w:space="0" w:color="auto"/>
            </w:tcBorders>
            <w:vAlign w:val="center"/>
            <w:hideMark/>
          </w:tcPr>
          <w:p w14:paraId="67A8821B"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31,3 a</w:t>
            </w:r>
          </w:p>
        </w:tc>
        <w:tc>
          <w:tcPr>
            <w:tcW w:w="1582" w:type="dxa"/>
            <w:tcBorders>
              <w:bottom w:val="single" w:sz="4" w:space="0" w:color="auto"/>
            </w:tcBorders>
            <w:vAlign w:val="center"/>
            <w:hideMark/>
          </w:tcPr>
          <w:p w14:paraId="4694426A"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32,3 a</w:t>
            </w:r>
          </w:p>
        </w:tc>
        <w:tc>
          <w:tcPr>
            <w:tcW w:w="1582" w:type="dxa"/>
            <w:tcBorders>
              <w:bottom w:val="single" w:sz="4" w:space="0" w:color="auto"/>
            </w:tcBorders>
            <w:vAlign w:val="center"/>
            <w:hideMark/>
          </w:tcPr>
          <w:p w14:paraId="40C4B8F8"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27,7 b</w:t>
            </w:r>
          </w:p>
        </w:tc>
        <w:tc>
          <w:tcPr>
            <w:tcW w:w="1462" w:type="dxa"/>
            <w:tcBorders>
              <w:bottom w:val="single" w:sz="4" w:space="0" w:color="auto"/>
            </w:tcBorders>
            <w:vAlign w:val="center"/>
            <w:hideMark/>
          </w:tcPr>
          <w:p w14:paraId="55F8E17A"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27,9</w:t>
            </w:r>
          </w:p>
        </w:tc>
      </w:tr>
      <w:tr w:rsidR="00875F62" w:rsidRPr="00875F62" w14:paraId="6B102AC5" w14:textId="77777777" w:rsidTr="002B23EA">
        <w:trPr>
          <w:trHeight w:val="298"/>
        </w:trPr>
        <w:tc>
          <w:tcPr>
            <w:tcW w:w="1380" w:type="dxa"/>
            <w:tcBorders>
              <w:top w:val="single" w:sz="4" w:space="0" w:color="auto"/>
              <w:bottom w:val="single" w:sz="4" w:space="0" w:color="auto"/>
            </w:tcBorders>
            <w:vAlign w:val="center"/>
            <w:hideMark/>
          </w:tcPr>
          <w:p w14:paraId="33444A70" w14:textId="77777777" w:rsidR="00875F62" w:rsidRPr="00875F62" w:rsidRDefault="00875F62" w:rsidP="00875F62">
            <w:pPr>
              <w:autoSpaceDE/>
              <w:autoSpaceDN/>
              <w:adjustRightInd/>
              <w:ind w:firstLine="0"/>
              <w:jc w:val="center"/>
              <w:textAlignment w:val="bottom"/>
              <w:rPr>
                <w:rFonts w:eastAsia="Times New Roman"/>
                <w:b/>
                <w:sz w:val="20"/>
                <w:szCs w:val="20"/>
                <w:lang w:eastAsia="pt-BR"/>
              </w:rPr>
            </w:pPr>
            <w:r w:rsidRPr="00875F62">
              <w:rPr>
                <w:rFonts w:eastAsia="Times New Roman"/>
                <w:b/>
                <w:color w:val="000000" w:themeColor="text1"/>
                <w:kern w:val="24"/>
                <w:sz w:val="20"/>
                <w:szCs w:val="20"/>
                <w:lang w:eastAsia="pt-BR"/>
              </w:rPr>
              <w:t>CV (%)</w:t>
            </w:r>
          </w:p>
        </w:tc>
        <w:tc>
          <w:tcPr>
            <w:tcW w:w="1399" w:type="dxa"/>
            <w:tcBorders>
              <w:top w:val="single" w:sz="4" w:space="0" w:color="auto"/>
              <w:bottom w:val="single" w:sz="4" w:space="0" w:color="auto"/>
            </w:tcBorders>
            <w:vAlign w:val="center"/>
            <w:hideMark/>
          </w:tcPr>
          <w:p w14:paraId="5DE86E45" w14:textId="77777777" w:rsidR="00875F62" w:rsidRPr="00875F62" w:rsidRDefault="00875F62" w:rsidP="00875F62">
            <w:pPr>
              <w:autoSpaceDE/>
              <w:autoSpaceDN/>
              <w:adjustRightInd/>
              <w:ind w:firstLine="0"/>
              <w:jc w:val="left"/>
              <w:textAlignment w:val="bottom"/>
              <w:rPr>
                <w:rFonts w:eastAsia="Times New Roman"/>
                <w:sz w:val="20"/>
                <w:szCs w:val="20"/>
                <w:lang w:eastAsia="pt-BR"/>
              </w:rPr>
            </w:pPr>
            <w:r w:rsidRPr="00875F62">
              <w:rPr>
                <w:rFonts w:eastAsia="Times New Roman"/>
                <w:color w:val="000000" w:themeColor="text1"/>
                <w:kern w:val="24"/>
                <w:sz w:val="20"/>
                <w:szCs w:val="20"/>
                <w:lang w:eastAsia="pt-BR"/>
              </w:rPr>
              <w:t xml:space="preserve">   28,6</w:t>
            </w:r>
          </w:p>
        </w:tc>
        <w:tc>
          <w:tcPr>
            <w:tcW w:w="1582" w:type="dxa"/>
            <w:tcBorders>
              <w:top w:val="single" w:sz="4" w:space="0" w:color="auto"/>
              <w:bottom w:val="single" w:sz="4" w:space="0" w:color="auto"/>
            </w:tcBorders>
            <w:vAlign w:val="center"/>
            <w:hideMark/>
          </w:tcPr>
          <w:p w14:paraId="38DB4720" w14:textId="77777777" w:rsidR="00875F62" w:rsidRPr="00875F62" w:rsidRDefault="00875F62" w:rsidP="00875F62">
            <w:pPr>
              <w:autoSpaceDE/>
              <w:autoSpaceDN/>
              <w:adjustRightInd/>
              <w:ind w:firstLine="0"/>
              <w:jc w:val="center"/>
              <w:rPr>
                <w:rFonts w:eastAsia="Times New Roman"/>
                <w:sz w:val="20"/>
                <w:szCs w:val="20"/>
                <w:lang w:eastAsia="pt-BR"/>
              </w:rPr>
            </w:pPr>
          </w:p>
        </w:tc>
        <w:tc>
          <w:tcPr>
            <w:tcW w:w="1582" w:type="dxa"/>
            <w:tcBorders>
              <w:top w:val="single" w:sz="4" w:space="0" w:color="auto"/>
              <w:bottom w:val="single" w:sz="4" w:space="0" w:color="auto"/>
            </w:tcBorders>
            <w:vAlign w:val="center"/>
            <w:hideMark/>
          </w:tcPr>
          <w:p w14:paraId="4F446C58" w14:textId="77777777" w:rsidR="00875F62" w:rsidRPr="00875F62" w:rsidRDefault="00875F62" w:rsidP="00875F62">
            <w:pPr>
              <w:autoSpaceDE/>
              <w:autoSpaceDN/>
              <w:adjustRightInd/>
              <w:ind w:firstLine="0"/>
              <w:jc w:val="center"/>
              <w:rPr>
                <w:rFonts w:eastAsia="Times New Roman"/>
                <w:sz w:val="20"/>
                <w:szCs w:val="20"/>
                <w:lang w:eastAsia="pt-BR"/>
              </w:rPr>
            </w:pPr>
          </w:p>
        </w:tc>
        <w:tc>
          <w:tcPr>
            <w:tcW w:w="1582" w:type="dxa"/>
            <w:tcBorders>
              <w:top w:val="single" w:sz="4" w:space="0" w:color="auto"/>
              <w:bottom w:val="single" w:sz="4" w:space="0" w:color="auto"/>
            </w:tcBorders>
            <w:vAlign w:val="center"/>
            <w:hideMark/>
          </w:tcPr>
          <w:p w14:paraId="0EFD3E05" w14:textId="77777777" w:rsidR="00875F62" w:rsidRPr="00875F62" w:rsidRDefault="00875F62" w:rsidP="00875F62">
            <w:pPr>
              <w:autoSpaceDE/>
              <w:autoSpaceDN/>
              <w:adjustRightInd/>
              <w:ind w:firstLine="0"/>
              <w:jc w:val="center"/>
              <w:rPr>
                <w:rFonts w:eastAsia="Times New Roman"/>
                <w:sz w:val="20"/>
                <w:szCs w:val="20"/>
                <w:lang w:eastAsia="pt-BR"/>
              </w:rPr>
            </w:pPr>
          </w:p>
        </w:tc>
        <w:tc>
          <w:tcPr>
            <w:tcW w:w="1462" w:type="dxa"/>
            <w:tcBorders>
              <w:top w:val="single" w:sz="4" w:space="0" w:color="auto"/>
              <w:bottom w:val="single" w:sz="4" w:space="0" w:color="auto"/>
            </w:tcBorders>
            <w:vAlign w:val="center"/>
            <w:hideMark/>
          </w:tcPr>
          <w:p w14:paraId="2440F553" w14:textId="77777777" w:rsidR="00875F62" w:rsidRPr="00875F62" w:rsidRDefault="00875F62" w:rsidP="00875F62">
            <w:pPr>
              <w:autoSpaceDE/>
              <w:autoSpaceDN/>
              <w:adjustRightInd/>
              <w:ind w:firstLine="0"/>
              <w:jc w:val="center"/>
              <w:rPr>
                <w:rFonts w:eastAsia="Times New Roman"/>
                <w:sz w:val="20"/>
                <w:szCs w:val="20"/>
                <w:lang w:eastAsia="pt-BR"/>
              </w:rPr>
            </w:pPr>
          </w:p>
        </w:tc>
      </w:tr>
    </w:tbl>
    <w:p w14:paraId="6645BB8E" w14:textId="77777777" w:rsidR="00875F62" w:rsidRPr="00875F62" w:rsidRDefault="00875F62" w:rsidP="002B23EA">
      <w:pPr>
        <w:autoSpaceDE/>
        <w:autoSpaceDN/>
        <w:adjustRightInd/>
        <w:spacing w:after="0" w:line="240" w:lineRule="auto"/>
        <w:ind w:right="566" w:firstLine="0"/>
        <w:rPr>
          <w:color w:val="000000" w:themeColor="text1"/>
          <w:sz w:val="16"/>
          <w:szCs w:val="16"/>
        </w:rPr>
      </w:pPr>
      <w:r w:rsidRPr="00875F62">
        <w:rPr>
          <w:color w:val="000000" w:themeColor="text1"/>
          <w:sz w:val="16"/>
          <w:szCs w:val="16"/>
        </w:rPr>
        <w:t>*Médias seguidas de letras minúsculas igual na linha não diferem estatisticamente entre si, e média seguidas de letras e maiúsculas diferentes na coluna diferem estatisticamente entre si.</w:t>
      </w:r>
    </w:p>
    <w:p w14:paraId="1C391752" w14:textId="77777777" w:rsidR="00875F62" w:rsidRPr="00875F62" w:rsidRDefault="00875F62" w:rsidP="002B23EA">
      <w:pPr>
        <w:autoSpaceDE/>
        <w:autoSpaceDN/>
        <w:adjustRightInd/>
        <w:spacing w:after="0" w:line="240" w:lineRule="auto"/>
        <w:ind w:right="140" w:firstLine="0"/>
        <w:rPr>
          <w:color w:val="000000" w:themeColor="text1"/>
          <w:sz w:val="16"/>
          <w:szCs w:val="16"/>
        </w:rPr>
      </w:pPr>
      <w:r w:rsidRPr="00875F62">
        <w:rPr>
          <w:color w:val="000000" w:themeColor="text1"/>
          <w:sz w:val="16"/>
          <w:szCs w:val="16"/>
        </w:rPr>
        <w:t xml:space="preserve">Momentos de coleta: </w:t>
      </w:r>
      <w:r w:rsidRPr="00875F62">
        <w:rPr>
          <w:rFonts w:eastAsia="Times New Roman"/>
          <w:color w:val="000000" w:themeColor="text1"/>
          <w:kern w:val="24"/>
          <w:sz w:val="16"/>
          <w:szCs w:val="16"/>
          <w:lang w:eastAsia="pt-BR"/>
        </w:rPr>
        <w:t>14 DAP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- 14 dias após a detecção do fungo (</w:t>
      </w:r>
      <w:r w:rsidRPr="00875F62">
        <w:rPr>
          <w:rFonts w:eastAsia="Times New Roman"/>
          <w:color w:val="000000" w:themeColor="text1"/>
          <w:kern w:val="24"/>
          <w:sz w:val="16"/>
          <w:szCs w:val="16"/>
          <w:lang w:eastAsia="pt-BR"/>
        </w:rPr>
        <w:t>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xml:space="preserve">); </w:t>
      </w:r>
      <w:r w:rsidRPr="00875F62">
        <w:rPr>
          <w:rFonts w:eastAsia="Times New Roman"/>
          <w:color w:val="000000" w:themeColor="text1"/>
          <w:kern w:val="24"/>
          <w:sz w:val="16"/>
          <w:szCs w:val="16"/>
          <w:lang w:eastAsia="pt-BR"/>
        </w:rPr>
        <w:t>28 DAP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- 28 dias após a detecção do fungo (</w:t>
      </w:r>
      <w:r w:rsidRPr="00875F62">
        <w:rPr>
          <w:rFonts w:eastAsia="Times New Roman"/>
          <w:color w:val="000000" w:themeColor="text1"/>
          <w:kern w:val="24"/>
          <w:sz w:val="16"/>
          <w:szCs w:val="16"/>
          <w:lang w:eastAsia="pt-BR"/>
        </w:rPr>
        <w:t>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xml:space="preserve">); </w:t>
      </w:r>
      <w:r w:rsidRPr="00875F62">
        <w:rPr>
          <w:rFonts w:eastAsia="Times New Roman"/>
          <w:color w:val="000000" w:themeColor="text1"/>
          <w:kern w:val="24"/>
          <w:sz w:val="16"/>
          <w:szCs w:val="16"/>
          <w:lang w:eastAsia="pt-BR"/>
        </w:rPr>
        <w:t>42 DAP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- 42 dias após a detecção do fungo (</w:t>
      </w:r>
      <w:r w:rsidRPr="00875F62">
        <w:rPr>
          <w:rFonts w:eastAsia="Times New Roman"/>
          <w:color w:val="000000" w:themeColor="text1"/>
          <w:kern w:val="24"/>
          <w:sz w:val="16"/>
          <w:szCs w:val="16"/>
          <w:lang w:eastAsia="pt-BR"/>
        </w:rPr>
        <w:t>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xml:space="preserve">); </w:t>
      </w:r>
      <w:r w:rsidRPr="00875F62">
        <w:rPr>
          <w:rFonts w:eastAsia="Times New Roman"/>
          <w:color w:val="000000" w:themeColor="text1"/>
          <w:kern w:val="24"/>
          <w:sz w:val="16"/>
          <w:szCs w:val="16"/>
          <w:lang w:eastAsia="pt-BR"/>
        </w:rPr>
        <w:t>56 DAP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- 56 dias após a detecção do fungo (</w:t>
      </w:r>
      <w:r w:rsidRPr="00875F62">
        <w:rPr>
          <w:rFonts w:eastAsia="Times New Roman"/>
          <w:color w:val="000000" w:themeColor="text1"/>
          <w:kern w:val="24"/>
          <w:sz w:val="16"/>
          <w:szCs w:val="16"/>
          <w:lang w:eastAsia="pt-BR"/>
        </w:rPr>
        <w:t>P</w:t>
      </w:r>
      <w:r w:rsidRPr="00875F62">
        <w:rPr>
          <w:rFonts w:eastAsia="Times New Roman"/>
          <w:color w:val="000000" w:themeColor="text1"/>
          <w:kern w:val="24"/>
          <w:position w:val="-7"/>
          <w:sz w:val="16"/>
          <w:szCs w:val="16"/>
          <w:vertAlign w:val="subscript"/>
          <w:lang w:eastAsia="pt-BR"/>
        </w:rPr>
        <w:t>0</w:t>
      </w:r>
      <w:r w:rsidRPr="00875F62">
        <w:rPr>
          <w:color w:val="000000" w:themeColor="text1"/>
          <w:sz w:val="16"/>
          <w:szCs w:val="16"/>
        </w:rPr>
        <w:t>). Tratamentos:</w:t>
      </w:r>
      <w:r w:rsidRPr="00875F62">
        <w:rPr>
          <w:color w:val="000000" w:themeColor="text1"/>
          <w:kern w:val="24"/>
        </w:rPr>
        <w:t xml:space="preserve"> </w:t>
      </w:r>
      <w:r w:rsidRPr="00875F62">
        <w:rPr>
          <w:color w:val="000000" w:themeColor="text1"/>
          <w:kern w:val="24"/>
          <w:sz w:val="16"/>
          <w:szCs w:val="16"/>
        </w:rPr>
        <w:t xml:space="preserve">T1) sem aplicação de fungicidas do grupos das carboxamidas (primeira e terceira aplicação de trifloxistrobina + protioconazole, segunda e quarta aplicação picoxistrobina + tebuconazole); T2) uma aplicação de fluxapyroxada + piraclostrobina (primeira aplicação); T3) duas aplicações de fluxapyroxada + piraclostrobina (primeira e segunda aplicação); T4) três aplicações de fluxapyroxada + piraclostrobina (primeira, segunda e terceira aplicação); T5) uma aplicação de </w:t>
      </w:r>
      <w:r w:rsidRPr="00875F62">
        <w:rPr>
          <w:color w:val="231F20"/>
          <w:sz w:val="16"/>
          <w:szCs w:val="16"/>
        </w:rPr>
        <w:t>benzovindiflupyr + azoxistrobina (primeira ap</w:t>
      </w:r>
      <w:r w:rsidRPr="00875F62">
        <w:rPr>
          <w:sz w:val="16"/>
          <w:szCs w:val="16"/>
        </w:rPr>
        <w:t xml:space="preserve">licação); </w:t>
      </w:r>
      <w:r w:rsidRPr="00875F62">
        <w:rPr>
          <w:kern w:val="24"/>
          <w:sz w:val="16"/>
          <w:szCs w:val="16"/>
        </w:rPr>
        <w:t xml:space="preserve">T6) duas aplicações de </w:t>
      </w:r>
      <w:r w:rsidRPr="00875F62">
        <w:rPr>
          <w:sz w:val="16"/>
          <w:szCs w:val="16"/>
        </w:rPr>
        <w:t xml:space="preserve">benzovindiflupyr + azoxistrobina (primeira e segunda aplicação); </w:t>
      </w:r>
      <w:r w:rsidRPr="00875F62">
        <w:rPr>
          <w:kern w:val="24"/>
          <w:sz w:val="16"/>
          <w:szCs w:val="16"/>
        </w:rPr>
        <w:t xml:space="preserve">T7) três aplicações de </w:t>
      </w:r>
      <w:r w:rsidRPr="00875F62">
        <w:rPr>
          <w:sz w:val="16"/>
          <w:szCs w:val="16"/>
        </w:rPr>
        <w:t>benzovindiflupyr + azoxistrobina (primeira, segunda e terceira aplicação);</w:t>
      </w:r>
      <w:r w:rsidRPr="00875F62">
        <w:rPr>
          <w:kern w:val="24"/>
          <w:sz w:val="16"/>
          <w:szCs w:val="16"/>
        </w:rPr>
        <w:t xml:space="preserve"> T8) sem aplicação de fungicidas.</w:t>
      </w:r>
    </w:p>
    <w:p w14:paraId="7D556760" w14:textId="77777777" w:rsidR="002567F3" w:rsidRDefault="002567F3" w:rsidP="00B0538B">
      <w:pPr>
        <w:pStyle w:val="Default"/>
        <w:spacing w:line="360" w:lineRule="auto"/>
        <w:jc w:val="both"/>
        <w:rPr>
          <w:color w:val="000000" w:themeColor="text1"/>
          <w:lang w:val="pt-BR"/>
        </w:rPr>
      </w:pPr>
    </w:p>
    <w:p w14:paraId="12FE3E58" w14:textId="00D39C78" w:rsidR="003221EB" w:rsidRPr="00B7238F" w:rsidRDefault="003221EB" w:rsidP="00B0538B">
      <w:pPr>
        <w:pStyle w:val="Default"/>
        <w:spacing w:line="360" w:lineRule="auto"/>
        <w:ind w:firstLine="708"/>
        <w:jc w:val="both"/>
        <w:rPr>
          <w:color w:val="000000" w:themeColor="text1"/>
          <w:lang w:val="pt-BR"/>
        </w:rPr>
      </w:pPr>
      <w:r w:rsidRPr="00B7238F">
        <w:rPr>
          <w:color w:val="000000" w:themeColor="text1"/>
          <w:lang w:val="pt-BR"/>
        </w:rPr>
        <w:t>O fungicida piraclostrobina + fluxapyroxada na média de uma, duas e três aplicações apresesent</w:t>
      </w:r>
      <w:r w:rsidR="00776F97" w:rsidRPr="00B7238F">
        <w:rPr>
          <w:color w:val="000000" w:themeColor="text1"/>
          <w:lang w:val="pt-BR"/>
        </w:rPr>
        <w:t>aram</w:t>
      </w:r>
      <w:r w:rsidRPr="00B7238F">
        <w:rPr>
          <w:color w:val="000000" w:themeColor="text1"/>
          <w:lang w:val="pt-BR"/>
        </w:rPr>
        <w:t xml:space="preserve"> menor</w:t>
      </w:r>
      <w:r w:rsidR="00776F97" w:rsidRPr="00B7238F">
        <w:rPr>
          <w:color w:val="000000" w:themeColor="text1"/>
          <w:lang w:val="pt-BR"/>
        </w:rPr>
        <w:t>es</w:t>
      </w:r>
      <w:r w:rsidRPr="00B7238F">
        <w:rPr>
          <w:color w:val="000000" w:themeColor="text1"/>
          <w:lang w:val="pt-BR"/>
        </w:rPr>
        <w:t xml:space="preserve"> valor</w:t>
      </w:r>
      <w:r w:rsidR="00776F97" w:rsidRPr="00B7238F">
        <w:rPr>
          <w:color w:val="000000" w:themeColor="text1"/>
          <w:lang w:val="pt-BR"/>
        </w:rPr>
        <w:t>es</w:t>
      </w:r>
      <w:r w:rsidRPr="00B7238F">
        <w:rPr>
          <w:color w:val="000000" w:themeColor="text1"/>
          <w:lang w:val="pt-BR"/>
        </w:rPr>
        <w:t xml:space="preserve"> de frequência da mutação I86F em relação a uma, duas e três pulverizações de azoxistrobina + benzovindiflupyr em avaliações realizadas aos 28, 42 DAP</w:t>
      </w:r>
      <w:r w:rsidRPr="00B7238F">
        <w:rPr>
          <w:color w:val="000000" w:themeColor="text1"/>
          <w:vertAlign w:val="subscript"/>
          <w:lang w:val="pt-BR"/>
        </w:rPr>
        <w:t>0</w:t>
      </w:r>
      <w:r w:rsidRPr="00B7238F">
        <w:rPr>
          <w:color w:val="000000" w:themeColor="text1"/>
          <w:lang w:val="pt-BR"/>
        </w:rPr>
        <w:t xml:space="preserve"> e média de todos os momentos de coleta </w:t>
      </w:r>
      <w:r w:rsidR="000040AD" w:rsidRPr="00B7238F">
        <w:rPr>
          <w:color w:val="000000" w:themeColor="text1"/>
          <w:lang w:val="pt-BR"/>
        </w:rPr>
        <w:t>(Anexo 1).</w:t>
      </w:r>
    </w:p>
    <w:p w14:paraId="6762C824" w14:textId="77777777" w:rsidR="002567F3" w:rsidRDefault="00550A6C" w:rsidP="00B0538B">
      <w:pPr>
        <w:pStyle w:val="Default"/>
        <w:spacing w:line="360" w:lineRule="auto"/>
        <w:ind w:firstLine="708"/>
        <w:jc w:val="both"/>
        <w:rPr>
          <w:color w:val="000000" w:themeColor="text1"/>
          <w:lang w:val="pt-BR"/>
        </w:rPr>
      </w:pPr>
      <w:r w:rsidRPr="00B7238F">
        <w:rPr>
          <w:color w:val="000000" w:themeColor="text1"/>
          <w:lang w:val="pt-BR"/>
        </w:rPr>
        <w:t>Ao analisar o número médi</w:t>
      </w:r>
      <w:r w:rsidR="00776F97" w:rsidRPr="00B7238F">
        <w:rPr>
          <w:color w:val="000000" w:themeColor="text1"/>
          <w:lang w:val="pt-BR"/>
        </w:rPr>
        <w:t>o</w:t>
      </w:r>
      <w:r w:rsidRPr="00B7238F">
        <w:rPr>
          <w:color w:val="000000" w:themeColor="text1"/>
          <w:lang w:val="pt-BR"/>
        </w:rPr>
        <w:t xml:space="preserve"> de aplicações de fungicidas do grupo das carboxamidas não houve diferença estatística entre uma e duas pulverizações, entretanto três aplicações apresentaram maiores valores de frequência da mutação na média dos momentos de avaliações e aos 42 e 56 DAP</w:t>
      </w:r>
      <w:r w:rsidRPr="00B7238F">
        <w:rPr>
          <w:color w:val="000000" w:themeColor="text1"/>
          <w:vertAlign w:val="subscript"/>
          <w:lang w:val="pt-BR"/>
        </w:rPr>
        <w:t xml:space="preserve">0 </w:t>
      </w:r>
      <w:r w:rsidR="000040AD" w:rsidRPr="00B7238F">
        <w:rPr>
          <w:color w:val="000000" w:themeColor="text1"/>
          <w:lang w:val="pt-BR"/>
        </w:rPr>
        <w:t xml:space="preserve">(Anexo 1). </w:t>
      </w:r>
      <w:r w:rsidRPr="00B7238F">
        <w:rPr>
          <w:color w:val="000000" w:themeColor="text1"/>
          <w:lang w:val="pt-BR"/>
        </w:rPr>
        <w:t>A realização de duas aplicações de carboxamidas não diferiu de três pulverizações dos mesmos fungicidas</w:t>
      </w:r>
      <w:r w:rsidR="00776F97" w:rsidRPr="00B7238F">
        <w:rPr>
          <w:color w:val="000000" w:themeColor="text1"/>
          <w:lang w:val="pt-BR"/>
        </w:rPr>
        <w:t xml:space="preserve"> </w:t>
      </w:r>
      <w:r w:rsidR="000040AD" w:rsidRPr="00B7238F">
        <w:rPr>
          <w:color w:val="000000" w:themeColor="text1"/>
          <w:lang w:val="pt-BR"/>
        </w:rPr>
        <w:t>(Anexo 1)</w:t>
      </w:r>
      <w:r w:rsidR="002567F3">
        <w:rPr>
          <w:color w:val="000000" w:themeColor="text1"/>
          <w:lang w:val="pt-BR"/>
        </w:rPr>
        <w:t>.</w:t>
      </w:r>
    </w:p>
    <w:p w14:paraId="4AFCC39E" w14:textId="01D51A68" w:rsidR="00550A6C" w:rsidRPr="00B7238F" w:rsidRDefault="00550A6C" w:rsidP="00B0538B">
      <w:pPr>
        <w:pStyle w:val="Default"/>
        <w:spacing w:line="360" w:lineRule="auto"/>
        <w:ind w:firstLine="708"/>
        <w:jc w:val="both"/>
        <w:rPr>
          <w:color w:val="000000" w:themeColor="text1"/>
          <w:lang w:val="pt-BR"/>
        </w:rPr>
      </w:pPr>
      <w:r w:rsidRPr="00B7238F">
        <w:rPr>
          <w:color w:val="000000" w:themeColor="text1"/>
          <w:lang w:val="pt-BR"/>
        </w:rPr>
        <w:t>Aos 14 DAP</w:t>
      </w:r>
      <w:r w:rsidRPr="00B7238F">
        <w:rPr>
          <w:color w:val="000000" w:themeColor="text1"/>
          <w:vertAlign w:val="subscript"/>
          <w:lang w:val="pt-BR"/>
        </w:rPr>
        <w:t xml:space="preserve">0 </w:t>
      </w:r>
      <w:r w:rsidRPr="00B7238F">
        <w:rPr>
          <w:color w:val="000000" w:themeColor="text1"/>
          <w:lang w:val="pt-BR"/>
        </w:rPr>
        <w:t>não houve diferença entre os tratamentos com aplicação de carboxamidas. Nas avaliações realizadas aos 28 DAP</w:t>
      </w:r>
      <w:r w:rsidRPr="00B7238F">
        <w:rPr>
          <w:color w:val="000000" w:themeColor="text1"/>
          <w:vertAlign w:val="subscript"/>
          <w:lang w:val="pt-BR"/>
        </w:rPr>
        <w:t xml:space="preserve">0, </w:t>
      </w:r>
      <w:r w:rsidRPr="00B7238F">
        <w:rPr>
          <w:color w:val="000000" w:themeColor="text1"/>
          <w:lang w:val="pt-BR"/>
        </w:rPr>
        <w:t>o tratamento T7 (três aplicações de azoxistrobina + benzovindiflupir) apresentou frequência de mutação superior aos demais programas de aplicações com fungicidas do grupo químico das carnoxamidas (Tabela 1</w:t>
      </w:r>
      <w:r w:rsidR="005D5111" w:rsidRPr="00B7238F">
        <w:rPr>
          <w:color w:val="000000" w:themeColor="text1"/>
          <w:lang w:val="pt-BR"/>
        </w:rPr>
        <w:t>8</w:t>
      </w:r>
      <w:r w:rsidRPr="00B7238F">
        <w:rPr>
          <w:color w:val="000000" w:themeColor="text1"/>
          <w:lang w:val="pt-BR"/>
        </w:rPr>
        <w:t>). A aplicação de uma (T5), duas (T6) ou três (T7) aplicações de azoxistrobina + benzovindiflupir obteve maiores valores de frequência de mutação I86F que uma (T2) ou duas (T3)</w:t>
      </w:r>
      <w:r w:rsidR="00F279A9" w:rsidRPr="00B7238F">
        <w:rPr>
          <w:color w:val="000000" w:themeColor="text1"/>
          <w:lang w:val="pt-BR"/>
        </w:rPr>
        <w:t xml:space="preserve"> pulverizações piraclostrobina + fluxapyroxada</w:t>
      </w:r>
      <w:r w:rsidRPr="00B7238F">
        <w:rPr>
          <w:color w:val="000000" w:themeColor="text1"/>
          <w:lang w:val="pt-BR"/>
        </w:rPr>
        <w:t xml:space="preserve"> em observações realizadas aos 42 DAP</w:t>
      </w:r>
      <w:r w:rsidRPr="00B7238F">
        <w:rPr>
          <w:color w:val="000000" w:themeColor="text1"/>
          <w:vertAlign w:val="subscript"/>
          <w:lang w:val="pt-BR"/>
        </w:rPr>
        <w:t>0</w:t>
      </w:r>
      <w:r w:rsidRPr="00B7238F">
        <w:rPr>
          <w:color w:val="000000" w:themeColor="text1"/>
          <w:lang w:val="pt-BR"/>
        </w:rPr>
        <w:t>. Os tratamentos T2 e T4 obtiveram menores valores de frequência de mutação que T5, T6, T7, porém o tratamento T3 não diferiu estatisticamente de T5 (Tabela 1</w:t>
      </w:r>
      <w:r w:rsidR="005D5111" w:rsidRPr="00B7238F">
        <w:rPr>
          <w:color w:val="000000" w:themeColor="text1"/>
          <w:lang w:val="pt-BR"/>
        </w:rPr>
        <w:t>8</w:t>
      </w:r>
      <w:r w:rsidRPr="00B7238F">
        <w:rPr>
          <w:color w:val="000000" w:themeColor="text1"/>
          <w:lang w:val="pt-BR"/>
        </w:rPr>
        <w:t xml:space="preserve">). </w:t>
      </w:r>
    </w:p>
    <w:p w14:paraId="04AC79BA" w14:textId="3374AF65" w:rsidR="00550A6C" w:rsidRPr="00B7238F" w:rsidRDefault="00550A6C" w:rsidP="00B0538B">
      <w:pPr>
        <w:pStyle w:val="Default"/>
        <w:spacing w:line="360" w:lineRule="auto"/>
        <w:ind w:firstLine="708"/>
        <w:jc w:val="both"/>
        <w:rPr>
          <w:color w:val="000000" w:themeColor="text1"/>
          <w:lang w:val="pt-BR"/>
        </w:rPr>
      </w:pPr>
      <w:r w:rsidRPr="00B7238F">
        <w:rPr>
          <w:color w:val="000000" w:themeColor="text1"/>
          <w:lang w:val="pt-BR"/>
        </w:rPr>
        <w:t>Os tratamentos sem aplicações de fungicidas do grupo químico das carboxamidas (T1 e T8), não apresentaram diferença estatística para os valores da mutação I86F quando comparados os diferentes momentos de coleta dentro de cada tratamento (Tabela 1</w:t>
      </w:r>
      <w:r w:rsidR="005D5111" w:rsidRPr="00B7238F">
        <w:rPr>
          <w:color w:val="000000" w:themeColor="text1"/>
          <w:lang w:val="pt-BR"/>
        </w:rPr>
        <w:t>8</w:t>
      </w:r>
      <w:r w:rsidRPr="00B7238F">
        <w:rPr>
          <w:color w:val="000000" w:themeColor="text1"/>
          <w:lang w:val="pt-BR"/>
        </w:rPr>
        <w:t xml:space="preserve">). </w:t>
      </w:r>
    </w:p>
    <w:p w14:paraId="46C05160" w14:textId="787713B4" w:rsidR="003C4C31" w:rsidRPr="00B7238F" w:rsidRDefault="00176C0A" w:rsidP="00B0538B">
      <w:pPr>
        <w:pStyle w:val="Default"/>
        <w:spacing w:line="360" w:lineRule="auto"/>
        <w:ind w:firstLine="708"/>
        <w:jc w:val="both"/>
        <w:rPr>
          <w:color w:val="000000" w:themeColor="text1"/>
          <w:lang w:val="pt-BR"/>
        </w:rPr>
      </w:pPr>
      <w:r w:rsidRPr="00B7238F">
        <w:rPr>
          <w:color w:val="000000" w:themeColor="text1"/>
          <w:lang w:val="pt-BR"/>
        </w:rPr>
        <w:t>A frequência da mutação I86F observada considerando a média de todos momentos de coleta, demonstrou que duas (T6) ou três (T7) aplicações de azoxistrobina + benzovindiflupir apresentam maiores valores que uma aplicação de azoxistrobina + benzovindiflupir (T5) e três aplicações de piraclostrobina + fluxapyroxada (T4)</w:t>
      </w:r>
      <w:r w:rsidR="003D7021" w:rsidRPr="00B7238F">
        <w:rPr>
          <w:color w:val="000000" w:themeColor="text1"/>
          <w:lang w:val="pt-BR"/>
        </w:rPr>
        <w:t xml:space="preserve"> (Tabela 1</w:t>
      </w:r>
      <w:r w:rsidR="00776F97" w:rsidRPr="00B7238F">
        <w:rPr>
          <w:color w:val="000000" w:themeColor="text1"/>
          <w:lang w:val="pt-BR"/>
        </w:rPr>
        <w:t>8</w:t>
      </w:r>
      <w:r w:rsidR="003D7021" w:rsidRPr="00B7238F">
        <w:rPr>
          <w:color w:val="000000" w:themeColor="text1"/>
          <w:lang w:val="pt-BR"/>
        </w:rPr>
        <w:t>)</w:t>
      </w:r>
      <w:r w:rsidRPr="00B7238F">
        <w:rPr>
          <w:color w:val="000000" w:themeColor="text1"/>
          <w:lang w:val="pt-BR"/>
        </w:rPr>
        <w:t>. Além disto, uma (T2) ou duas (T3) aplicações de piraclostrobina + fluxapyroxada obt</w:t>
      </w:r>
      <w:r w:rsidR="00776F97" w:rsidRPr="00B7238F">
        <w:rPr>
          <w:color w:val="000000" w:themeColor="text1"/>
          <w:lang w:val="pt-BR"/>
        </w:rPr>
        <w:t>iveram</w:t>
      </w:r>
      <w:r w:rsidRPr="00B7238F">
        <w:rPr>
          <w:color w:val="000000" w:themeColor="text1"/>
          <w:lang w:val="pt-BR"/>
        </w:rPr>
        <w:t xml:space="preserve"> menores valores de frequência da mutação que </w:t>
      </w:r>
      <w:r w:rsidR="00776F97" w:rsidRPr="00B7238F">
        <w:rPr>
          <w:color w:val="000000" w:themeColor="text1"/>
          <w:lang w:val="pt-BR"/>
        </w:rPr>
        <w:t xml:space="preserve">os demais tratamentos com fungicidas do grupo químico das carboxamidas </w:t>
      </w:r>
      <w:r w:rsidR="003D7021" w:rsidRPr="00B7238F">
        <w:rPr>
          <w:color w:val="000000" w:themeColor="text1"/>
          <w:lang w:val="pt-BR"/>
        </w:rPr>
        <w:t>(Tabela 1</w:t>
      </w:r>
      <w:r w:rsidR="005D5111" w:rsidRPr="00B7238F">
        <w:rPr>
          <w:color w:val="000000" w:themeColor="text1"/>
          <w:lang w:val="pt-BR"/>
        </w:rPr>
        <w:t>8</w:t>
      </w:r>
      <w:r w:rsidR="003D7021" w:rsidRPr="00B7238F">
        <w:rPr>
          <w:color w:val="000000" w:themeColor="text1"/>
          <w:lang w:val="pt-BR"/>
        </w:rPr>
        <w:t>)</w:t>
      </w:r>
      <w:r w:rsidRPr="00B7238F">
        <w:rPr>
          <w:color w:val="000000" w:themeColor="text1"/>
          <w:lang w:val="pt-BR"/>
        </w:rPr>
        <w:t xml:space="preserve">. </w:t>
      </w:r>
    </w:p>
    <w:p w14:paraId="0AA199E6" w14:textId="40DE1198" w:rsidR="00550A6C" w:rsidRPr="00B7238F" w:rsidRDefault="00776F97" w:rsidP="00B0538B">
      <w:pPr>
        <w:pStyle w:val="Default"/>
        <w:spacing w:line="360" w:lineRule="auto"/>
        <w:ind w:firstLine="708"/>
        <w:jc w:val="both"/>
        <w:rPr>
          <w:color w:val="000000" w:themeColor="text1"/>
          <w:lang w:val="pt-BR"/>
        </w:rPr>
      </w:pPr>
      <w:r w:rsidRPr="00B7238F">
        <w:rPr>
          <w:color w:val="000000" w:themeColor="text1"/>
          <w:lang w:val="pt-BR"/>
        </w:rPr>
        <w:t xml:space="preserve">A verificação da variação da frequência da mutação I86F </w:t>
      </w:r>
      <w:r w:rsidR="00D7307A" w:rsidRPr="00B7238F">
        <w:rPr>
          <w:color w:val="000000" w:themeColor="text1"/>
          <w:lang w:val="pt-BR"/>
        </w:rPr>
        <w:t xml:space="preserve">de um mesmo tratamento em diferentes momentos de coleta de populações de </w:t>
      </w:r>
      <w:r w:rsidR="00D7307A" w:rsidRPr="00B7238F">
        <w:rPr>
          <w:i/>
          <w:color w:val="000000" w:themeColor="text1"/>
          <w:lang w:val="pt-BR"/>
        </w:rPr>
        <w:t>P. pachyrhizi</w:t>
      </w:r>
      <w:r w:rsidR="00D7307A" w:rsidRPr="00B7238F">
        <w:rPr>
          <w:color w:val="000000" w:themeColor="text1"/>
          <w:lang w:val="pt-BR"/>
        </w:rPr>
        <w:t xml:space="preserve">, demonstrou que a </w:t>
      </w:r>
      <w:r w:rsidR="00550A6C" w:rsidRPr="00B7238F">
        <w:rPr>
          <w:color w:val="000000" w:themeColor="text1"/>
          <w:lang w:val="pt-BR"/>
        </w:rPr>
        <w:t>frequência de mutação observad</w:t>
      </w:r>
      <w:r w:rsidR="00D7307A" w:rsidRPr="00B7238F">
        <w:rPr>
          <w:color w:val="000000" w:themeColor="text1"/>
          <w:lang w:val="pt-BR"/>
        </w:rPr>
        <w:t>a</w:t>
      </w:r>
      <w:r w:rsidR="00550A6C" w:rsidRPr="00B7238F">
        <w:rPr>
          <w:color w:val="000000" w:themeColor="text1"/>
          <w:lang w:val="pt-BR"/>
        </w:rPr>
        <w:t xml:space="preserve"> aos 42 DAP</w:t>
      </w:r>
      <w:r w:rsidR="00550A6C" w:rsidRPr="00B7238F">
        <w:rPr>
          <w:color w:val="000000" w:themeColor="text1"/>
          <w:vertAlign w:val="subscript"/>
          <w:lang w:val="pt-BR"/>
        </w:rPr>
        <w:t xml:space="preserve">0 </w:t>
      </w:r>
      <w:r w:rsidR="00550A6C" w:rsidRPr="00B7238F">
        <w:rPr>
          <w:color w:val="000000" w:themeColor="text1"/>
          <w:lang w:val="pt-BR"/>
        </w:rPr>
        <w:t>fo</w:t>
      </w:r>
      <w:r w:rsidR="00D7307A" w:rsidRPr="00B7238F">
        <w:rPr>
          <w:color w:val="000000" w:themeColor="text1"/>
          <w:lang w:val="pt-BR"/>
        </w:rPr>
        <w:t>i</w:t>
      </w:r>
      <w:r w:rsidR="00550A6C" w:rsidRPr="00B7238F">
        <w:rPr>
          <w:color w:val="000000" w:themeColor="text1"/>
          <w:lang w:val="pt-BR"/>
        </w:rPr>
        <w:t xml:space="preserve"> superior aos</w:t>
      </w:r>
      <w:r w:rsidR="00D7307A" w:rsidRPr="00B7238F">
        <w:rPr>
          <w:color w:val="000000" w:themeColor="text1"/>
          <w:lang w:val="pt-BR"/>
        </w:rPr>
        <w:t xml:space="preserve"> valores</w:t>
      </w:r>
      <w:r w:rsidR="00550A6C" w:rsidRPr="00B7238F">
        <w:rPr>
          <w:color w:val="000000" w:themeColor="text1"/>
          <w:lang w:val="pt-BR"/>
        </w:rPr>
        <w:t xml:space="preserve"> observados aos 14 DAP</w:t>
      </w:r>
      <w:r w:rsidR="00550A6C" w:rsidRPr="00B7238F">
        <w:rPr>
          <w:color w:val="000000" w:themeColor="text1"/>
          <w:vertAlign w:val="subscript"/>
          <w:lang w:val="pt-BR"/>
        </w:rPr>
        <w:t xml:space="preserve">0, </w:t>
      </w:r>
      <w:r w:rsidR="00550A6C" w:rsidRPr="00B7238F">
        <w:rPr>
          <w:color w:val="000000" w:themeColor="text1"/>
          <w:lang w:val="pt-BR"/>
        </w:rPr>
        <w:t xml:space="preserve">para os tratamentos contendo fungicidas do grupo químico das carboxamidas </w:t>
      </w:r>
      <w:r w:rsidR="00D7307A" w:rsidRPr="00B7238F">
        <w:rPr>
          <w:color w:val="000000" w:themeColor="text1"/>
          <w:lang w:val="pt-BR"/>
        </w:rPr>
        <w:t>(</w:t>
      </w:r>
      <w:r w:rsidR="00550A6C" w:rsidRPr="00B7238F">
        <w:rPr>
          <w:color w:val="000000" w:themeColor="text1"/>
          <w:lang w:val="pt-BR"/>
        </w:rPr>
        <w:t>exceto para T3</w:t>
      </w:r>
      <w:r w:rsidR="00D7307A" w:rsidRPr="00B7238F">
        <w:rPr>
          <w:color w:val="000000" w:themeColor="text1"/>
          <w:lang w:val="pt-BR"/>
        </w:rPr>
        <w:t>)</w:t>
      </w:r>
      <w:r w:rsidR="00550A6C" w:rsidRPr="00B7238F">
        <w:rPr>
          <w:color w:val="000000" w:themeColor="text1"/>
          <w:lang w:val="pt-BR"/>
        </w:rPr>
        <w:t>. Além disto, a frequência da mutação I86F detectada aos 5</w:t>
      </w:r>
      <w:r w:rsidR="004448A9" w:rsidRPr="00B7238F">
        <w:rPr>
          <w:color w:val="000000" w:themeColor="text1"/>
          <w:lang w:val="pt-BR"/>
        </w:rPr>
        <w:t>2</w:t>
      </w:r>
      <w:r w:rsidR="00550A6C" w:rsidRPr="00B7238F">
        <w:rPr>
          <w:color w:val="000000" w:themeColor="text1"/>
          <w:lang w:val="pt-BR"/>
        </w:rPr>
        <w:t xml:space="preserve"> DAP</w:t>
      </w:r>
      <w:r w:rsidR="00550A6C" w:rsidRPr="00B7238F">
        <w:rPr>
          <w:color w:val="000000" w:themeColor="text1"/>
          <w:vertAlign w:val="subscript"/>
          <w:lang w:val="pt-BR"/>
        </w:rPr>
        <w:t>0</w:t>
      </w:r>
      <w:r w:rsidR="00550A6C" w:rsidRPr="00B7238F">
        <w:rPr>
          <w:color w:val="000000" w:themeColor="text1"/>
          <w:lang w:val="pt-BR"/>
        </w:rPr>
        <w:t xml:space="preserve"> foi superior aos valores observados aos 14 DAP</w:t>
      </w:r>
      <w:r w:rsidR="00550A6C" w:rsidRPr="00B7238F">
        <w:rPr>
          <w:color w:val="000000" w:themeColor="text1"/>
          <w:vertAlign w:val="subscript"/>
          <w:lang w:val="pt-BR"/>
        </w:rPr>
        <w:t>0</w:t>
      </w:r>
      <w:r w:rsidR="00550A6C" w:rsidRPr="00B7238F">
        <w:rPr>
          <w:color w:val="000000" w:themeColor="text1"/>
          <w:lang w:val="pt-BR"/>
        </w:rPr>
        <w:t xml:space="preserve"> para T2, T4, T6, T7 (Tabela 1</w:t>
      </w:r>
      <w:r w:rsidR="005D5111" w:rsidRPr="00B7238F">
        <w:rPr>
          <w:color w:val="000000" w:themeColor="text1"/>
          <w:lang w:val="pt-BR"/>
        </w:rPr>
        <w:t>8</w:t>
      </w:r>
      <w:r w:rsidR="00550A6C" w:rsidRPr="00B7238F">
        <w:rPr>
          <w:color w:val="000000" w:themeColor="text1"/>
          <w:lang w:val="pt-BR"/>
        </w:rPr>
        <w:t xml:space="preserve">). </w:t>
      </w:r>
    </w:p>
    <w:p w14:paraId="1C8AFD91" w14:textId="417663E1" w:rsidR="003D7021" w:rsidRPr="00B7238F" w:rsidRDefault="004448A9" w:rsidP="00B0538B">
      <w:pPr>
        <w:pStyle w:val="Default"/>
        <w:spacing w:line="360" w:lineRule="auto"/>
        <w:ind w:firstLine="708"/>
        <w:jc w:val="both"/>
        <w:rPr>
          <w:color w:val="000000" w:themeColor="text1"/>
          <w:lang w:val="pt-BR"/>
        </w:rPr>
      </w:pPr>
      <w:r w:rsidRPr="00B7238F">
        <w:rPr>
          <w:color w:val="000000" w:themeColor="text1"/>
          <w:lang w:val="pt-BR"/>
        </w:rPr>
        <w:t>As avaliações de severidade da FAS no estádio fenológico R6 não foram possíveis em virtude da ocorrência de geadas aos 48 e 51 DAP</w:t>
      </w:r>
      <w:r w:rsidRPr="00B7238F">
        <w:rPr>
          <w:color w:val="000000" w:themeColor="text1"/>
          <w:vertAlign w:val="subscript"/>
          <w:lang w:val="pt-BR"/>
        </w:rPr>
        <w:t>0</w:t>
      </w:r>
      <w:r w:rsidRPr="00B7238F">
        <w:rPr>
          <w:color w:val="000000" w:themeColor="text1"/>
          <w:lang w:val="pt-BR"/>
        </w:rPr>
        <w:t xml:space="preserve">. </w:t>
      </w:r>
    </w:p>
    <w:p w14:paraId="75E2929D" w14:textId="77777777" w:rsidR="008F5CE6" w:rsidRPr="00B7238F" w:rsidRDefault="008F5CE6" w:rsidP="00B0538B">
      <w:pPr>
        <w:pStyle w:val="Default"/>
        <w:spacing w:line="360" w:lineRule="auto"/>
        <w:ind w:firstLine="708"/>
        <w:jc w:val="both"/>
        <w:rPr>
          <w:color w:val="000000" w:themeColor="text1"/>
          <w:lang w:val="pt-BR"/>
        </w:rPr>
      </w:pPr>
    </w:p>
    <w:p w14:paraId="1CEE6E44" w14:textId="077CDE9C" w:rsidR="00235E6F" w:rsidRPr="00B7238F" w:rsidRDefault="002567F3" w:rsidP="00B0538B">
      <w:pPr>
        <w:pStyle w:val="Ttulo3"/>
        <w:spacing w:before="0" w:after="0" w:line="360" w:lineRule="auto"/>
        <w:rPr>
          <w:rFonts w:eastAsiaTheme="minorEastAsia"/>
        </w:rPr>
      </w:pPr>
      <w:bookmarkStart w:id="298" w:name="_Toc22568286"/>
      <w:r>
        <w:rPr>
          <w:rFonts w:eastAsiaTheme="minorEastAsia"/>
        </w:rPr>
        <w:t xml:space="preserve">7.4.2 </w:t>
      </w:r>
      <w:r w:rsidR="00235E6F" w:rsidRPr="00B7238F">
        <w:rPr>
          <w:rFonts w:eastAsiaTheme="minorEastAsia"/>
        </w:rPr>
        <w:t xml:space="preserve">Ocorrência e frequência da mutação I86F em populações de </w:t>
      </w:r>
      <w:r w:rsidR="00235E6F" w:rsidRPr="00B7238F">
        <w:rPr>
          <w:rFonts w:eastAsiaTheme="minorEastAsia"/>
          <w:i/>
          <w:iCs/>
        </w:rPr>
        <w:t xml:space="preserve">Phakopsora pachyrhizi </w:t>
      </w:r>
      <w:r w:rsidR="00235E6F" w:rsidRPr="00B7238F">
        <w:rPr>
          <w:rFonts w:eastAsiaTheme="minorEastAsia"/>
        </w:rPr>
        <w:t>em</w:t>
      </w:r>
      <w:r w:rsidR="00235E6F" w:rsidRPr="00B7238F">
        <w:rPr>
          <w:rFonts w:eastAsiaTheme="minorEastAsia"/>
          <w:i/>
          <w:iCs/>
        </w:rPr>
        <w:t xml:space="preserve"> </w:t>
      </w:r>
      <w:r w:rsidR="00235E6F" w:rsidRPr="00B7238F">
        <w:rPr>
          <w:rFonts w:eastAsiaTheme="minorEastAsia"/>
        </w:rPr>
        <w:t>cultiva</w:t>
      </w:r>
      <w:r w:rsidR="005E67A5" w:rsidRPr="00B7238F">
        <w:rPr>
          <w:rFonts w:eastAsiaTheme="minorEastAsia"/>
        </w:rPr>
        <w:t>res</w:t>
      </w:r>
      <w:r w:rsidR="00235E6F" w:rsidRPr="00B7238F">
        <w:rPr>
          <w:rFonts w:eastAsiaTheme="minorEastAsia"/>
        </w:rPr>
        <w:t xml:space="preserve"> de soja </w:t>
      </w:r>
      <w:r w:rsidR="005E67A5" w:rsidRPr="00B7238F">
        <w:rPr>
          <w:rFonts w:eastAsiaTheme="minorEastAsia"/>
        </w:rPr>
        <w:t>com presença e ausência d</w:t>
      </w:r>
      <w:r w:rsidR="00C5591D">
        <w:rPr>
          <w:rFonts w:eastAsiaTheme="minorEastAsia"/>
        </w:rPr>
        <w:t>a tecnologia Inox</w:t>
      </w:r>
      <w:bookmarkEnd w:id="298"/>
    </w:p>
    <w:p w14:paraId="02965702" w14:textId="77777777" w:rsidR="00B0538B" w:rsidRDefault="00B0538B" w:rsidP="00B0538B">
      <w:pPr>
        <w:pStyle w:val="Default"/>
        <w:spacing w:line="360" w:lineRule="auto"/>
        <w:ind w:firstLine="708"/>
        <w:rPr>
          <w:color w:val="000000" w:themeColor="text1"/>
          <w:lang w:val="pt-BR"/>
        </w:rPr>
      </w:pPr>
    </w:p>
    <w:p w14:paraId="724E5682" w14:textId="2382438B" w:rsidR="00076AB0" w:rsidRPr="00B7238F" w:rsidRDefault="005D73C7" w:rsidP="00B0538B">
      <w:pPr>
        <w:pStyle w:val="Default"/>
        <w:spacing w:line="360" w:lineRule="auto"/>
        <w:ind w:firstLine="708"/>
        <w:rPr>
          <w:color w:val="000000" w:themeColor="text1"/>
          <w:lang w:val="pt-BR"/>
        </w:rPr>
      </w:pPr>
      <w:r w:rsidRPr="00B7238F">
        <w:rPr>
          <w:color w:val="000000" w:themeColor="text1"/>
          <w:lang w:val="pt-BR"/>
        </w:rPr>
        <w:t>Os primeiros sintomas da FAS foram detectados dia 30/03/2019</w:t>
      </w:r>
      <w:r w:rsidR="00807323" w:rsidRPr="00B7238F">
        <w:rPr>
          <w:color w:val="000000" w:themeColor="text1"/>
          <w:lang w:val="pt-BR"/>
        </w:rPr>
        <w:t xml:space="preserve"> nas duas cultivares, sendo a frequência inicial da mutação (P</w:t>
      </w:r>
      <w:r w:rsidR="00807323" w:rsidRPr="00B7238F">
        <w:rPr>
          <w:color w:val="000000" w:themeColor="text1"/>
          <w:vertAlign w:val="subscript"/>
          <w:lang w:val="pt-BR"/>
        </w:rPr>
        <w:t>0</w:t>
      </w:r>
      <w:r w:rsidR="00807323" w:rsidRPr="00B7238F">
        <w:rPr>
          <w:color w:val="000000" w:themeColor="text1"/>
          <w:lang w:val="pt-BR"/>
        </w:rPr>
        <w:t xml:space="preserve">) nas populações de </w:t>
      </w:r>
      <w:r w:rsidR="00807323" w:rsidRPr="00B7238F">
        <w:rPr>
          <w:i/>
          <w:color w:val="000000" w:themeColor="text1"/>
          <w:lang w:val="pt-BR"/>
        </w:rPr>
        <w:t>P. pachyrhizi</w:t>
      </w:r>
      <w:r w:rsidR="00807323" w:rsidRPr="00B7238F">
        <w:rPr>
          <w:color w:val="000000" w:themeColor="text1"/>
          <w:lang w:val="pt-BR"/>
        </w:rPr>
        <w:t xml:space="preserve"> de 2,75 e 2,0 %, para BMX Lança IPRO e TMG 7262 RR (com </w:t>
      </w:r>
      <w:r w:rsidR="00C5591D">
        <w:rPr>
          <w:color w:val="000000" w:themeColor="text1"/>
          <w:lang w:val="pt-BR"/>
        </w:rPr>
        <w:t>tecnologia Inox</w:t>
      </w:r>
      <w:r w:rsidR="00807323" w:rsidRPr="00B7238F">
        <w:rPr>
          <w:color w:val="000000" w:themeColor="text1"/>
          <w:lang w:val="pt-BR"/>
        </w:rPr>
        <w:t>).</w:t>
      </w:r>
    </w:p>
    <w:p w14:paraId="46B7FAEC" w14:textId="77777777" w:rsidR="00FF6896" w:rsidRPr="00B7238F" w:rsidRDefault="00807323" w:rsidP="00B0538B">
      <w:pPr>
        <w:pStyle w:val="Default"/>
        <w:spacing w:line="360" w:lineRule="auto"/>
        <w:ind w:firstLine="708"/>
        <w:jc w:val="both"/>
        <w:rPr>
          <w:color w:val="000000" w:themeColor="text1"/>
          <w:lang w:val="pt-BR"/>
        </w:rPr>
      </w:pPr>
      <w:r w:rsidRPr="00B7238F">
        <w:rPr>
          <w:color w:val="000000" w:themeColor="text1"/>
          <w:lang w:val="pt-BR"/>
        </w:rPr>
        <w:t xml:space="preserve">Houve interação estatística entre os programas de aplicações e cultivares, desta forma os dados serão avaliados separadamente para cada cultivar. </w:t>
      </w:r>
    </w:p>
    <w:p w14:paraId="665B3017" w14:textId="7DC34195" w:rsidR="001E3945" w:rsidRPr="00B7238F" w:rsidRDefault="00807323" w:rsidP="00B0538B">
      <w:pPr>
        <w:pStyle w:val="Default"/>
        <w:spacing w:line="360" w:lineRule="auto"/>
        <w:ind w:firstLine="708"/>
        <w:jc w:val="both"/>
        <w:rPr>
          <w:color w:val="000000" w:themeColor="text1"/>
          <w:lang w:val="pt-BR"/>
        </w:rPr>
      </w:pPr>
      <w:r w:rsidRPr="00B7238F">
        <w:rPr>
          <w:color w:val="000000" w:themeColor="text1"/>
          <w:lang w:val="pt-BR"/>
        </w:rPr>
        <w:t>Porém, para</w:t>
      </w:r>
      <w:r w:rsidR="003C7474" w:rsidRPr="00B7238F">
        <w:rPr>
          <w:color w:val="000000" w:themeColor="text1"/>
          <w:lang w:val="pt-BR"/>
        </w:rPr>
        <w:t xml:space="preserve"> verificar a</w:t>
      </w:r>
      <w:r w:rsidRPr="00B7238F">
        <w:rPr>
          <w:color w:val="000000" w:themeColor="text1"/>
          <w:lang w:val="pt-BR"/>
        </w:rPr>
        <w:t xml:space="preserve"> diferença na frequência da mutação I86F </w:t>
      </w:r>
      <w:r w:rsidR="001E3945" w:rsidRPr="00B7238F">
        <w:rPr>
          <w:color w:val="000000" w:themeColor="text1"/>
          <w:lang w:val="pt-BR"/>
        </w:rPr>
        <w:t>entre</w:t>
      </w:r>
      <w:r w:rsidRPr="00B7238F">
        <w:rPr>
          <w:color w:val="000000" w:themeColor="text1"/>
          <w:lang w:val="pt-BR"/>
        </w:rPr>
        <w:t xml:space="preserve"> cultivares nos três momentos e médias dos momentos</w:t>
      </w:r>
      <w:r w:rsidR="003C7474" w:rsidRPr="00B7238F">
        <w:rPr>
          <w:color w:val="000000" w:themeColor="text1"/>
          <w:lang w:val="pt-BR"/>
        </w:rPr>
        <w:t xml:space="preserve"> foi realizada a análise de contrastes estatístico pelo teste t </w:t>
      </w:r>
      <w:r w:rsidR="00C77BCE" w:rsidRPr="00B7238F">
        <w:rPr>
          <w:color w:val="000000" w:themeColor="text1"/>
          <w:lang w:val="pt-BR"/>
        </w:rPr>
        <w:t>de student.</w:t>
      </w:r>
    </w:p>
    <w:p w14:paraId="0252E662" w14:textId="6AD3900E" w:rsidR="00C77BCE" w:rsidRPr="00B7238F" w:rsidRDefault="00C77BCE" w:rsidP="00B0538B">
      <w:pPr>
        <w:pStyle w:val="Default"/>
        <w:spacing w:line="360" w:lineRule="auto"/>
        <w:ind w:firstLine="708"/>
        <w:jc w:val="both"/>
        <w:rPr>
          <w:color w:val="000000" w:themeColor="text1"/>
          <w:lang w:val="pt-BR"/>
        </w:rPr>
      </w:pPr>
      <w:r w:rsidRPr="00B7238F">
        <w:rPr>
          <w:color w:val="000000" w:themeColor="text1"/>
          <w:lang w:val="pt-BR"/>
        </w:rPr>
        <w:t>Em todos os momentos de avalia</w:t>
      </w:r>
      <w:r w:rsidR="00FF6896" w:rsidRPr="00B7238F">
        <w:rPr>
          <w:color w:val="000000" w:themeColor="text1"/>
          <w:lang w:val="pt-BR"/>
        </w:rPr>
        <w:t>ções, e tratamentos contendo fungicidas do grupo das carboxamidas</w:t>
      </w:r>
      <w:r w:rsidRPr="00B7238F">
        <w:rPr>
          <w:color w:val="000000" w:themeColor="text1"/>
          <w:lang w:val="pt-BR"/>
        </w:rPr>
        <w:t xml:space="preserve"> a cultivar TMG 7262 RR apresentou valores de frequência da mutação I86F estatisticamente</w:t>
      </w:r>
      <w:r w:rsidR="00FF6896" w:rsidRPr="00B7238F">
        <w:rPr>
          <w:color w:val="000000" w:themeColor="text1"/>
          <w:lang w:val="pt-BR"/>
        </w:rPr>
        <w:t xml:space="preserve"> inferiores</w:t>
      </w:r>
      <w:r w:rsidRPr="00B7238F">
        <w:rPr>
          <w:color w:val="000000" w:themeColor="text1"/>
          <w:lang w:val="pt-BR"/>
        </w:rPr>
        <w:t xml:space="preserve"> aos resultados observados na cultivar BMX Lança IPRO</w:t>
      </w:r>
      <w:r w:rsidR="005945F6" w:rsidRPr="00B7238F">
        <w:rPr>
          <w:color w:val="000000" w:themeColor="text1"/>
          <w:lang w:val="pt-BR"/>
        </w:rPr>
        <w:t xml:space="preserve"> </w:t>
      </w:r>
      <w:r w:rsidR="000040AD" w:rsidRPr="00B7238F">
        <w:rPr>
          <w:color w:val="000000" w:themeColor="text1"/>
          <w:lang w:val="pt-BR"/>
        </w:rPr>
        <w:t>(Anexo 1).</w:t>
      </w:r>
    </w:p>
    <w:p w14:paraId="2E63365B" w14:textId="25176D53" w:rsidR="004448A9" w:rsidRPr="00B7238F" w:rsidRDefault="004448A9" w:rsidP="00B0538B">
      <w:pPr>
        <w:pStyle w:val="Default"/>
        <w:spacing w:line="360" w:lineRule="auto"/>
        <w:ind w:firstLine="708"/>
        <w:jc w:val="both"/>
        <w:rPr>
          <w:color w:val="000000" w:themeColor="text1"/>
          <w:lang w:val="pt-BR"/>
        </w:rPr>
      </w:pPr>
      <w:r w:rsidRPr="00B7238F">
        <w:rPr>
          <w:color w:val="000000" w:themeColor="text1"/>
          <w:lang w:val="pt-BR"/>
        </w:rPr>
        <w:t>A ocorrência de geadas aos 48 e 51 DAP</w:t>
      </w:r>
      <w:r w:rsidRPr="00B7238F">
        <w:rPr>
          <w:color w:val="000000" w:themeColor="text1"/>
          <w:vertAlign w:val="subscript"/>
          <w:lang w:val="pt-BR"/>
        </w:rPr>
        <w:t>0</w:t>
      </w:r>
      <w:r w:rsidRPr="00B7238F">
        <w:rPr>
          <w:color w:val="000000" w:themeColor="text1"/>
          <w:lang w:val="pt-BR"/>
        </w:rPr>
        <w:t xml:space="preserve"> impossibilitou as avaliações de severidade</w:t>
      </w:r>
      <w:r w:rsidR="004033B0" w:rsidRPr="00B7238F">
        <w:rPr>
          <w:color w:val="000000" w:themeColor="text1"/>
          <w:lang w:val="pt-BR"/>
        </w:rPr>
        <w:t xml:space="preserve"> da FAS,</w:t>
      </w:r>
      <w:r w:rsidRPr="00B7238F">
        <w:rPr>
          <w:color w:val="000000" w:themeColor="text1"/>
          <w:lang w:val="pt-BR"/>
        </w:rPr>
        <w:t xml:space="preserve"> que seriam realizadas </w:t>
      </w:r>
      <w:r w:rsidR="004033B0" w:rsidRPr="00B7238F">
        <w:rPr>
          <w:color w:val="000000" w:themeColor="text1"/>
          <w:lang w:val="pt-BR"/>
        </w:rPr>
        <w:t>no estádio fenológico R6.</w:t>
      </w:r>
    </w:p>
    <w:p w14:paraId="780F6B66" w14:textId="029819F3" w:rsidR="00C77BCE" w:rsidRPr="00B7238F" w:rsidRDefault="00C77BCE" w:rsidP="00B0538B">
      <w:pPr>
        <w:pStyle w:val="Default"/>
        <w:spacing w:line="360" w:lineRule="auto"/>
        <w:jc w:val="both"/>
        <w:rPr>
          <w:color w:val="000000" w:themeColor="text1"/>
          <w:lang w:val="pt-BR"/>
        </w:rPr>
      </w:pPr>
    </w:p>
    <w:p w14:paraId="2028365A" w14:textId="656C92A9" w:rsidR="00C77BCE" w:rsidRPr="00B7238F" w:rsidRDefault="000E1DE0" w:rsidP="00B0538B">
      <w:pPr>
        <w:pStyle w:val="Ttulo4"/>
        <w:spacing w:line="360" w:lineRule="auto"/>
      </w:pPr>
      <w:bookmarkStart w:id="299" w:name="_Toc22568287"/>
      <w:r>
        <w:t>7</w:t>
      </w:r>
      <w:r w:rsidR="00C77BCE" w:rsidRPr="00B7238F">
        <w:t xml:space="preserve">.4.2.1 </w:t>
      </w:r>
      <w:r w:rsidR="00134CEF" w:rsidRPr="00B7238F">
        <w:t>Cultivar 1</w:t>
      </w:r>
      <w:r w:rsidR="00872CAA" w:rsidRPr="00B7238F">
        <w:t xml:space="preserve"> – TMG7262 RR</w:t>
      </w:r>
      <w:bookmarkEnd w:id="299"/>
    </w:p>
    <w:p w14:paraId="04824170" w14:textId="141511E6" w:rsidR="00076AB0" w:rsidRPr="00B7238F" w:rsidRDefault="00076AB0" w:rsidP="00B0538B">
      <w:pPr>
        <w:pStyle w:val="Default"/>
        <w:spacing w:line="360" w:lineRule="auto"/>
        <w:rPr>
          <w:color w:val="000000" w:themeColor="text1"/>
          <w:lang w:val="pt-BR"/>
        </w:rPr>
      </w:pPr>
    </w:p>
    <w:p w14:paraId="28325564" w14:textId="4F9CA25C" w:rsidR="00872CAA" w:rsidRPr="00B7238F" w:rsidRDefault="00872CAA" w:rsidP="00B0538B">
      <w:pPr>
        <w:pStyle w:val="Default"/>
        <w:spacing w:line="360" w:lineRule="auto"/>
        <w:jc w:val="both"/>
        <w:rPr>
          <w:color w:val="000000" w:themeColor="text1"/>
          <w:lang w:val="pt-BR"/>
        </w:rPr>
      </w:pPr>
      <w:r w:rsidRPr="00B7238F">
        <w:rPr>
          <w:color w:val="000000" w:themeColor="text1"/>
          <w:lang w:val="pt-BR"/>
        </w:rPr>
        <w:tab/>
        <w:t xml:space="preserve">Os programas de aplicações sem fungicidas do grupo químico das carboxamidas (T1 e T6) diferiram estatisticamente entre si apenas na média dos três momentos de avaliações, sendo a frequência da mutação I86F para T6 (4,1 %) inferior a T1 (8,2 %) (Tabela 19). </w:t>
      </w:r>
    </w:p>
    <w:p w14:paraId="0CC59160" w14:textId="77777777" w:rsidR="000E1DE0" w:rsidRDefault="000E1DE0" w:rsidP="00B0538B">
      <w:pPr>
        <w:spacing w:after="0" w:line="360" w:lineRule="auto"/>
      </w:pPr>
    </w:p>
    <w:p w14:paraId="2AB5A7E1" w14:textId="5CCF14A3" w:rsidR="00F22FC3" w:rsidRDefault="00F22FC3" w:rsidP="00F22FC3">
      <w:pPr>
        <w:pStyle w:val="Legenda"/>
        <w:keepNext/>
        <w:ind w:firstLine="0"/>
      </w:pPr>
      <w:bookmarkStart w:id="300" w:name="_Toc16173055"/>
      <w:r>
        <w:t xml:space="preserve">Tabela </w:t>
      </w:r>
      <w:r w:rsidR="00D00510">
        <w:fldChar w:fldCharType="begin"/>
      </w:r>
      <w:r w:rsidR="00D00510">
        <w:instrText xml:space="preserve"> SEQ Tabela \* ARABIC </w:instrText>
      </w:r>
      <w:r w:rsidR="00D00510">
        <w:fldChar w:fldCharType="separate"/>
      </w:r>
      <w:r w:rsidR="002D15F8">
        <w:rPr>
          <w:noProof/>
        </w:rPr>
        <w:t>19</w:t>
      </w:r>
      <w:r w:rsidR="00D00510">
        <w:rPr>
          <w:noProof/>
        </w:rPr>
        <w:fldChar w:fldCharType="end"/>
      </w:r>
      <w:r>
        <w:t xml:space="preserve">. </w:t>
      </w:r>
      <w:r w:rsidRPr="00EB6F3E">
        <w:t xml:space="preserve">Frequência da mutação I86F em populações de </w:t>
      </w:r>
      <w:r w:rsidRPr="004B0A23">
        <w:rPr>
          <w:i/>
        </w:rPr>
        <w:t xml:space="preserve">P. pachyrhizi </w:t>
      </w:r>
      <w:r w:rsidRPr="00EB6F3E">
        <w:t>submetidas a diferentes programas de aplicação de fungicidas no cultivar TMG 7262RR, coletadas aos 17, 35 e 52 dias após a detecção do fungo (DAP0). Lages, 2019.</w:t>
      </w:r>
      <w:bookmarkEnd w:id="300"/>
    </w:p>
    <w:tbl>
      <w:tblPr>
        <w:tblStyle w:val="Tabelacomgrade2"/>
        <w:tblW w:w="908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387"/>
        <w:gridCol w:w="1882"/>
        <w:gridCol w:w="2039"/>
        <w:gridCol w:w="1873"/>
        <w:gridCol w:w="1907"/>
      </w:tblGrid>
      <w:tr w:rsidR="00D656C1" w:rsidRPr="00D656C1" w14:paraId="4184A93E" w14:textId="77777777" w:rsidTr="00C10DC5">
        <w:trPr>
          <w:trHeight w:val="319"/>
        </w:trPr>
        <w:tc>
          <w:tcPr>
            <w:tcW w:w="9088" w:type="dxa"/>
            <w:gridSpan w:val="5"/>
            <w:tcBorders>
              <w:top w:val="single" w:sz="4" w:space="0" w:color="auto"/>
              <w:bottom w:val="single" w:sz="4" w:space="0" w:color="auto"/>
            </w:tcBorders>
            <w:vAlign w:val="center"/>
            <w:hideMark/>
          </w:tcPr>
          <w:p w14:paraId="15D257F2" w14:textId="77777777" w:rsidR="00D656C1" w:rsidRPr="00D656C1" w:rsidRDefault="00D656C1" w:rsidP="00D656C1">
            <w:pPr>
              <w:autoSpaceDE/>
              <w:autoSpaceDN/>
              <w:adjustRightInd/>
              <w:spacing w:line="360" w:lineRule="auto"/>
              <w:ind w:firstLine="0"/>
              <w:jc w:val="center"/>
              <w:textAlignment w:val="bottom"/>
              <w:rPr>
                <w:rFonts w:eastAsia="Times New Roman"/>
                <w:b/>
                <w:lang w:eastAsia="pt-BR"/>
              </w:rPr>
            </w:pPr>
            <w:r w:rsidRPr="00D656C1">
              <w:rPr>
                <w:rFonts w:eastAsia="Times New Roman"/>
                <w:b/>
                <w:color w:val="000000" w:themeColor="text1"/>
                <w:kern w:val="24"/>
                <w:lang w:eastAsia="pt-BR"/>
              </w:rPr>
              <w:t>TMG 7262 RR</w:t>
            </w:r>
          </w:p>
        </w:tc>
      </w:tr>
      <w:tr w:rsidR="00D656C1" w:rsidRPr="00D656C1" w14:paraId="357F7A0B" w14:textId="77777777" w:rsidTr="00C10DC5">
        <w:trPr>
          <w:trHeight w:val="319"/>
        </w:trPr>
        <w:tc>
          <w:tcPr>
            <w:tcW w:w="9088" w:type="dxa"/>
            <w:gridSpan w:val="5"/>
            <w:tcBorders>
              <w:top w:val="single" w:sz="4" w:space="0" w:color="auto"/>
            </w:tcBorders>
            <w:vAlign w:val="center"/>
            <w:hideMark/>
          </w:tcPr>
          <w:p w14:paraId="195D908F" w14:textId="77777777" w:rsidR="00D656C1" w:rsidRPr="00D656C1" w:rsidRDefault="00D656C1" w:rsidP="00D656C1">
            <w:pPr>
              <w:autoSpaceDE/>
              <w:autoSpaceDN/>
              <w:adjustRightInd/>
              <w:spacing w:line="360" w:lineRule="auto"/>
              <w:ind w:firstLine="0"/>
              <w:jc w:val="center"/>
              <w:textAlignment w:val="bottom"/>
              <w:rPr>
                <w:rFonts w:eastAsia="Times New Roman"/>
                <w:b/>
                <w:lang w:eastAsia="pt-BR"/>
              </w:rPr>
            </w:pPr>
            <w:r w:rsidRPr="00D656C1">
              <w:rPr>
                <w:rFonts w:eastAsia="Times New Roman"/>
                <w:b/>
                <w:color w:val="000000" w:themeColor="text1"/>
                <w:kern w:val="24"/>
                <w:lang w:eastAsia="pt-BR"/>
              </w:rPr>
              <w:t>Dias após a detecção do fungo</w:t>
            </w:r>
          </w:p>
        </w:tc>
      </w:tr>
      <w:tr w:rsidR="00D656C1" w:rsidRPr="00D656C1" w14:paraId="0560FDA8" w14:textId="77777777" w:rsidTr="00C10DC5">
        <w:trPr>
          <w:trHeight w:val="319"/>
        </w:trPr>
        <w:tc>
          <w:tcPr>
            <w:tcW w:w="1387" w:type="dxa"/>
            <w:tcBorders>
              <w:bottom w:val="single" w:sz="4" w:space="0" w:color="auto"/>
            </w:tcBorders>
            <w:vAlign w:val="center"/>
            <w:hideMark/>
          </w:tcPr>
          <w:p w14:paraId="7679C565" w14:textId="77777777" w:rsidR="00D656C1" w:rsidRPr="00D656C1" w:rsidRDefault="00D656C1" w:rsidP="00D656C1">
            <w:pPr>
              <w:autoSpaceDE/>
              <w:autoSpaceDN/>
              <w:adjustRightInd/>
              <w:spacing w:line="360" w:lineRule="auto"/>
              <w:ind w:firstLine="0"/>
              <w:jc w:val="center"/>
              <w:rPr>
                <w:rFonts w:eastAsia="Times New Roman"/>
                <w:b/>
                <w:lang w:eastAsia="pt-BR"/>
              </w:rPr>
            </w:pPr>
            <w:r w:rsidRPr="00D656C1">
              <w:rPr>
                <w:rFonts w:cstheme="minorBidi"/>
                <w:b/>
                <w:color w:val="000000" w:themeColor="text1"/>
                <w:szCs w:val="22"/>
              </w:rPr>
              <w:t>Prog. Apl.</w:t>
            </w:r>
          </w:p>
        </w:tc>
        <w:tc>
          <w:tcPr>
            <w:tcW w:w="1882" w:type="dxa"/>
            <w:tcBorders>
              <w:bottom w:val="single" w:sz="4" w:space="0" w:color="auto"/>
            </w:tcBorders>
            <w:vAlign w:val="center"/>
            <w:hideMark/>
          </w:tcPr>
          <w:p w14:paraId="3896A5E2" w14:textId="77777777" w:rsidR="00D656C1" w:rsidRPr="00D656C1" w:rsidRDefault="00D656C1" w:rsidP="00D656C1">
            <w:pPr>
              <w:autoSpaceDE/>
              <w:autoSpaceDN/>
              <w:adjustRightInd/>
              <w:spacing w:line="360" w:lineRule="auto"/>
              <w:ind w:firstLine="0"/>
              <w:jc w:val="center"/>
              <w:textAlignment w:val="bottom"/>
              <w:rPr>
                <w:rFonts w:eastAsia="Times New Roman"/>
                <w:b/>
                <w:lang w:eastAsia="pt-BR"/>
              </w:rPr>
            </w:pPr>
            <w:r w:rsidRPr="00D656C1">
              <w:rPr>
                <w:rFonts w:eastAsia="Times New Roman"/>
                <w:b/>
                <w:color w:val="000000" w:themeColor="text1"/>
                <w:kern w:val="24"/>
                <w:lang w:eastAsia="pt-BR"/>
              </w:rPr>
              <w:t>17 DAP</w:t>
            </w:r>
            <w:r w:rsidRPr="00D656C1">
              <w:rPr>
                <w:rFonts w:eastAsia="Times New Roman"/>
                <w:b/>
                <w:color w:val="000000" w:themeColor="text1"/>
                <w:kern w:val="24"/>
                <w:position w:val="-7"/>
                <w:vertAlign w:val="subscript"/>
                <w:lang w:eastAsia="pt-BR"/>
              </w:rPr>
              <w:t>0</w:t>
            </w:r>
          </w:p>
        </w:tc>
        <w:tc>
          <w:tcPr>
            <w:tcW w:w="2039" w:type="dxa"/>
            <w:tcBorders>
              <w:bottom w:val="single" w:sz="4" w:space="0" w:color="auto"/>
            </w:tcBorders>
            <w:vAlign w:val="center"/>
            <w:hideMark/>
          </w:tcPr>
          <w:p w14:paraId="0666A20D" w14:textId="77777777" w:rsidR="00D656C1" w:rsidRPr="00D656C1" w:rsidRDefault="00D656C1" w:rsidP="00D656C1">
            <w:pPr>
              <w:autoSpaceDE/>
              <w:autoSpaceDN/>
              <w:adjustRightInd/>
              <w:spacing w:line="360" w:lineRule="auto"/>
              <w:ind w:firstLine="0"/>
              <w:jc w:val="center"/>
              <w:textAlignment w:val="bottom"/>
              <w:rPr>
                <w:rFonts w:eastAsia="Times New Roman"/>
                <w:b/>
                <w:lang w:eastAsia="pt-BR"/>
              </w:rPr>
            </w:pPr>
            <w:r w:rsidRPr="00D656C1">
              <w:rPr>
                <w:rFonts w:eastAsia="Times New Roman"/>
                <w:b/>
                <w:color w:val="000000" w:themeColor="text1"/>
                <w:kern w:val="24"/>
                <w:lang w:eastAsia="pt-BR"/>
              </w:rPr>
              <w:t>35 DAP</w:t>
            </w:r>
            <w:r w:rsidRPr="00D656C1">
              <w:rPr>
                <w:rFonts w:eastAsia="Times New Roman"/>
                <w:b/>
                <w:color w:val="000000" w:themeColor="text1"/>
                <w:kern w:val="24"/>
                <w:position w:val="-7"/>
                <w:vertAlign w:val="subscript"/>
                <w:lang w:eastAsia="pt-BR"/>
              </w:rPr>
              <w:t>0</w:t>
            </w:r>
          </w:p>
        </w:tc>
        <w:tc>
          <w:tcPr>
            <w:tcW w:w="1873" w:type="dxa"/>
            <w:tcBorders>
              <w:bottom w:val="single" w:sz="4" w:space="0" w:color="auto"/>
            </w:tcBorders>
            <w:vAlign w:val="center"/>
            <w:hideMark/>
          </w:tcPr>
          <w:p w14:paraId="2A63831F" w14:textId="77777777" w:rsidR="00D656C1" w:rsidRPr="00D656C1" w:rsidRDefault="00D656C1" w:rsidP="00D656C1">
            <w:pPr>
              <w:autoSpaceDE/>
              <w:autoSpaceDN/>
              <w:adjustRightInd/>
              <w:spacing w:line="360" w:lineRule="auto"/>
              <w:ind w:firstLine="0"/>
              <w:jc w:val="center"/>
              <w:textAlignment w:val="bottom"/>
              <w:rPr>
                <w:rFonts w:eastAsia="Times New Roman"/>
                <w:b/>
                <w:lang w:eastAsia="pt-BR"/>
              </w:rPr>
            </w:pPr>
            <w:r w:rsidRPr="00D656C1">
              <w:rPr>
                <w:rFonts w:eastAsia="Times New Roman"/>
                <w:b/>
                <w:color w:val="000000" w:themeColor="text1"/>
                <w:kern w:val="24"/>
                <w:lang w:eastAsia="pt-BR"/>
              </w:rPr>
              <w:t>52 DAP</w:t>
            </w:r>
            <w:r w:rsidRPr="00D656C1">
              <w:rPr>
                <w:rFonts w:eastAsia="Times New Roman"/>
                <w:b/>
                <w:color w:val="000000" w:themeColor="text1"/>
                <w:kern w:val="24"/>
                <w:position w:val="-7"/>
                <w:vertAlign w:val="subscript"/>
                <w:lang w:eastAsia="pt-BR"/>
              </w:rPr>
              <w:t>0</w:t>
            </w:r>
          </w:p>
        </w:tc>
        <w:tc>
          <w:tcPr>
            <w:tcW w:w="1905" w:type="dxa"/>
            <w:tcBorders>
              <w:bottom w:val="single" w:sz="4" w:space="0" w:color="auto"/>
            </w:tcBorders>
            <w:vAlign w:val="center"/>
            <w:hideMark/>
          </w:tcPr>
          <w:p w14:paraId="46AA1128" w14:textId="77777777" w:rsidR="00D656C1" w:rsidRPr="00D656C1" w:rsidRDefault="00D656C1" w:rsidP="00D656C1">
            <w:pPr>
              <w:autoSpaceDE/>
              <w:autoSpaceDN/>
              <w:adjustRightInd/>
              <w:spacing w:line="360" w:lineRule="auto"/>
              <w:ind w:firstLine="0"/>
              <w:jc w:val="center"/>
              <w:textAlignment w:val="bottom"/>
              <w:rPr>
                <w:rFonts w:eastAsia="Times New Roman"/>
                <w:b/>
                <w:lang w:eastAsia="pt-BR"/>
              </w:rPr>
            </w:pPr>
            <w:r w:rsidRPr="00D656C1">
              <w:rPr>
                <w:rFonts w:eastAsia="Times New Roman"/>
                <w:b/>
                <w:color w:val="000000" w:themeColor="text1"/>
                <w:kern w:val="24"/>
                <w:lang w:eastAsia="pt-BR"/>
              </w:rPr>
              <w:t>Média</w:t>
            </w:r>
          </w:p>
        </w:tc>
      </w:tr>
      <w:tr w:rsidR="00D656C1" w:rsidRPr="00D656C1" w14:paraId="06440F06" w14:textId="77777777" w:rsidTr="00C10DC5">
        <w:trPr>
          <w:trHeight w:val="319"/>
        </w:trPr>
        <w:tc>
          <w:tcPr>
            <w:tcW w:w="1387" w:type="dxa"/>
            <w:tcBorders>
              <w:top w:val="single" w:sz="4" w:space="0" w:color="auto"/>
            </w:tcBorders>
            <w:vAlign w:val="center"/>
            <w:hideMark/>
          </w:tcPr>
          <w:p w14:paraId="74EFCC80"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T1</w:t>
            </w:r>
          </w:p>
        </w:tc>
        <w:tc>
          <w:tcPr>
            <w:tcW w:w="1882" w:type="dxa"/>
            <w:tcBorders>
              <w:top w:val="single" w:sz="4" w:space="0" w:color="auto"/>
            </w:tcBorders>
            <w:vAlign w:val="center"/>
            <w:hideMark/>
          </w:tcPr>
          <w:p w14:paraId="2E854CBA"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7,8 Ca</w:t>
            </w:r>
          </w:p>
        </w:tc>
        <w:tc>
          <w:tcPr>
            <w:tcW w:w="2039" w:type="dxa"/>
            <w:tcBorders>
              <w:top w:val="single" w:sz="4" w:space="0" w:color="auto"/>
            </w:tcBorders>
            <w:vAlign w:val="center"/>
            <w:hideMark/>
          </w:tcPr>
          <w:p w14:paraId="4ADD49B8"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10,0BCa</w:t>
            </w:r>
          </w:p>
        </w:tc>
        <w:tc>
          <w:tcPr>
            <w:tcW w:w="1873" w:type="dxa"/>
            <w:tcBorders>
              <w:top w:val="single" w:sz="4" w:space="0" w:color="auto"/>
            </w:tcBorders>
            <w:vAlign w:val="center"/>
            <w:hideMark/>
          </w:tcPr>
          <w:p w14:paraId="266202FE"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6,8 BCa</w:t>
            </w:r>
          </w:p>
        </w:tc>
        <w:tc>
          <w:tcPr>
            <w:tcW w:w="1905" w:type="dxa"/>
            <w:tcBorders>
              <w:top w:val="single" w:sz="4" w:space="0" w:color="auto"/>
            </w:tcBorders>
            <w:vAlign w:val="center"/>
            <w:hideMark/>
          </w:tcPr>
          <w:p w14:paraId="19199A60"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8,2 C</w:t>
            </w:r>
          </w:p>
        </w:tc>
      </w:tr>
      <w:tr w:rsidR="00D656C1" w:rsidRPr="00D656C1" w14:paraId="6ED2672F" w14:textId="77777777" w:rsidTr="00C10DC5">
        <w:trPr>
          <w:trHeight w:val="319"/>
        </w:trPr>
        <w:tc>
          <w:tcPr>
            <w:tcW w:w="1387" w:type="dxa"/>
            <w:vAlign w:val="center"/>
            <w:hideMark/>
          </w:tcPr>
          <w:p w14:paraId="7C010ADB"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T2</w:t>
            </w:r>
          </w:p>
        </w:tc>
        <w:tc>
          <w:tcPr>
            <w:tcW w:w="1882" w:type="dxa"/>
            <w:vAlign w:val="center"/>
            <w:hideMark/>
          </w:tcPr>
          <w:p w14:paraId="4F0A5DCE"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18,6 Aba</w:t>
            </w:r>
          </w:p>
        </w:tc>
        <w:tc>
          <w:tcPr>
            <w:tcW w:w="2039" w:type="dxa"/>
            <w:vAlign w:val="center"/>
            <w:hideMark/>
          </w:tcPr>
          <w:p w14:paraId="5BBD978D"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14,6 Ba</w:t>
            </w:r>
          </w:p>
        </w:tc>
        <w:tc>
          <w:tcPr>
            <w:tcW w:w="1873" w:type="dxa"/>
            <w:vAlign w:val="center"/>
            <w:hideMark/>
          </w:tcPr>
          <w:p w14:paraId="136BF5C2"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11,5 Ba</w:t>
            </w:r>
          </w:p>
        </w:tc>
        <w:tc>
          <w:tcPr>
            <w:tcW w:w="1905" w:type="dxa"/>
            <w:vAlign w:val="center"/>
            <w:hideMark/>
          </w:tcPr>
          <w:p w14:paraId="2FBFDEC8"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14,9 B</w:t>
            </w:r>
          </w:p>
        </w:tc>
      </w:tr>
      <w:tr w:rsidR="00D656C1" w:rsidRPr="00D656C1" w14:paraId="452A7056" w14:textId="77777777" w:rsidTr="00C10DC5">
        <w:trPr>
          <w:trHeight w:val="319"/>
        </w:trPr>
        <w:tc>
          <w:tcPr>
            <w:tcW w:w="1387" w:type="dxa"/>
            <w:vAlign w:val="center"/>
            <w:hideMark/>
          </w:tcPr>
          <w:p w14:paraId="18CD6FB0"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T3</w:t>
            </w:r>
          </w:p>
        </w:tc>
        <w:tc>
          <w:tcPr>
            <w:tcW w:w="1882" w:type="dxa"/>
            <w:vAlign w:val="center"/>
            <w:hideMark/>
          </w:tcPr>
          <w:p w14:paraId="1C425EEC"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12,5ABCa</w:t>
            </w:r>
          </w:p>
        </w:tc>
        <w:tc>
          <w:tcPr>
            <w:tcW w:w="2039" w:type="dxa"/>
            <w:vAlign w:val="center"/>
            <w:hideMark/>
          </w:tcPr>
          <w:p w14:paraId="39404F1D"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12,7 Ba</w:t>
            </w:r>
          </w:p>
        </w:tc>
        <w:tc>
          <w:tcPr>
            <w:tcW w:w="1873" w:type="dxa"/>
            <w:vAlign w:val="center"/>
            <w:hideMark/>
          </w:tcPr>
          <w:p w14:paraId="7327DB08"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11,2 Ba</w:t>
            </w:r>
          </w:p>
        </w:tc>
        <w:tc>
          <w:tcPr>
            <w:tcW w:w="1905" w:type="dxa"/>
            <w:vAlign w:val="center"/>
            <w:hideMark/>
          </w:tcPr>
          <w:p w14:paraId="5B0AB764"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12,1 B</w:t>
            </w:r>
          </w:p>
        </w:tc>
      </w:tr>
      <w:tr w:rsidR="00D656C1" w:rsidRPr="00D656C1" w14:paraId="3FF725B3" w14:textId="77777777" w:rsidTr="00C10DC5">
        <w:trPr>
          <w:trHeight w:val="319"/>
        </w:trPr>
        <w:tc>
          <w:tcPr>
            <w:tcW w:w="1387" w:type="dxa"/>
            <w:vAlign w:val="center"/>
            <w:hideMark/>
          </w:tcPr>
          <w:p w14:paraId="08247A7F"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T4</w:t>
            </w:r>
          </w:p>
        </w:tc>
        <w:tc>
          <w:tcPr>
            <w:tcW w:w="1882" w:type="dxa"/>
            <w:vAlign w:val="center"/>
            <w:hideMark/>
          </w:tcPr>
          <w:p w14:paraId="7A7C1926"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20,0 Ab</w:t>
            </w:r>
          </w:p>
        </w:tc>
        <w:tc>
          <w:tcPr>
            <w:tcW w:w="2039" w:type="dxa"/>
            <w:vAlign w:val="center"/>
            <w:hideMark/>
          </w:tcPr>
          <w:p w14:paraId="05DDBDCB"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40,0 Aa</w:t>
            </w:r>
          </w:p>
        </w:tc>
        <w:tc>
          <w:tcPr>
            <w:tcW w:w="1873" w:type="dxa"/>
            <w:vAlign w:val="center"/>
            <w:hideMark/>
          </w:tcPr>
          <w:p w14:paraId="26C6D94F"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32,3 Aab</w:t>
            </w:r>
          </w:p>
        </w:tc>
        <w:tc>
          <w:tcPr>
            <w:tcW w:w="1905" w:type="dxa"/>
            <w:vAlign w:val="center"/>
            <w:hideMark/>
          </w:tcPr>
          <w:p w14:paraId="358B66E5"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30,8 A</w:t>
            </w:r>
          </w:p>
        </w:tc>
      </w:tr>
      <w:tr w:rsidR="00D656C1" w:rsidRPr="00D656C1" w14:paraId="3F8C722D" w14:textId="77777777" w:rsidTr="00C10DC5">
        <w:trPr>
          <w:trHeight w:val="319"/>
        </w:trPr>
        <w:tc>
          <w:tcPr>
            <w:tcW w:w="1387" w:type="dxa"/>
            <w:vAlign w:val="center"/>
            <w:hideMark/>
          </w:tcPr>
          <w:p w14:paraId="076E1AF3"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T5</w:t>
            </w:r>
          </w:p>
        </w:tc>
        <w:tc>
          <w:tcPr>
            <w:tcW w:w="1882" w:type="dxa"/>
            <w:vAlign w:val="center"/>
            <w:hideMark/>
          </w:tcPr>
          <w:p w14:paraId="260C845E"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10,5 Bbc</w:t>
            </w:r>
          </w:p>
        </w:tc>
        <w:tc>
          <w:tcPr>
            <w:tcW w:w="2039" w:type="dxa"/>
            <w:vAlign w:val="center"/>
            <w:hideMark/>
          </w:tcPr>
          <w:p w14:paraId="493EC471"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45,7 Aa</w:t>
            </w:r>
          </w:p>
        </w:tc>
        <w:tc>
          <w:tcPr>
            <w:tcW w:w="1873" w:type="dxa"/>
            <w:vAlign w:val="center"/>
            <w:hideMark/>
          </w:tcPr>
          <w:p w14:paraId="08030908"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39,3 Aa</w:t>
            </w:r>
          </w:p>
        </w:tc>
        <w:tc>
          <w:tcPr>
            <w:tcW w:w="1905" w:type="dxa"/>
            <w:vAlign w:val="center"/>
            <w:hideMark/>
          </w:tcPr>
          <w:p w14:paraId="777E338C"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31,8 A</w:t>
            </w:r>
          </w:p>
        </w:tc>
      </w:tr>
      <w:tr w:rsidR="00D656C1" w:rsidRPr="00D656C1" w14:paraId="260927BC" w14:textId="77777777" w:rsidTr="00C10DC5">
        <w:trPr>
          <w:trHeight w:val="319"/>
        </w:trPr>
        <w:tc>
          <w:tcPr>
            <w:tcW w:w="1387" w:type="dxa"/>
            <w:vAlign w:val="center"/>
            <w:hideMark/>
          </w:tcPr>
          <w:p w14:paraId="0A050CFB"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T6</w:t>
            </w:r>
          </w:p>
        </w:tc>
        <w:tc>
          <w:tcPr>
            <w:tcW w:w="1882" w:type="dxa"/>
            <w:vAlign w:val="center"/>
            <w:hideMark/>
          </w:tcPr>
          <w:p w14:paraId="7ECFAA7C"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6,4 Ca</w:t>
            </w:r>
          </w:p>
        </w:tc>
        <w:tc>
          <w:tcPr>
            <w:tcW w:w="2039" w:type="dxa"/>
            <w:vAlign w:val="center"/>
            <w:hideMark/>
          </w:tcPr>
          <w:p w14:paraId="7FCC44D0"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4,6 Cab</w:t>
            </w:r>
          </w:p>
        </w:tc>
        <w:tc>
          <w:tcPr>
            <w:tcW w:w="1873" w:type="dxa"/>
            <w:vAlign w:val="center"/>
            <w:hideMark/>
          </w:tcPr>
          <w:p w14:paraId="5A78E3CF"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1,4 Cb</w:t>
            </w:r>
          </w:p>
        </w:tc>
        <w:tc>
          <w:tcPr>
            <w:tcW w:w="1905" w:type="dxa"/>
            <w:vAlign w:val="center"/>
            <w:hideMark/>
          </w:tcPr>
          <w:p w14:paraId="6AC86CF7"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4,1 D</w:t>
            </w:r>
          </w:p>
        </w:tc>
      </w:tr>
      <w:tr w:rsidR="00D656C1" w:rsidRPr="00D656C1" w14:paraId="46A904B2" w14:textId="77777777" w:rsidTr="00C10DC5">
        <w:trPr>
          <w:trHeight w:val="319"/>
        </w:trPr>
        <w:tc>
          <w:tcPr>
            <w:tcW w:w="1387" w:type="dxa"/>
            <w:tcBorders>
              <w:bottom w:val="single" w:sz="4" w:space="0" w:color="auto"/>
            </w:tcBorders>
            <w:vAlign w:val="center"/>
            <w:hideMark/>
          </w:tcPr>
          <w:p w14:paraId="48460F45" w14:textId="77777777" w:rsidR="00D656C1" w:rsidRPr="00D656C1" w:rsidRDefault="00D656C1" w:rsidP="00D656C1">
            <w:pPr>
              <w:autoSpaceDE/>
              <w:autoSpaceDN/>
              <w:adjustRightInd/>
              <w:spacing w:line="360" w:lineRule="auto"/>
              <w:ind w:firstLine="0"/>
              <w:jc w:val="center"/>
              <w:textAlignment w:val="bottom"/>
              <w:rPr>
                <w:rFonts w:eastAsia="Times New Roman"/>
                <w:b/>
                <w:sz w:val="20"/>
                <w:szCs w:val="20"/>
                <w:lang w:eastAsia="pt-BR"/>
              </w:rPr>
            </w:pPr>
            <w:r w:rsidRPr="00D656C1">
              <w:rPr>
                <w:rFonts w:eastAsia="Times New Roman"/>
                <w:b/>
                <w:color w:val="000000" w:themeColor="text1"/>
                <w:kern w:val="24"/>
                <w:sz w:val="20"/>
                <w:szCs w:val="20"/>
                <w:lang w:eastAsia="pt-BR"/>
              </w:rPr>
              <w:t>Média</w:t>
            </w:r>
          </w:p>
        </w:tc>
        <w:tc>
          <w:tcPr>
            <w:tcW w:w="1882" w:type="dxa"/>
            <w:tcBorders>
              <w:bottom w:val="single" w:sz="4" w:space="0" w:color="auto"/>
            </w:tcBorders>
            <w:vAlign w:val="center"/>
            <w:hideMark/>
          </w:tcPr>
          <w:p w14:paraId="42C497D8"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12,6 b</w:t>
            </w:r>
          </w:p>
        </w:tc>
        <w:tc>
          <w:tcPr>
            <w:tcW w:w="2039" w:type="dxa"/>
            <w:tcBorders>
              <w:bottom w:val="single" w:sz="4" w:space="0" w:color="auto"/>
            </w:tcBorders>
            <w:vAlign w:val="center"/>
            <w:hideMark/>
          </w:tcPr>
          <w:p w14:paraId="0B0201C7"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21,2 a</w:t>
            </w:r>
          </w:p>
        </w:tc>
        <w:tc>
          <w:tcPr>
            <w:tcW w:w="1873" w:type="dxa"/>
            <w:tcBorders>
              <w:bottom w:val="single" w:sz="4" w:space="0" w:color="auto"/>
            </w:tcBorders>
            <w:vAlign w:val="center"/>
            <w:hideMark/>
          </w:tcPr>
          <w:p w14:paraId="670AEDA2"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17,1 b</w:t>
            </w:r>
          </w:p>
        </w:tc>
        <w:tc>
          <w:tcPr>
            <w:tcW w:w="1905" w:type="dxa"/>
            <w:tcBorders>
              <w:bottom w:val="single" w:sz="4" w:space="0" w:color="auto"/>
            </w:tcBorders>
            <w:vAlign w:val="center"/>
            <w:hideMark/>
          </w:tcPr>
          <w:p w14:paraId="294B3E7D"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17,0 B</w:t>
            </w:r>
          </w:p>
        </w:tc>
      </w:tr>
      <w:tr w:rsidR="00D656C1" w:rsidRPr="00D656C1" w14:paraId="6954C300" w14:textId="77777777" w:rsidTr="00C10DC5">
        <w:trPr>
          <w:trHeight w:val="319"/>
        </w:trPr>
        <w:tc>
          <w:tcPr>
            <w:tcW w:w="1387" w:type="dxa"/>
            <w:tcBorders>
              <w:top w:val="single" w:sz="4" w:space="0" w:color="auto"/>
              <w:bottom w:val="single" w:sz="4" w:space="0" w:color="auto"/>
            </w:tcBorders>
            <w:vAlign w:val="center"/>
            <w:hideMark/>
          </w:tcPr>
          <w:p w14:paraId="5D25FED9" w14:textId="77777777" w:rsidR="00D656C1" w:rsidRPr="00D656C1" w:rsidRDefault="00D656C1" w:rsidP="00D656C1">
            <w:pPr>
              <w:autoSpaceDE/>
              <w:autoSpaceDN/>
              <w:adjustRightInd/>
              <w:spacing w:line="360" w:lineRule="auto"/>
              <w:ind w:firstLine="0"/>
              <w:jc w:val="center"/>
              <w:textAlignment w:val="bottom"/>
              <w:rPr>
                <w:rFonts w:eastAsia="Times New Roman"/>
                <w:b/>
                <w:sz w:val="20"/>
                <w:szCs w:val="20"/>
                <w:lang w:eastAsia="pt-BR"/>
              </w:rPr>
            </w:pPr>
            <w:r w:rsidRPr="00D656C1">
              <w:rPr>
                <w:rFonts w:eastAsia="Times New Roman"/>
                <w:b/>
                <w:color w:val="000000" w:themeColor="text1"/>
                <w:kern w:val="24"/>
                <w:sz w:val="20"/>
                <w:szCs w:val="20"/>
                <w:lang w:eastAsia="pt-BR"/>
              </w:rPr>
              <w:t>CV (%)</w:t>
            </w:r>
          </w:p>
        </w:tc>
        <w:tc>
          <w:tcPr>
            <w:tcW w:w="1882" w:type="dxa"/>
            <w:tcBorders>
              <w:top w:val="single" w:sz="4" w:space="0" w:color="auto"/>
              <w:bottom w:val="single" w:sz="4" w:space="0" w:color="auto"/>
            </w:tcBorders>
            <w:vAlign w:val="center"/>
            <w:hideMark/>
          </w:tcPr>
          <w:p w14:paraId="15AEB10A" w14:textId="77777777" w:rsidR="00D656C1" w:rsidRPr="00D656C1" w:rsidRDefault="00D656C1" w:rsidP="00D656C1">
            <w:pPr>
              <w:autoSpaceDE/>
              <w:autoSpaceDN/>
              <w:adjustRightInd/>
              <w:spacing w:line="360" w:lineRule="auto"/>
              <w:ind w:firstLine="0"/>
              <w:jc w:val="center"/>
              <w:textAlignment w:val="bottom"/>
              <w:rPr>
                <w:rFonts w:eastAsia="Times New Roman"/>
                <w:sz w:val="20"/>
                <w:szCs w:val="20"/>
                <w:lang w:eastAsia="pt-BR"/>
              </w:rPr>
            </w:pPr>
            <w:r w:rsidRPr="00D656C1">
              <w:rPr>
                <w:rFonts w:eastAsia="Times New Roman"/>
                <w:color w:val="000000" w:themeColor="text1"/>
                <w:kern w:val="24"/>
                <w:sz w:val="20"/>
                <w:szCs w:val="20"/>
                <w:lang w:eastAsia="pt-BR"/>
              </w:rPr>
              <w:t>24,18</w:t>
            </w:r>
          </w:p>
        </w:tc>
        <w:tc>
          <w:tcPr>
            <w:tcW w:w="2039" w:type="dxa"/>
            <w:tcBorders>
              <w:top w:val="single" w:sz="4" w:space="0" w:color="auto"/>
              <w:bottom w:val="single" w:sz="4" w:space="0" w:color="auto"/>
            </w:tcBorders>
            <w:vAlign w:val="center"/>
            <w:hideMark/>
          </w:tcPr>
          <w:p w14:paraId="69CA76D1" w14:textId="77777777" w:rsidR="00D656C1" w:rsidRPr="00D656C1" w:rsidRDefault="00D656C1" w:rsidP="00D656C1">
            <w:pPr>
              <w:autoSpaceDE/>
              <w:autoSpaceDN/>
              <w:adjustRightInd/>
              <w:spacing w:line="360" w:lineRule="auto"/>
              <w:ind w:firstLine="0"/>
              <w:jc w:val="center"/>
              <w:rPr>
                <w:rFonts w:eastAsia="Times New Roman"/>
                <w:sz w:val="20"/>
                <w:szCs w:val="20"/>
                <w:lang w:eastAsia="pt-BR"/>
              </w:rPr>
            </w:pPr>
          </w:p>
        </w:tc>
        <w:tc>
          <w:tcPr>
            <w:tcW w:w="1873" w:type="dxa"/>
            <w:tcBorders>
              <w:top w:val="single" w:sz="4" w:space="0" w:color="auto"/>
              <w:bottom w:val="single" w:sz="4" w:space="0" w:color="auto"/>
            </w:tcBorders>
            <w:vAlign w:val="center"/>
            <w:hideMark/>
          </w:tcPr>
          <w:p w14:paraId="173D13E2" w14:textId="77777777" w:rsidR="00D656C1" w:rsidRPr="00D656C1" w:rsidRDefault="00D656C1" w:rsidP="00D656C1">
            <w:pPr>
              <w:autoSpaceDE/>
              <w:autoSpaceDN/>
              <w:adjustRightInd/>
              <w:spacing w:line="360" w:lineRule="auto"/>
              <w:ind w:firstLine="0"/>
              <w:jc w:val="center"/>
              <w:rPr>
                <w:rFonts w:eastAsia="Times New Roman"/>
                <w:sz w:val="20"/>
                <w:szCs w:val="20"/>
                <w:lang w:eastAsia="pt-BR"/>
              </w:rPr>
            </w:pPr>
          </w:p>
        </w:tc>
        <w:tc>
          <w:tcPr>
            <w:tcW w:w="1905" w:type="dxa"/>
            <w:tcBorders>
              <w:top w:val="single" w:sz="4" w:space="0" w:color="auto"/>
              <w:bottom w:val="single" w:sz="4" w:space="0" w:color="auto"/>
            </w:tcBorders>
            <w:vAlign w:val="center"/>
            <w:hideMark/>
          </w:tcPr>
          <w:p w14:paraId="1D30846B" w14:textId="77777777" w:rsidR="00D656C1" w:rsidRPr="00D656C1" w:rsidRDefault="00D656C1" w:rsidP="00D656C1">
            <w:pPr>
              <w:autoSpaceDE/>
              <w:autoSpaceDN/>
              <w:adjustRightInd/>
              <w:spacing w:line="360" w:lineRule="auto"/>
              <w:ind w:firstLine="0"/>
              <w:jc w:val="center"/>
              <w:rPr>
                <w:rFonts w:eastAsia="Times New Roman"/>
                <w:sz w:val="20"/>
                <w:szCs w:val="20"/>
                <w:lang w:eastAsia="pt-BR"/>
              </w:rPr>
            </w:pPr>
          </w:p>
        </w:tc>
      </w:tr>
    </w:tbl>
    <w:p w14:paraId="73C9D7CD" w14:textId="77777777" w:rsidR="00D656C1" w:rsidRPr="00D656C1" w:rsidRDefault="00D656C1" w:rsidP="003F6D94">
      <w:pPr>
        <w:tabs>
          <w:tab w:val="left" w:pos="284"/>
        </w:tabs>
        <w:autoSpaceDE/>
        <w:autoSpaceDN/>
        <w:adjustRightInd/>
        <w:spacing w:after="0" w:line="240" w:lineRule="auto"/>
        <w:ind w:right="566" w:firstLine="0"/>
        <w:rPr>
          <w:color w:val="000000" w:themeColor="text1"/>
          <w:sz w:val="16"/>
          <w:szCs w:val="16"/>
        </w:rPr>
      </w:pPr>
      <w:r w:rsidRPr="00D656C1">
        <w:rPr>
          <w:color w:val="000000" w:themeColor="text1"/>
          <w:sz w:val="16"/>
          <w:szCs w:val="16"/>
        </w:rPr>
        <w:t>*Médias seguidas de letras minúsculas igual na linha não diferem estatisticamente entre si, e média seguidas de letras e maiúsculas diferentes na coluna diferem estatisticamente entre si.</w:t>
      </w:r>
    </w:p>
    <w:p w14:paraId="2168B688" w14:textId="77777777" w:rsidR="00D656C1" w:rsidRPr="00D656C1" w:rsidRDefault="00D656C1" w:rsidP="00C10DC5">
      <w:pPr>
        <w:autoSpaceDE/>
        <w:autoSpaceDN/>
        <w:adjustRightInd/>
        <w:spacing w:after="0" w:line="240" w:lineRule="auto"/>
        <w:ind w:right="140" w:firstLine="0"/>
        <w:rPr>
          <w:color w:val="000000" w:themeColor="text1"/>
          <w:kern w:val="24"/>
          <w:sz w:val="16"/>
          <w:szCs w:val="16"/>
        </w:rPr>
      </w:pPr>
      <w:r w:rsidRPr="00D656C1">
        <w:rPr>
          <w:color w:val="000000" w:themeColor="text1"/>
          <w:sz w:val="16"/>
          <w:szCs w:val="16"/>
        </w:rPr>
        <w:t xml:space="preserve">Momentos de coleta: </w:t>
      </w:r>
      <w:r w:rsidRPr="00D656C1">
        <w:rPr>
          <w:rFonts w:eastAsia="Times New Roman"/>
          <w:color w:val="000000" w:themeColor="text1"/>
          <w:kern w:val="24"/>
          <w:sz w:val="16"/>
          <w:szCs w:val="16"/>
          <w:lang w:eastAsia="pt-BR"/>
        </w:rPr>
        <w:t>17 DAP</w:t>
      </w:r>
      <w:r w:rsidRPr="00D656C1">
        <w:rPr>
          <w:rFonts w:eastAsia="Times New Roman"/>
          <w:color w:val="000000" w:themeColor="text1"/>
          <w:kern w:val="24"/>
          <w:position w:val="-7"/>
          <w:sz w:val="16"/>
          <w:szCs w:val="16"/>
          <w:vertAlign w:val="subscript"/>
          <w:lang w:eastAsia="pt-BR"/>
        </w:rPr>
        <w:t>0</w:t>
      </w:r>
      <w:r w:rsidRPr="00D656C1">
        <w:rPr>
          <w:color w:val="000000" w:themeColor="text1"/>
          <w:sz w:val="16"/>
          <w:szCs w:val="16"/>
        </w:rPr>
        <w:t>- 17 dias após a detecção do fungo (</w:t>
      </w:r>
      <w:r w:rsidRPr="00D656C1">
        <w:rPr>
          <w:rFonts w:eastAsia="Times New Roman"/>
          <w:color w:val="000000" w:themeColor="text1"/>
          <w:kern w:val="24"/>
          <w:sz w:val="16"/>
          <w:szCs w:val="16"/>
          <w:lang w:eastAsia="pt-BR"/>
        </w:rPr>
        <w:t>P</w:t>
      </w:r>
      <w:r w:rsidRPr="00D656C1">
        <w:rPr>
          <w:rFonts w:eastAsia="Times New Roman"/>
          <w:color w:val="000000" w:themeColor="text1"/>
          <w:kern w:val="24"/>
          <w:position w:val="-7"/>
          <w:sz w:val="16"/>
          <w:szCs w:val="16"/>
          <w:vertAlign w:val="subscript"/>
          <w:lang w:eastAsia="pt-BR"/>
        </w:rPr>
        <w:t>0</w:t>
      </w:r>
      <w:r w:rsidRPr="00D656C1">
        <w:rPr>
          <w:color w:val="000000" w:themeColor="text1"/>
          <w:sz w:val="16"/>
          <w:szCs w:val="16"/>
        </w:rPr>
        <w:t xml:space="preserve">); </w:t>
      </w:r>
      <w:r w:rsidRPr="00D656C1">
        <w:rPr>
          <w:rFonts w:eastAsia="Times New Roman"/>
          <w:color w:val="000000" w:themeColor="text1"/>
          <w:kern w:val="24"/>
          <w:sz w:val="16"/>
          <w:szCs w:val="16"/>
          <w:lang w:eastAsia="pt-BR"/>
        </w:rPr>
        <w:t>35 DAP</w:t>
      </w:r>
      <w:r w:rsidRPr="00D656C1">
        <w:rPr>
          <w:rFonts w:eastAsia="Times New Roman"/>
          <w:color w:val="000000" w:themeColor="text1"/>
          <w:kern w:val="24"/>
          <w:position w:val="-7"/>
          <w:sz w:val="16"/>
          <w:szCs w:val="16"/>
          <w:vertAlign w:val="subscript"/>
          <w:lang w:eastAsia="pt-BR"/>
        </w:rPr>
        <w:t>0</w:t>
      </w:r>
      <w:r w:rsidRPr="00D656C1">
        <w:rPr>
          <w:color w:val="000000" w:themeColor="text1"/>
          <w:sz w:val="16"/>
          <w:szCs w:val="16"/>
        </w:rPr>
        <w:t>- 35 dias após a detecção do fungo (</w:t>
      </w:r>
      <w:r w:rsidRPr="00D656C1">
        <w:rPr>
          <w:rFonts w:eastAsia="Times New Roman"/>
          <w:color w:val="000000" w:themeColor="text1"/>
          <w:kern w:val="24"/>
          <w:sz w:val="16"/>
          <w:szCs w:val="16"/>
          <w:lang w:eastAsia="pt-BR"/>
        </w:rPr>
        <w:t>P</w:t>
      </w:r>
      <w:r w:rsidRPr="00D656C1">
        <w:rPr>
          <w:rFonts w:eastAsia="Times New Roman"/>
          <w:color w:val="000000" w:themeColor="text1"/>
          <w:kern w:val="24"/>
          <w:position w:val="-7"/>
          <w:sz w:val="16"/>
          <w:szCs w:val="16"/>
          <w:vertAlign w:val="subscript"/>
          <w:lang w:eastAsia="pt-BR"/>
        </w:rPr>
        <w:t>0</w:t>
      </w:r>
      <w:r w:rsidRPr="00D656C1">
        <w:rPr>
          <w:color w:val="000000" w:themeColor="text1"/>
          <w:sz w:val="16"/>
          <w:szCs w:val="16"/>
        </w:rPr>
        <w:t xml:space="preserve">); </w:t>
      </w:r>
      <w:r w:rsidRPr="00D656C1">
        <w:rPr>
          <w:rFonts w:eastAsia="Times New Roman"/>
          <w:color w:val="000000" w:themeColor="text1"/>
          <w:kern w:val="24"/>
          <w:sz w:val="16"/>
          <w:szCs w:val="16"/>
          <w:lang w:eastAsia="pt-BR"/>
        </w:rPr>
        <w:t>52 DAP</w:t>
      </w:r>
      <w:r w:rsidRPr="00D656C1">
        <w:rPr>
          <w:rFonts w:eastAsia="Times New Roman"/>
          <w:color w:val="000000" w:themeColor="text1"/>
          <w:kern w:val="24"/>
          <w:position w:val="-7"/>
          <w:sz w:val="16"/>
          <w:szCs w:val="16"/>
          <w:vertAlign w:val="subscript"/>
          <w:lang w:eastAsia="pt-BR"/>
        </w:rPr>
        <w:t>0</w:t>
      </w:r>
      <w:r w:rsidRPr="00D656C1">
        <w:rPr>
          <w:color w:val="000000" w:themeColor="text1"/>
          <w:sz w:val="16"/>
          <w:szCs w:val="16"/>
        </w:rPr>
        <w:t>- 52 dias após a detecção do fungo (</w:t>
      </w:r>
      <w:r w:rsidRPr="00D656C1">
        <w:rPr>
          <w:rFonts w:eastAsia="Times New Roman"/>
          <w:color w:val="000000" w:themeColor="text1"/>
          <w:kern w:val="24"/>
          <w:sz w:val="16"/>
          <w:szCs w:val="16"/>
          <w:lang w:eastAsia="pt-BR"/>
        </w:rPr>
        <w:t>P</w:t>
      </w:r>
      <w:r w:rsidRPr="00D656C1">
        <w:rPr>
          <w:rFonts w:eastAsia="Times New Roman"/>
          <w:color w:val="000000" w:themeColor="text1"/>
          <w:kern w:val="24"/>
          <w:position w:val="-7"/>
          <w:sz w:val="16"/>
          <w:szCs w:val="16"/>
          <w:vertAlign w:val="subscript"/>
          <w:lang w:eastAsia="pt-BR"/>
        </w:rPr>
        <w:t>0</w:t>
      </w:r>
      <w:r w:rsidRPr="00D656C1">
        <w:rPr>
          <w:color w:val="000000" w:themeColor="text1"/>
          <w:sz w:val="16"/>
          <w:szCs w:val="16"/>
        </w:rPr>
        <w:t xml:space="preserve">). Tratamentos: </w:t>
      </w:r>
      <w:r w:rsidRPr="00D656C1">
        <w:rPr>
          <w:rFonts w:eastAsiaTheme="minorEastAsia"/>
          <w:color w:val="000000" w:themeColor="text1"/>
          <w:kern w:val="24"/>
          <w:sz w:val="16"/>
          <w:szCs w:val="16"/>
        </w:rPr>
        <w:t xml:space="preserve">T1) Testemunha sem aplicação de carboxamida, </w:t>
      </w:r>
      <w:r w:rsidRPr="00D656C1">
        <w:rPr>
          <w:color w:val="000000" w:themeColor="text1"/>
          <w:kern w:val="24"/>
          <w:sz w:val="16"/>
          <w:szCs w:val="16"/>
        </w:rPr>
        <w:t>(primeira e terceira aplicação de trifloxistrobina + protioconazole; segunda e quarta aplicação picoxistrobina + tebuconazole)</w:t>
      </w:r>
      <w:r w:rsidRPr="00D656C1">
        <w:rPr>
          <w:rFonts w:eastAsiaTheme="minorEastAsia"/>
          <w:color w:val="000000" w:themeColor="text1"/>
          <w:kern w:val="24"/>
          <w:sz w:val="16"/>
          <w:szCs w:val="16"/>
        </w:rPr>
        <w:t>; T2) Primeira aplicação da</w:t>
      </w:r>
      <w:r w:rsidRPr="00D656C1">
        <w:rPr>
          <w:color w:val="000000" w:themeColor="text1"/>
          <w:kern w:val="24"/>
          <w:sz w:val="16"/>
          <w:szCs w:val="16"/>
        </w:rPr>
        <w:t xml:space="preserve"> carboxamida 1 (fluxapyroxada + piraclostrobina)</w:t>
      </w:r>
      <w:r w:rsidRPr="00D656C1">
        <w:rPr>
          <w:rFonts w:eastAsiaTheme="minorEastAsia"/>
          <w:color w:val="000000" w:themeColor="text1"/>
          <w:kern w:val="24"/>
          <w:sz w:val="16"/>
          <w:szCs w:val="16"/>
        </w:rPr>
        <w:t xml:space="preserve">; T3) Primeira e segunda aplicações </w:t>
      </w:r>
      <w:r w:rsidRPr="00D656C1">
        <w:rPr>
          <w:color w:val="000000" w:themeColor="text1"/>
          <w:kern w:val="24"/>
          <w:sz w:val="16"/>
          <w:szCs w:val="16"/>
        </w:rPr>
        <w:t>da carboxamida 1 (fluxapyroxada + piraclostrobina)</w:t>
      </w:r>
      <w:r w:rsidRPr="00D656C1">
        <w:rPr>
          <w:rFonts w:eastAsiaTheme="minorEastAsia"/>
          <w:color w:val="000000" w:themeColor="text1"/>
          <w:kern w:val="24"/>
          <w:sz w:val="16"/>
          <w:szCs w:val="16"/>
        </w:rPr>
        <w:t xml:space="preserve">; T4) Primeira aplicação </w:t>
      </w:r>
      <w:r w:rsidRPr="00D656C1">
        <w:rPr>
          <w:color w:val="000000" w:themeColor="text1"/>
          <w:kern w:val="24"/>
          <w:sz w:val="16"/>
          <w:szCs w:val="16"/>
        </w:rPr>
        <w:t xml:space="preserve">da carboxamida 2 </w:t>
      </w:r>
      <w:r w:rsidRPr="00D656C1">
        <w:rPr>
          <w:kern w:val="24"/>
          <w:sz w:val="16"/>
          <w:szCs w:val="16"/>
        </w:rPr>
        <w:t>(</w:t>
      </w:r>
      <w:r w:rsidRPr="00D656C1">
        <w:rPr>
          <w:sz w:val="16"/>
          <w:szCs w:val="16"/>
        </w:rPr>
        <w:t>benzovindiflupyr + azoxistrobina</w:t>
      </w:r>
      <w:r w:rsidRPr="00D656C1">
        <w:rPr>
          <w:kern w:val="24"/>
          <w:sz w:val="16"/>
          <w:szCs w:val="16"/>
        </w:rPr>
        <w:t>)</w:t>
      </w:r>
      <w:r w:rsidRPr="00D656C1">
        <w:rPr>
          <w:rFonts w:eastAsiaTheme="minorEastAsia"/>
          <w:kern w:val="24"/>
          <w:sz w:val="16"/>
          <w:szCs w:val="16"/>
        </w:rPr>
        <w:t xml:space="preserve">; T5) Primeira e segunda aplicações </w:t>
      </w:r>
      <w:r w:rsidRPr="00D656C1">
        <w:rPr>
          <w:kern w:val="24"/>
          <w:sz w:val="16"/>
          <w:szCs w:val="16"/>
        </w:rPr>
        <w:t>da carboxamida 2 (</w:t>
      </w:r>
      <w:r w:rsidRPr="00D656C1">
        <w:rPr>
          <w:sz w:val="16"/>
          <w:szCs w:val="16"/>
        </w:rPr>
        <w:t>benzovindiflupyr + azoxistrobina</w:t>
      </w:r>
      <w:r w:rsidRPr="00D656C1">
        <w:rPr>
          <w:kern w:val="24"/>
          <w:sz w:val="16"/>
          <w:szCs w:val="16"/>
        </w:rPr>
        <w:t>)</w:t>
      </w:r>
      <w:r w:rsidRPr="00D656C1">
        <w:rPr>
          <w:color w:val="000000" w:themeColor="text1"/>
          <w:kern w:val="24"/>
          <w:sz w:val="16"/>
          <w:szCs w:val="16"/>
        </w:rPr>
        <w:t>; T6) Testemunha sem aplicação de fungicida.</w:t>
      </w:r>
    </w:p>
    <w:p w14:paraId="1A3C8F95" w14:textId="77777777" w:rsidR="00D916D0" w:rsidRPr="00B7238F" w:rsidRDefault="00D916D0" w:rsidP="003F6D94">
      <w:pPr>
        <w:spacing w:after="0" w:line="360" w:lineRule="auto"/>
        <w:ind w:firstLine="0"/>
      </w:pPr>
    </w:p>
    <w:p w14:paraId="7AAB79D6" w14:textId="77777777" w:rsidR="00F22FC3" w:rsidRDefault="00872CAA" w:rsidP="003F6D94">
      <w:pPr>
        <w:pStyle w:val="Default"/>
        <w:spacing w:line="360" w:lineRule="auto"/>
        <w:ind w:firstLine="708"/>
        <w:jc w:val="both"/>
        <w:rPr>
          <w:color w:val="000000" w:themeColor="text1"/>
          <w:vertAlign w:val="subscript"/>
          <w:lang w:val="pt-BR"/>
        </w:rPr>
      </w:pPr>
      <w:r w:rsidRPr="00B7238F">
        <w:rPr>
          <w:color w:val="000000" w:themeColor="text1"/>
          <w:lang w:val="pt-BR"/>
        </w:rPr>
        <w:t>Os tratamentos com aplicações de carboxamidas (T</w:t>
      </w:r>
      <w:r w:rsidR="0052760B" w:rsidRPr="00B7238F">
        <w:rPr>
          <w:color w:val="000000" w:themeColor="text1"/>
          <w:lang w:val="pt-BR"/>
        </w:rPr>
        <w:t>2, T3, T4, T5</w:t>
      </w:r>
      <w:r w:rsidRPr="00B7238F">
        <w:rPr>
          <w:color w:val="000000" w:themeColor="text1"/>
          <w:lang w:val="pt-BR"/>
        </w:rPr>
        <w:t>) apresentaram valores de frequência d</w:t>
      </w:r>
      <w:r w:rsidR="0052760B" w:rsidRPr="00B7238F">
        <w:rPr>
          <w:color w:val="000000" w:themeColor="text1"/>
          <w:lang w:val="pt-BR"/>
        </w:rPr>
        <w:t>a mutação superiores estatisticamente ao tratamento testemunha</w:t>
      </w:r>
      <w:r w:rsidR="007D6612" w:rsidRPr="00B7238F">
        <w:rPr>
          <w:color w:val="000000" w:themeColor="text1"/>
          <w:lang w:val="pt-BR"/>
        </w:rPr>
        <w:t xml:space="preserve"> sem aplicação de fungicidas</w:t>
      </w:r>
      <w:r w:rsidR="0052760B" w:rsidRPr="00B7238F">
        <w:rPr>
          <w:color w:val="000000" w:themeColor="text1"/>
          <w:lang w:val="pt-BR"/>
        </w:rPr>
        <w:t xml:space="preserve"> (T6) nas avaliações realizadas aos </w:t>
      </w:r>
      <w:r w:rsidR="007D6612" w:rsidRPr="00B7238F">
        <w:rPr>
          <w:color w:val="000000" w:themeColor="text1"/>
          <w:lang w:val="pt-BR"/>
        </w:rPr>
        <w:t>35</w:t>
      </w:r>
      <w:r w:rsidR="0052760B" w:rsidRPr="00B7238F">
        <w:rPr>
          <w:color w:val="000000" w:themeColor="text1"/>
          <w:lang w:val="pt-BR"/>
        </w:rPr>
        <w:t xml:space="preserve"> DAP</w:t>
      </w:r>
      <w:r w:rsidR="0052760B" w:rsidRPr="00B7238F">
        <w:rPr>
          <w:color w:val="000000" w:themeColor="text1"/>
          <w:vertAlign w:val="subscript"/>
          <w:lang w:val="pt-BR"/>
        </w:rPr>
        <w:t>0</w:t>
      </w:r>
      <w:r w:rsidR="0052760B" w:rsidRPr="00B7238F">
        <w:rPr>
          <w:color w:val="000000" w:themeColor="text1"/>
          <w:lang w:val="pt-BR"/>
        </w:rPr>
        <w:t xml:space="preserve">, </w:t>
      </w:r>
      <w:r w:rsidR="007D6612" w:rsidRPr="00B7238F">
        <w:rPr>
          <w:color w:val="000000" w:themeColor="text1"/>
          <w:lang w:val="pt-BR"/>
        </w:rPr>
        <w:t>52</w:t>
      </w:r>
      <w:r w:rsidR="0052760B" w:rsidRPr="00B7238F">
        <w:rPr>
          <w:color w:val="000000" w:themeColor="text1"/>
          <w:lang w:val="pt-BR"/>
        </w:rPr>
        <w:t xml:space="preserve"> DAP</w:t>
      </w:r>
      <w:r w:rsidR="0052760B" w:rsidRPr="00B7238F">
        <w:rPr>
          <w:color w:val="000000" w:themeColor="text1"/>
          <w:vertAlign w:val="subscript"/>
          <w:lang w:val="pt-BR"/>
        </w:rPr>
        <w:t xml:space="preserve">0 </w:t>
      </w:r>
      <w:r w:rsidR="0052760B" w:rsidRPr="00B7238F">
        <w:rPr>
          <w:color w:val="000000" w:themeColor="text1"/>
          <w:lang w:val="pt-BR"/>
        </w:rPr>
        <w:t xml:space="preserve">e na média de todos os momentos (Tabela 19). Apenas o tratamento com duas aplicações de piraclostrobina + fluxapyroxada (T3) não diferiu de </w:t>
      </w:r>
      <w:r w:rsidR="007D6612" w:rsidRPr="00B7238F">
        <w:rPr>
          <w:color w:val="000000" w:themeColor="text1"/>
          <w:lang w:val="pt-BR"/>
        </w:rPr>
        <w:t xml:space="preserve">T1 e </w:t>
      </w:r>
      <w:r w:rsidR="0052760B" w:rsidRPr="00B7238F">
        <w:rPr>
          <w:color w:val="000000" w:themeColor="text1"/>
          <w:lang w:val="pt-BR"/>
        </w:rPr>
        <w:t>T6 na avaliação realizada aos 14 DAP</w:t>
      </w:r>
      <w:r w:rsidR="0052760B" w:rsidRPr="00B7238F">
        <w:rPr>
          <w:color w:val="000000" w:themeColor="text1"/>
          <w:vertAlign w:val="subscript"/>
          <w:lang w:val="pt-BR"/>
        </w:rPr>
        <w:t xml:space="preserve">0 </w:t>
      </w:r>
      <w:r w:rsidR="0052760B" w:rsidRPr="00B7238F">
        <w:rPr>
          <w:color w:val="000000" w:themeColor="text1"/>
          <w:lang w:val="pt-BR"/>
        </w:rPr>
        <w:t>(Tabela 19)</w:t>
      </w:r>
      <w:r w:rsidR="0052760B" w:rsidRPr="00B7238F">
        <w:rPr>
          <w:color w:val="000000" w:themeColor="text1"/>
          <w:vertAlign w:val="subscript"/>
          <w:lang w:val="pt-BR"/>
        </w:rPr>
        <w:t xml:space="preserve">. </w:t>
      </w:r>
      <w:r w:rsidR="007D6612" w:rsidRPr="00B7238F">
        <w:rPr>
          <w:color w:val="000000" w:themeColor="text1"/>
          <w:lang w:val="pt-BR"/>
        </w:rPr>
        <w:t xml:space="preserve">A testemunha com aplicação de misturas de fungicidas </w:t>
      </w:r>
      <w:r w:rsidR="00AC0ECA" w:rsidRPr="00B7238F">
        <w:rPr>
          <w:color w:val="000000" w:themeColor="text1"/>
          <w:lang w:val="pt-BR"/>
        </w:rPr>
        <w:t>estrobilurina + triazol/triazolinthione (T1) não diferiu dos tratamentos com uma (T2) ou duas (T3) aplicações de piraclostrobina + fluxapyroxada nas observações realizadas aos 35 DAP</w:t>
      </w:r>
      <w:r w:rsidR="00AC0ECA" w:rsidRPr="00B7238F">
        <w:rPr>
          <w:color w:val="000000" w:themeColor="text1"/>
          <w:vertAlign w:val="subscript"/>
          <w:lang w:val="pt-BR"/>
        </w:rPr>
        <w:t>0</w:t>
      </w:r>
      <w:r w:rsidR="00AC0ECA" w:rsidRPr="00B7238F">
        <w:rPr>
          <w:color w:val="000000" w:themeColor="text1"/>
          <w:lang w:val="pt-BR"/>
        </w:rPr>
        <w:t xml:space="preserve"> e 52 DAP</w:t>
      </w:r>
      <w:r w:rsidR="00AC0ECA" w:rsidRPr="00B7238F">
        <w:rPr>
          <w:color w:val="000000" w:themeColor="text1"/>
          <w:vertAlign w:val="subscript"/>
          <w:lang w:val="pt-BR"/>
        </w:rPr>
        <w:t>0</w:t>
      </w:r>
      <w:r w:rsidR="00B14E29" w:rsidRPr="00B7238F">
        <w:rPr>
          <w:color w:val="000000" w:themeColor="text1"/>
          <w:lang w:val="pt-BR"/>
        </w:rPr>
        <w:t xml:space="preserve"> (Tabela 19)</w:t>
      </w:r>
      <w:r w:rsidR="00B14E29" w:rsidRPr="00B7238F">
        <w:rPr>
          <w:color w:val="000000" w:themeColor="text1"/>
          <w:vertAlign w:val="subscript"/>
          <w:lang w:val="pt-BR"/>
        </w:rPr>
        <w:t>.</w:t>
      </w:r>
    </w:p>
    <w:p w14:paraId="5651892B" w14:textId="76A38829" w:rsidR="0052760B" w:rsidRPr="00B7238F" w:rsidRDefault="0052760B" w:rsidP="003F6D94">
      <w:pPr>
        <w:pStyle w:val="Default"/>
        <w:spacing w:line="360" w:lineRule="auto"/>
        <w:ind w:firstLine="708"/>
        <w:jc w:val="both"/>
        <w:rPr>
          <w:color w:val="000000" w:themeColor="text1"/>
          <w:vertAlign w:val="subscript"/>
          <w:lang w:val="pt-BR"/>
        </w:rPr>
      </w:pPr>
      <w:r w:rsidRPr="00B7238F">
        <w:rPr>
          <w:color w:val="000000" w:themeColor="text1"/>
          <w:lang w:val="pt-BR"/>
        </w:rPr>
        <w:t xml:space="preserve">Foram observados maiores valores da mutação I86F em populações de </w:t>
      </w:r>
      <w:r w:rsidRPr="00B7238F">
        <w:rPr>
          <w:i/>
          <w:color w:val="000000" w:themeColor="text1"/>
          <w:lang w:val="pt-BR"/>
        </w:rPr>
        <w:t xml:space="preserve">P. pachyrhizi </w:t>
      </w:r>
      <w:r w:rsidRPr="00B7238F">
        <w:rPr>
          <w:color w:val="000000" w:themeColor="text1"/>
          <w:lang w:val="pt-BR"/>
        </w:rPr>
        <w:t>avaliadas aos 35 DA</w:t>
      </w:r>
      <w:r w:rsidR="007E2667" w:rsidRPr="00B7238F">
        <w:rPr>
          <w:color w:val="000000" w:themeColor="text1"/>
          <w:lang w:val="pt-BR"/>
        </w:rPr>
        <w:t>P</w:t>
      </w:r>
      <w:r w:rsidR="007E2667" w:rsidRPr="00B7238F">
        <w:rPr>
          <w:color w:val="000000" w:themeColor="text1"/>
          <w:vertAlign w:val="subscript"/>
          <w:lang w:val="pt-BR"/>
        </w:rPr>
        <w:t>0</w:t>
      </w:r>
      <w:r w:rsidR="007E2667" w:rsidRPr="00B7238F">
        <w:rPr>
          <w:color w:val="000000" w:themeColor="text1"/>
          <w:lang w:val="pt-BR"/>
        </w:rPr>
        <w:t xml:space="preserve"> em comparação as avaliações realizadas aos 17 DAP</w:t>
      </w:r>
      <w:r w:rsidR="007E2667" w:rsidRPr="00B7238F">
        <w:rPr>
          <w:color w:val="000000" w:themeColor="text1"/>
          <w:vertAlign w:val="subscript"/>
          <w:lang w:val="pt-BR"/>
        </w:rPr>
        <w:t>0</w:t>
      </w:r>
      <w:r w:rsidR="007E2667" w:rsidRPr="00B7238F">
        <w:rPr>
          <w:color w:val="000000" w:themeColor="text1"/>
          <w:lang w:val="pt-BR"/>
        </w:rPr>
        <w:t>, porém as observações determinadas aos 52 DAP</w:t>
      </w:r>
      <w:r w:rsidR="007E2667" w:rsidRPr="00B7238F">
        <w:rPr>
          <w:color w:val="000000" w:themeColor="text1"/>
          <w:vertAlign w:val="subscript"/>
          <w:lang w:val="pt-BR"/>
        </w:rPr>
        <w:t>0</w:t>
      </w:r>
      <w:r w:rsidR="007E2667" w:rsidRPr="00B7238F">
        <w:rPr>
          <w:color w:val="000000" w:themeColor="text1"/>
          <w:lang w:val="pt-BR"/>
        </w:rPr>
        <w:t xml:space="preserve"> não diferiram </w:t>
      </w:r>
      <w:r w:rsidR="00A639C6" w:rsidRPr="00B7238F">
        <w:rPr>
          <w:color w:val="000000" w:themeColor="text1"/>
          <w:lang w:val="pt-BR"/>
        </w:rPr>
        <w:t>d</w:t>
      </w:r>
      <w:r w:rsidR="00D17056" w:rsidRPr="00B7238F">
        <w:rPr>
          <w:color w:val="000000" w:themeColor="text1"/>
          <w:lang w:val="pt-BR"/>
        </w:rPr>
        <w:t>as desenvolvidas aos 17 e 35 DAP</w:t>
      </w:r>
      <w:r w:rsidR="00D17056" w:rsidRPr="00B7238F">
        <w:rPr>
          <w:color w:val="000000" w:themeColor="text1"/>
          <w:vertAlign w:val="subscript"/>
          <w:lang w:val="pt-BR"/>
        </w:rPr>
        <w:t xml:space="preserve">0 </w:t>
      </w:r>
      <w:r w:rsidR="000040AD" w:rsidRPr="00B7238F">
        <w:rPr>
          <w:color w:val="000000" w:themeColor="text1"/>
          <w:lang w:val="pt-BR"/>
        </w:rPr>
        <w:t>(Anexo 2).</w:t>
      </w:r>
    </w:p>
    <w:p w14:paraId="51155420" w14:textId="674FA830" w:rsidR="00D17056" w:rsidRPr="00B7238F" w:rsidRDefault="00D17056" w:rsidP="003F6D94">
      <w:pPr>
        <w:pStyle w:val="Default"/>
        <w:spacing w:line="360" w:lineRule="auto"/>
        <w:ind w:firstLine="708"/>
        <w:jc w:val="both"/>
        <w:rPr>
          <w:color w:val="000000" w:themeColor="text1"/>
          <w:lang w:val="pt-BR"/>
        </w:rPr>
      </w:pPr>
      <w:r w:rsidRPr="00B7238F">
        <w:rPr>
          <w:color w:val="000000" w:themeColor="text1"/>
          <w:lang w:val="pt-BR"/>
        </w:rPr>
        <w:t>Os tratamentos com pulverizações de azoxistrobina + benzovindiflupir (T4 + T5) apresentaram maiores valores de frequência da mutação I86F em comparação aos tratamentos com aplicações de (T2 + T3) na média dos três momentos de avaliações, 35 e 52 DAP</w:t>
      </w:r>
      <w:r w:rsidRPr="00B7238F">
        <w:rPr>
          <w:color w:val="000000" w:themeColor="text1"/>
          <w:vertAlign w:val="subscript"/>
          <w:lang w:val="pt-BR"/>
        </w:rPr>
        <w:t>0</w:t>
      </w:r>
      <w:r w:rsidRPr="00B7238F">
        <w:rPr>
          <w:color w:val="000000" w:themeColor="text1"/>
          <w:lang w:val="pt-BR"/>
        </w:rPr>
        <w:t xml:space="preserve"> (Anexo VII).</w:t>
      </w:r>
      <w:r w:rsidR="00F75409" w:rsidRPr="00B7238F">
        <w:rPr>
          <w:color w:val="000000" w:themeColor="text1"/>
          <w:lang w:val="pt-BR"/>
        </w:rPr>
        <w:t xml:space="preserve"> </w:t>
      </w:r>
    </w:p>
    <w:p w14:paraId="75F43883" w14:textId="71C02F1D" w:rsidR="00F75409" w:rsidRPr="00B7238F" w:rsidRDefault="00F75409" w:rsidP="003F6D94">
      <w:pPr>
        <w:pStyle w:val="Default"/>
        <w:spacing w:line="360" w:lineRule="auto"/>
        <w:ind w:firstLine="708"/>
        <w:jc w:val="both"/>
        <w:rPr>
          <w:color w:val="000000" w:themeColor="text1"/>
          <w:lang w:val="pt-BR"/>
        </w:rPr>
      </w:pPr>
      <w:r w:rsidRPr="00B7238F">
        <w:rPr>
          <w:color w:val="000000" w:themeColor="text1"/>
          <w:lang w:val="pt-BR"/>
        </w:rPr>
        <w:t>Os programas de apli</w:t>
      </w:r>
      <w:r w:rsidR="007D6612" w:rsidRPr="00B7238F">
        <w:rPr>
          <w:color w:val="000000" w:themeColor="text1"/>
          <w:lang w:val="pt-BR"/>
        </w:rPr>
        <w:t>cações de fungicidas com duas aplicações de carboxamidas (T3 + T5) não diferiram dos tratamentos com uma aplicação de fungicidas do grupo químico das carboxamidas (T2 + T4), nas observações realizadas aos 35, 52 DAP</w:t>
      </w:r>
      <w:r w:rsidR="007D6612" w:rsidRPr="00B7238F">
        <w:rPr>
          <w:color w:val="000000" w:themeColor="text1"/>
          <w:vertAlign w:val="subscript"/>
          <w:lang w:val="pt-BR"/>
        </w:rPr>
        <w:t>0</w:t>
      </w:r>
      <w:r w:rsidR="007D6612" w:rsidRPr="00B7238F">
        <w:rPr>
          <w:color w:val="000000" w:themeColor="text1"/>
          <w:lang w:val="pt-BR"/>
        </w:rPr>
        <w:t xml:space="preserve"> e média dos três momentos </w:t>
      </w:r>
      <w:r w:rsidR="000040AD" w:rsidRPr="00B7238F">
        <w:rPr>
          <w:color w:val="000000" w:themeColor="text1"/>
          <w:lang w:val="pt-BR"/>
        </w:rPr>
        <w:t>(Anexo 2).</w:t>
      </w:r>
    </w:p>
    <w:p w14:paraId="5D2DD80A" w14:textId="3D4436DC" w:rsidR="00D17056" w:rsidRPr="00B7238F" w:rsidRDefault="004033B0" w:rsidP="003F6D94">
      <w:pPr>
        <w:pStyle w:val="Default"/>
        <w:spacing w:line="360" w:lineRule="auto"/>
        <w:ind w:firstLine="708"/>
        <w:jc w:val="both"/>
        <w:rPr>
          <w:color w:val="000000" w:themeColor="text1"/>
          <w:lang w:val="pt-BR"/>
        </w:rPr>
      </w:pPr>
      <w:r w:rsidRPr="00B7238F">
        <w:rPr>
          <w:color w:val="000000" w:themeColor="text1"/>
          <w:lang w:val="pt-BR"/>
        </w:rPr>
        <w:t>As frequências da mutação I86F observadas para T2 e T3 foram inferiores estatisticamente a T4 e T5, aos 35, 52 DAP</w:t>
      </w:r>
      <w:r w:rsidRPr="00B7238F">
        <w:rPr>
          <w:color w:val="000000" w:themeColor="text1"/>
          <w:vertAlign w:val="subscript"/>
          <w:lang w:val="pt-BR"/>
        </w:rPr>
        <w:t>0</w:t>
      </w:r>
      <w:r w:rsidRPr="00B7238F">
        <w:rPr>
          <w:color w:val="000000" w:themeColor="text1"/>
          <w:lang w:val="pt-BR"/>
        </w:rPr>
        <w:t xml:space="preserve"> e média dos três momentos. Os tratamentos T2 e T3 não diferiram entre si em todos os momentos de avaliações (Tabela 19). A realização de uma (T4) ou duas (T5) </w:t>
      </w:r>
      <w:r w:rsidR="004F282C" w:rsidRPr="00B7238F">
        <w:rPr>
          <w:color w:val="000000" w:themeColor="text1"/>
          <w:lang w:val="pt-BR"/>
        </w:rPr>
        <w:t xml:space="preserve">aplicações de azoxistrobina + benzovindiflupir </w:t>
      </w:r>
      <w:r w:rsidRPr="00B7238F">
        <w:rPr>
          <w:color w:val="000000" w:themeColor="text1"/>
          <w:lang w:val="pt-BR"/>
        </w:rPr>
        <w:t>não diferiram quanto a frequência da mutação nas avaliações determinadas aos 35, 52 DAP</w:t>
      </w:r>
      <w:r w:rsidRPr="00B7238F">
        <w:rPr>
          <w:color w:val="000000" w:themeColor="text1"/>
          <w:vertAlign w:val="subscript"/>
          <w:lang w:val="pt-BR"/>
        </w:rPr>
        <w:t xml:space="preserve">0 </w:t>
      </w:r>
      <w:r w:rsidRPr="00B7238F">
        <w:rPr>
          <w:color w:val="000000" w:themeColor="text1"/>
          <w:lang w:val="pt-BR"/>
        </w:rPr>
        <w:t>e média dos três momentos de avaliações (Tabela 19).</w:t>
      </w:r>
    </w:p>
    <w:p w14:paraId="21B46140" w14:textId="77777777" w:rsidR="00827E23" w:rsidRPr="00B7238F" w:rsidRDefault="00827E23" w:rsidP="003F6D94">
      <w:pPr>
        <w:pStyle w:val="Default"/>
        <w:spacing w:line="360" w:lineRule="auto"/>
        <w:rPr>
          <w:color w:val="000000" w:themeColor="text1"/>
          <w:lang w:val="pt-BR"/>
        </w:rPr>
      </w:pPr>
    </w:p>
    <w:p w14:paraId="24489F02" w14:textId="05DC02DF" w:rsidR="00913858" w:rsidRPr="00B7238F" w:rsidRDefault="00913858" w:rsidP="003F6D94">
      <w:pPr>
        <w:pStyle w:val="Ttulo4"/>
        <w:spacing w:after="0" w:line="360" w:lineRule="auto"/>
      </w:pPr>
      <w:bookmarkStart w:id="301" w:name="_Toc22568288"/>
      <w:r w:rsidRPr="00B7238F">
        <w:t>6.4.2.</w:t>
      </w:r>
      <w:r w:rsidR="006F7B6A" w:rsidRPr="00B7238F">
        <w:t xml:space="preserve">2 </w:t>
      </w:r>
      <w:r w:rsidRPr="00B7238F">
        <w:t xml:space="preserve">Cultivar </w:t>
      </w:r>
      <w:r w:rsidR="006F7B6A" w:rsidRPr="00B7238F">
        <w:t>2</w:t>
      </w:r>
      <w:r w:rsidRPr="00B7238F">
        <w:t xml:space="preserve"> – </w:t>
      </w:r>
      <w:r w:rsidR="006F7B6A" w:rsidRPr="00B7238F">
        <w:t>BMX Lança IPRO</w:t>
      </w:r>
      <w:bookmarkEnd w:id="301"/>
    </w:p>
    <w:p w14:paraId="6466CE5F" w14:textId="224B154A" w:rsidR="00DF5091" w:rsidRPr="00B7238F" w:rsidRDefault="00DF5091" w:rsidP="003F6D94">
      <w:pPr>
        <w:pStyle w:val="Default"/>
        <w:spacing w:line="360" w:lineRule="auto"/>
        <w:jc w:val="both"/>
        <w:rPr>
          <w:color w:val="000000" w:themeColor="text1"/>
          <w:lang w:val="pt-BR"/>
        </w:rPr>
      </w:pPr>
    </w:p>
    <w:p w14:paraId="3810F995" w14:textId="5DDD5922" w:rsidR="00617AAD" w:rsidRPr="00B7238F" w:rsidRDefault="00D41441" w:rsidP="003F6D94">
      <w:pPr>
        <w:pStyle w:val="Default"/>
        <w:spacing w:line="360" w:lineRule="auto"/>
        <w:ind w:firstLine="708"/>
        <w:jc w:val="both"/>
        <w:rPr>
          <w:color w:val="000000" w:themeColor="text1"/>
          <w:lang w:val="pt-BR"/>
        </w:rPr>
      </w:pPr>
      <w:r w:rsidRPr="00B7238F">
        <w:rPr>
          <w:color w:val="000000" w:themeColor="text1"/>
          <w:lang w:val="pt-BR"/>
        </w:rPr>
        <w:t>Os programas de aplicações sem fungicidas do grupo químico das carboxamidas (T</w:t>
      </w:r>
      <w:r w:rsidR="00BE115C" w:rsidRPr="00B7238F">
        <w:rPr>
          <w:color w:val="000000" w:themeColor="text1"/>
          <w:lang w:val="pt-BR"/>
        </w:rPr>
        <w:t>1</w:t>
      </w:r>
      <w:r w:rsidRPr="00B7238F">
        <w:rPr>
          <w:color w:val="000000" w:themeColor="text1"/>
          <w:lang w:val="pt-BR"/>
        </w:rPr>
        <w:t xml:space="preserve"> e T</w:t>
      </w:r>
      <w:r w:rsidR="00BE115C" w:rsidRPr="00B7238F">
        <w:rPr>
          <w:color w:val="000000" w:themeColor="text1"/>
          <w:lang w:val="pt-BR"/>
        </w:rPr>
        <w:t>6</w:t>
      </w:r>
      <w:r w:rsidRPr="00B7238F">
        <w:rPr>
          <w:color w:val="000000" w:themeColor="text1"/>
          <w:lang w:val="pt-BR"/>
        </w:rPr>
        <w:t xml:space="preserve">) diferiram estatisticamente entre si na média dos três momentos de avaliações, </w:t>
      </w:r>
      <w:r w:rsidR="008F6F3A" w:rsidRPr="00B7238F">
        <w:rPr>
          <w:color w:val="000000" w:themeColor="text1"/>
          <w:lang w:val="pt-BR"/>
        </w:rPr>
        <w:t>aos 35 e 52 DAP</w:t>
      </w:r>
      <w:r w:rsidR="008F6F3A" w:rsidRPr="00B7238F">
        <w:rPr>
          <w:color w:val="000000" w:themeColor="text1"/>
          <w:vertAlign w:val="subscript"/>
          <w:lang w:val="pt-BR"/>
        </w:rPr>
        <w:t>0</w:t>
      </w:r>
      <w:r w:rsidR="008F6F3A" w:rsidRPr="00B7238F">
        <w:rPr>
          <w:color w:val="000000" w:themeColor="text1"/>
          <w:lang w:val="pt-BR"/>
        </w:rPr>
        <w:t xml:space="preserve">, </w:t>
      </w:r>
      <w:r w:rsidRPr="00B7238F">
        <w:rPr>
          <w:color w:val="000000" w:themeColor="text1"/>
          <w:lang w:val="pt-BR"/>
        </w:rPr>
        <w:t xml:space="preserve">sendo </w:t>
      </w:r>
      <w:r w:rsidR="008F6F3A" w:rsidRPr="00B7238F">
        <w:rPr>
          <w:color w:val="000000" w:themeColor="text1"/>
          <w:lang w:val="pt-BR"/>
        </w:rPr>
        <w:t>a</w:t>
      </w:r>
      <w:r w:rsidRPr="00B7238F">
        <w:rPr>
          <w:color w:val="000000" w:themeColor="text1"/>
          <w:lang w:val="pt-BR"/>
        </w:rPr>
        <w:t xml:space="preserve"> frequência da mutação I86F</w:t>
      </w:r>
      <w:r w:rsidR="008F6F3A" w:rsidRPr="00B7238F">
        <w:rPr>
          <w:color w:val="000000" w:themeColor="text1"/>
          <w:lang w:val="pt-BR"/>
        </w:rPr>
        <w:t xml:space="preserve"> superior para T</w:t>
      </w:r>
      <w:r w:rsidR="00BE115C" w:rsidRPr="00B7238F">
        <w:rPr>
          <w:color w:val="000000" w:themeColor="text1"/>
          <w:lang w:val="pt-BR"/>
        </w:rPr>
        <w:t>6</w:t>
      </w:r>
      <w:r w:rsidR="008F6F3A" w:rsidRPr="00B7238F">
        <w:rPr>
          <w:color w:val="000000" w:themeColor="text1"/>
          <w:lang w:val="pt-BR"/>
        </w:rPr>
        <w:t xml:space="preserve"> em relação a T</w:t>
      </w:r>
      <w:r w:rsidR="00BE115C" w:rsidRPr="00B7238F">
        <w:rPr>
          <w:color w:val="000000" w:themeColor="text1"/>
          <w:lang w:val="pt-BR"/>
        </w:rPr>
        <w:t>1</w:t>
      </w:r>
      <w:r w:rsidRPr="00B7238F">
        <w:rPr>
          <w:color w:val="000000" w:themeColor="text1"/>
          <w:lang w:val="pt-BR"/>
        </w:rPr>
        <w:t xml:space="preserve"> (Tabela </w:t>
      </w:r>
      <w:r w:rsidR="008F6F3A" w:rsidRPr="00B7238F">
        <w:rPr>
          <w:color w:val="000000" w:themeColor="text1"/>
          <w:lang w:val="pt-BR"/>
        </w:rPr>
        <w:t>20</w:t>
      </w:r>
      <w:r w:rsidRPr="00B7238F">
        <w:rPr>
          <w:color w:val="000000" w:themeColor="text1"/>
          <w:lang w:val="pt-BR"/>
        </w:rPr>
        <w:t xml:space="preserve">). </w:t>
      </w:r>
      <w:r w:rsidR="000D4589" w:rsidRPr="00B7238F">
        <w:rPr>
          <w:color w:val="000000" w:themeColor="text1"/>
          <w:lang w:val="pt-BR"/>
        </w:rPr>
        <w:t xml:space="preserve">As frequências de mutações detectadas para </w:t>
      </w:r>
      <w:r w:rsidR="003B0A89" w:rsidRPr="00B7238F">
        <w:rPr>
          <w:color w:val="000000" w:themeColor="text1"/>
          <w:lang w:val="pt-BR"/>
        </w:rPr>
        <w:t>T</w:t>
      </w:r>
      <w:r w:rsidR="00BE115C" w:rsidRPr="00B7238F">
        <w:rPr>
          <w:color w:val="000000" w:themeColor="text1"/>
          <w:lang w:val="pt-BR"/>
        </w:rPr>
        <w:t>6</w:t>
      </w:r>
      <w:r w:rsidR="003B0A89" w:rsidRPr="00B7238F">
        <w:rPr>
          <w:color w:val="000000" w:themeColor="text1"/>
          <w:lang w:val="pt-BR"/>
        </w:rPr>
        <w:t xml:space="preserve"> foram de</w:t>
      </w:r>
      <w:r w:rsidR="00BE115C" w:rsidRPr="00B7238F">
        <w:rPr>
          <w:color w:val="000000" w:themeColor="text1"/>
          <w:lang w:val="pt-BR"/>
        </w:rPr>
        <w:t xml:space="preserve"> 9,5, 12,7, e 13,5 %, respectivamente para avaliações realizadas aos 17, 35 e 52 DAP</w:t>
      </w:r>
      <w:r w:rsidR="00BE115C" w:rsidRPr="00B7238F">
        <w:rPr>
          <w:color w:val="000000" w:themeColor="text1"/>
          <w:vertAlign w:val="subscript"/>
          <w:lang w:val="pt-BR"/>
        </w:rPr>
        <w:t>0</w:t>
      </w:r>
      <w:r w:rsidR="0064001D" w:rsidRPr="00B7238F">
        <w:rPr>
          <w:color w:val="000000" w:themeColor="text1"/>
          <w:vertAlign w:val="subscript"/>
          <w:lang w:val="pt-BR"/>
        </w:rPr>
        <w:t xml:space="preserve"> </w:t>
      </w:r>
      <w:r w:rsidR="0064001D" w:rsidRPr="00B7238F">
        <w:rPr>
          <w:color w:val="000000" w:themeColor="text1"/>
          <w:lang w:val="pt-BR"/>
        </w:rPr>
        <w:t>(Tabela 20)</w:t>
      </w:r>
      <w:r w:rsidR="00BE115C" w:rsidRPr="00B7238F">
        <w:rPr>
          <w:color w:val="000000" w:themeColor="text1"/>
          <w:vertAlign w:val="subscript"/>
          <w:lang w:val="pt-BR"/>
        </w:rPr>
        <w:t>.</w:t>
      </w:r>
    </w:p>
    <w:p w14:paraId="62F6FFE3" w14:textId="77777777" w:rsidR="00376E0E" w:rsidRPr="00376E0E" w:rsidRDefault="00376E0E" w:rsidP="003F6D94">
      <w:pPr>
        <w:spacing w:after="0" w:line="360" w:lineRule="auto"/>
        <w:ind w:firstLine="0"/>
        <w:rPr>
          <w:color w:val="000000" w:themeColor="text1"/>
        </w:rPr>
      </w:pPr>
    </w:p>
    <w:p w14:paraId="7EE3B6FF" w14:textId="3016801C" w:rsidR="00A43008" w:rsidRDefault="00A43008" w:rsidP="00A43008">
      <w:pPr>
        <w:pStyle w:val="Legenda"/>
        <w:keepNext/>
        <w:ind w:firstLine="0"/>
      </w:pPr>
      <w:bookmarkStart w:id="302" w:name="_Toc16173056"/>
      <w:r>
        <w:t xml:space="preserve">Tabela </w:t>
      </w:r>
      <w:r w:rsidR="00D00510">
        <w:fldChar w:fldCharType="begin"/>
      </w:r>
      <w:r w:rsidR="00D00510">
        <w:instrText xml:space="preserve"> SEQ Tabela \* ARABIC </w:instrText>
      </w:r>
      <w:r w:rsidR="00D00510">
        <w:fldChar w:fldCharType="separate"/>
      </w:r>
      <w:r w:rsidR="002D15F8">
        <w:rPr>
          <w:noProof/>
        </w:rPr>
        <w:t>20</w:t>
      </w:r>
      <w:r w:rsidR="00D00510">
        <w:rPr>
          <w:noProof/>
        </w:rPr>
        <w:fldChar w:fldCharType="end"/>
      </w:r>
      <w:r w:rsidRPr="00CA0F33">
        <w:t xml:space="preserve">. Frequência da mutação I86F em populações de </w:t>
      </w:r>
      <w:r w:rsidRPr="004B0A23">
        <w:rPr>
          <w:i/>
        </w:rPr>
        <w:t xml:space="preserve">P. pachyrhizi </w:t>
      </w:r>
      <w:r w:rsidRPr="00CA0F33">
        <w:t>submetidas a diferentes programas de aplicação de fungicidas no cultivar BMX Lança IPRO, coletadas aos 17, 35 e 52 dias após a detecção do fungo (DAP0). Lages, 2019.</w:t>
      </w:r>
      <w:bookmarkEnd w:id="302"/>
    </w:p>
    <w:tbl>
      <w:tblPr>
        <w:tblStyle w:val="Tabelacomgrade3"/>
        <w:tblW w:w="864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398"/>
        <w:gridCol w:w="1799"/>
        <w:gridCol w:w="1799"/>
        <w:gridCol w:w="1799"/>
        <w:gridCol w:w="1846"/>
      </w:tblGrid>
      <w:tr w:rsidR="00376E0E" w:rsidRPr="00376E0E" w14:paraId="428BB93F" w14:textId="77777777" w:rsidTr="00D74DA1">
        <w:trPr>
          <w:trHeight w:val="300"/>
        </w:trPr>
        <w:tc>
          <w:tcPr>
            <w:tcW w:w="8641" w:type="dxa"/>
            <w:gridSpan w:val="5"/>
            <w:tcBorders>
              <w:top w:val="single" w:sz="4" w:space="0" w:color="auto"/>
              <w:bottom w:val="single" w:sz="4" w:space="0" w:color="auto"/>
            </w:tcBorders>
            <w:vAlign w:val="center"/>
            <w:hideMark/>
          </w:tcPr>
          <w:p w14:paraId="38C3972F" w14:textId="77777777" w:rsidR="00376E0E" w:rsidRPr="00376E0E" w:rsidRDefault="00376E0E" w:rsidP="00376E0E">
            <w:pPr>
              <w:spacing w:line="360" w:lineRule="auto"/>
              <w:ind w:firstLine="0"/>
              <w:jc w:val="center"/>
              <w:rPr>
                <w:b/>
                <w:color w:val="000000" w:themeColor="text1"/>
                <w:lang w:val="en-US"/>
              </w:rPr>
            </w:pPr>
            <w:r w:rsidRPr="00376E0E">
              <w:rPr>
                <w:b/>
                <w:color w:val="000000" w:themeColor="text1"/>
                <w:lang w:val="en-US"/>
              </w:rPr>
              <w:t>BMX Lança IPRO</w:t>
            </w:r>
          </w:p>
        </w:tc>
      </w:tr>
      <w:tr w:rsidR="00376E0E" w:rsidRPr="00376E0E" w14:paraId="2D592D55" w14:textId="77777777" w:rsidTr="00D74DA1">
        <w:trPr>
          <w:trHeight w:val="300"/>
        </w:trPr>
        <w:tc>
          <w:tcPr>
            <w:tcW w:w="8641" w:type="dxa"/>
            <w:gridSpan w:val="5"/>
            <w:tcBorders>
              <w:top w:val="single" w:sz="4" w:space="0" w:color="auto"/>
            </w:tcBorders>
            <w:vAlign w:val="center"/>
            <w:hideMark/>
          </w:tcPr>
          <w:p w14:paraId="054E7132" w14:textId="77777777" w:rsidR="00376E0E" w:rsidRPr="00376E0E" w:rsidRDefault="00376E0E" w:rsidP="00376E0E">
            <w:pPr>
              <w:spacing w:line="360" w:lineRule="auto"/>
              <w:ind w:firstLine="0"/>
              <w:jc w:val="center"/>
              <w:rPr>
                <w:b/>
                <w:color w:val="000000" w:themeColor="text1"/>
              </w:rPr>
            </w:pPr>
            <w:r w:rsidRPr="00376E0E">
              <w:rPr>
                <w:b/>
                <w:color w:val="000000" w:themeColor="text1"/>
              </w:rPr>
              <w:t>Dias após a detecção do fungo</w:t>
            </w:r>
          </w:p>
        </w:tc>
      </w:tr>
      <w:tr w:rsidR="00376E0E" w:rsidRPr="00376E0E" w14:paraId="47EA0295" w14:textId="77777777" w:rsidTr="00D74DA1">
        <w:trPr>
          <w:trHeight w:val="300"/>
        </w:trPr>
        <w:tc>
          <w:tcPr>
            <w:tcW w:w="1398" w:type="dxa"/>
            <w:tcBorders>
              <w:bottom w:val="single" w:sz="4" w:space="0" w:color="auto"/>
            </w:tcBorders>
            <w:vAlign w:val="center"/>
            <w:hideMark/>
          </w:tcPr>
          <w:p w14:paraId="512CE920" w14:textId="77777777" w:rsidR="00376E0E" w:rsidRPr="00376E0E" w:rsidRDefault="00376E0E" w:rsidP="00376E0E">
            <w:pPr>
              <w:spacing w:line="360" w:lineRule="auto"/>
              <w:ind w:firstLine="0"/>
              <w:jc w:val="center"/>
              <w:rPr>
                <w:b/>
                <w:color w:val="000000" w:themeColor="text1"/>
                <w:lang w:val="en-US"/>
              </w:rPr>
            </w:pPr>
            <w:r w:rsidRPr="00376E0E">
              <w:rPr>
                <w:b/>
                <w:color w:val="000000" w:themeColor="text1"/>
                <w:lang w:val="en-US"/>
              </w:rPr>
              <w:t>Prog. Apl.</w:t>
            </w:r>
          </w:p>
        </w:tc>
        <w:tc>
          <w:tcPr>
            <w:tcW w:w="1799" w:type="dxa"/>
            <w:tcBorders>
              <w:bottom w:val="single" w:sz="4" w:space="0" w:color="auto"/>
            </w:tcBorders>
            <w:vAlign w:val="center"/>
            <w:hideMark/>
          </w:tcPr>
          <w:p w14:paraId="42F842E5" w14:textId="77777777" w:rsidR="00376E0E" w:rsidRPr="00376E0E" w:rsidRDefault="00376E0E" w:rsidP="00376E0E">
            <w:pPr>
              <w:spacing w:line="360" w:lineRule="auto"/>
              <w:ind w:firstLine="0"/>
              <w:jc w:val="center"/>
              <w:rPr>
                <w:b/>
                <w:color w:val="000000" w:themeColor="text1"/>
                <w:lang w:val="en-US"/>
              </w:rPr>
            </w:pPr>
            <w:r w:rsidRPr="00376E0E">
              <w:rPr>
                <w:b/>
                <w:color w:val="000000" w:themeColor="text1"/>
                <w:lang w:val="en-US"/>
              </w:rPr>
              <w:t>17 DAP</w:t>
            </w:r>
            <w:r w:rsidRPr="00376E0E">
              <w:rPr>
                <w:b/>
                <w:color w:val="000000" w:themeColor="text1"/>
                <w:vertAlign w:val="subscript"/>
                <w:lang w:val="en-US"/>
              </w:rPr>
              <w:t>0</w:t>
            </w:r>
          </w:p>
        </w:tc>
        <w:tc>
          <w:tcPr>
            <w:tcW w:w="1799" w:type="dxa"/>
            <w:tcBorders>
              <w:bottom w:val="single" w:sz="4" w:space="0" w:color="auto"/>
            </w:tcBorders>
            <w:vAlign w:val="center"/>
            <w:hideMark/>
          </w:tcPr>
          <w:p w14:paraId="492B35F7" w14:textId="77777777" w:rsidR="00376E0E" w:rsidRPr="00376E0E" w:rsidRDefault="00376E0E" w:rsidP="00376E0E">
            <w:pPr>
              <w:spacing w:line="360" w:lineRule="auto"/>
              <w:ind w:firstLine="0"/>
              <w:jc w:val="center"/>
              <w:rPr>
                <w:b/>
                <w:color w:val="000000" w:themeColor="text1"/>
                <w:lang w:val="en-US"/>
              </w:rPr>
            </w:pPr>
            <w:r w:rsidRPr="00376E0E">
              <w:rPr>
                <w:b/>
                <w:color w:val="000000" w:themeColor="text1"/>
                <w:lang w:val="en-US"/>
              </w:rPr>
              <w:t>35 DAP</w:t>
            </w:r>
            <w:r w:rsidRPr="00376E0E">
              <w:rPr>
                <w:b/>
                <w:color w:val="000000" w:themeColor="text1"/>
                <w:vertAlign w:val="subscript"/>
                <w:lang w:val="en-US"/>
              </w:rPr>
              <w:t>0</w:t>
            </w:r>
          </w:p>
        </w:tc>
        <w:tc>
          <w:tcPr>
            <w:tcW w:w="1799" w:type="dxa"/>
            <w:tcBorders>
              <w:bottom w:val="single" w:sz="4" w:space="0" w:color="auto"/>
            </w:tcBorders>
            <w:vAlign w:val="center"/>
            <w:hideMark/>
          </w:tcPr>
          <w:p w14:paraId="19C2185A" w14:textId="77777777" w:rsidR="00376E0E" w:rsidRPr="00376E0E" w:rsidRDefault="00376E0E" w:rsidP="00376E0E">
            <w:pPr>
              <w:spacing w:line="360" w:lineRule="auto"/>
              <w:ind w:firstLine="0"/>
              <w:jc w:val="center"/>
              <w:rPr>
                <w:b/>
                <w:color w:val="000000" w:themeColor="text1"/>
                <w:lang w:val="en-US"/>
              </w:rPr>
            </w:pPr>
            <w:r w:rsidRPr="00376E0E">
              <w:rPr>
                <w:b/>
                <w:color w:val="000000" w:themeColor="text1"/>
                <w:lang w:val="en-US"/>
              </w:rPr>
              <w:t>52 DAP</w:t>
            </w:r>
            <w:r w:rsidRPr="00376E0E">
              <w:rPr>
                <w:b/>
                <w:color w:val="000000" w:themeColor="text1"/>
                <w:vertAlign w:val="subscript"/>
                <w:lang w:val="en-US"/>
              </w:rPr>
              <w:t>0</w:t>
            </w:r>
          </w:p>
        </w:tc>
        <w:tc>
          <w:tcPr>
            <w:tcW w:w="1846" w:type="dxa"/>
            <w:tcBorders>
              <w:bottom w:val="single" w:sz="4" w:space="0" w:color="auto"/>
            </w:tcBorders>
            <w:vAlign w:val="center"/>
            <w:hideMark/>
          </w:tcPr>
          <w:p w14:paraId="462D0372" w14:textId="77777777" w:rsidR="00376E0E" w:rsidRPr="00376E0E" w:rsidRDefault="00376E0E" w:rsidP="00376E0E">
            <w:pPr>
              <w:spacing w:line="360" w:lineRule="auto"/>
              <w:ind w:firstLine="0"/>
              <w:jc w:val="center"/>
              <w:rPr>
                <w:b/>
                <w:color w:val="000000" w:themeColor="text1"/>
                <w:lang w:val="en-US"/>
              </w:rPr>
            </w:pPr>
            <w:r w:rsidRPr="00376E0E">
              <w:rPr>
                <w:b/>
                <w:color w:val="000000" w:themeColor="text1"/>
                <w:lang w:val="en-US"/>
              </w:rPr>
              <w:t>Média</w:t>
            </w:r>
          </w:p>
        </w:tc>
      </w:tr>
      <w:tr w:rsidR="00376E0E" w:rsidRPr="00376E0E" w14:paraId="538EAD06" w14:textId="77777777" w:rsidTr="00D74DA1">
        <w:trPr>
          <w:trHeight w:val="300"/>
        </w:trPr>
        <w:tc>
          <w:tcPr>
            <w:tcW w:w="1398" w:type="dxa"/>
            <w:tcBorders>
              <w:top w:val="single" w:sz="4" w:space="0" w:color="auto"/>
            </w:tcBorders>
            <w:vAlign w:val="center"/>
            <w:hideMark/>
          </w:tcPr>
          <w:p w14:paraId="7771E39E"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T1</w:t>
            </w:r>
          </w:p>
        </w:tc>
        <w:tc>
          <w:tcPr>
            <w:tcW w:w="1799" w:type="dxa"/>
            <w:tcBorders>
              <w:top w:val="single" w:sz="4" w:space="0" w:color="auto"/>
            </w:tcBorders>
            <w:vAlign w:val="center"/>
            <w:hideMark/>
          </w:tcPr>
          <w:p w14:paraId="67362E44"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 xml:space="preserve">  4,3 Ca</w:t>
            </w:r>
          </w:p>
        </w:tc>
        <w:tc>
          <w:tcPr>
            <w:tcW w:w="1799" w:type="dxa"/>
            <w:tcBorders>
              <w:top w:val="single" w:sz="4" w:space="0" w:color="auto"/>
            </w:tcBorders>
            <w:vAlign w:val="center"/>
            <w:hideMark/>
          </w:tcPr>
          <w:p w14:paraId="2499C8F0"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 xml:space="preserve">  3,1 Da</w:t>
            </w:r>
          </w:p>
        </w:tc>
        <w:tc>
          <w:tcPr>
            <w:tcW w:w="1799" w:type="dxa"/>
            <w:tcBorders>
              <w:top w:val="single" w:sz="4" w:space="0" w:color="auto"/>
            </w:tcBorders>
            <w:vAlign w:val="center"/>
            <w:hideMark/>
          </w:tcPr>
          <w:p w14:paraId="3ABE57AF"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 xml:space="preserve">  5,3 Da</w:t>
            </w:r>
          </w:p>
        </w:tc>
        <w:tc>
          <w:tcPr>
            <w:tcW w:w="1846" w:type="dxa"/>
            <w:tcBorders>
              <w:top w:val="single" w:sz="4" w:space="0" w:color="auto"/>
            </w:tcBorders>
            <w:vAlign w:val="center"/>
            <w:hideMark/>
          </w:tcPr>
          <w:p w14:paraId="3336ACC4"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 xml:space="preserve">  4,2 D</w:t>
            </w:r>
          </w:p>
        </w:tc>
      </w:tr>
      <w:tr w:rsidR="00376E0E" w:rsidRPr="00376E0E" w14:paraId="172CBFB0" w14:textId="77777777" w:rsidTr="00D74DA1">
        <w:trPr>
          <w:trHeight w:val="300"/>
        </w:trPr>
        <w:tc>
          <w:tcPr>
            <w:tcW w:w="1398" w:type="dxa"/>
            <w:vAlign w:val="center"/>
            <w:hideMark/>
          </w:tcPr>
          <w:p w14:paraId="2390A682"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T2</w:t>
            </w:r>
          </w:p>
        </w:tc>
        <w:tc>
          <w:tcPr>
            <w:tcW w:w="1799" w:type="dxa"/>
            <w:vAlign w:val="center"/>
            <w:hideMark/>
          </w:tcPr>
          <w:p w14:paraId="7F508F35"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18,6 Ba</w:t>
            </w:r>
          </w:p>
        </w:tc>
        <w:tc>
          <w:tcPr>
            <w:tcW w:w="1799" w:type="dxa"/>
            <w:vAlign w:val="center"/>
            <w:hideMark/>
          </w:tcPr>
          <w:p w14:paraId="5092D71E"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27,2 Ba</w:t>
            </w:r>
          </w:p>
        </w:tc>
        <w:tc>
          <w:tcPr>
            <w:tcW w:w="1799" w:type="dxa"/>
            <w:vAlign w:val="center"/>
            <w:hideMark/>
          </w:tcPr>
          <w:p w14:paraId="2C538546"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28,3 Ba</w:t>
            </w:r>
          </w:p>
        </w:tc>
        <w:tc>
          <w:tcPr>
            <w:tcW w:w="1846" w:type="dxa"/>
            <w:vAlign w:val="center"/>
            <w:hideMark/>
          </w:tcPr>
          <w:p w14:paraId="1B2C8D13"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22,6 B</w:t>
            </w:r>
          </w:p>
        </w:tc>
      </w:tr>
      <w:tr w:rsidR="00376E0E" w:rsidRPr="00376E0E" w14:paraId="1E862125" w14:textId="77777777" w:rsidTr="00D74DA1">
        <w:trPr>
          <w:trHeight w:val="300"/>
        </w:trPr>
        <w:tc>
          <w:tcPr>
            <w:tcW w:w="1398" w:type="dxa"/>
            <w:vAlign w:val="center"/>
            <w:hideMark/>
          </w:tcPr>
          <w:p w14:paraId="2AC275BE"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T3</w:t>
            </w:r>
          </w:p>
        </w:tc>
        <w:tc>
          <w:tcPr>
            <w:tcW w:w="1799" w:type="dxa"/>
            <w:vAlign w:val="center"/>
            <w:hideMark/>
          </w:tcPr>
          <w:p w14:paraId="012BB359"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18,2 Ba</w:t>
            </w:r>
          </w:p>
        </w:tc>
        <w:tc>
          <w:tcPr>
            <w:tcW w:w="1799" w:type="dxa"/>
            <w:vAlign w:val="center"/>
            <w:hideMark/>
          </w:tcPr>
          <w:p w14:paraId="048C0F17"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26,2 Ba</w:t>
            </w:r>
          </w:p>
        </w:tc>
        <w:tc>
          <w:tcPr>
            <w:tcW w:w="1799" w:type="dxa"/>
            <w:vAlign w:val="center"/>
            <w:hideMark/>
          </w:tcPr>
          <w:p w14:paraId="0C2B89DA"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23,2 Ba</w:t>
            </w:r>
          </w:p>
        </w:tc>
        <w:tc>
          <w:tcPr>
            <w:tcW w:w="1846" w:type="dxa"/>
            <w:vAlign w:val="center"/>
            <w:hideMark/>
          </w:tcPr>
          <w:p w14:paraId="7D541A69"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22,6 B</w:t>
            </w:r>
          </w:p>
        </w:tc>
      </w:tr>
      <w:tr w:rsidR="00376E0E" w:rsidRPr="00376E0E" w14:paraId="41E32471" w14:textId="77777777" w:rsidTr="00D74DA1">
        <w:trPr>
          <w:trHeight w:val="300"/>
        </w:trPr>
        <w:tc>
          <w:tcPr>
            <w:tcW w:w="1398" w:type="dxa"/>
            <w:vAlign w:val="center"/>
            <w:hideMark/>
          </w:tcPr>
          <w:p w14:paraId="1AB23CD2"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T4</w:t>
            </w:r>
          </w:p>
        </w:tc>
        <w:tc>
          <w:tcPr>
            <w:tcW w:w="1799" w:type="dxa"/>
            <w:vAlign w:val="center"/>
            <w:hideMark/>
          </w:tcPr>
          <w:p w14:paraId="42D3F67E"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37,4 Ab</w:t>
            </w:r>
          </w:p>
        </w:tc>
        <w:tc>
          <w:tcPr>
            <w:tcW w:w="1799" w:type="dxa"/>
            <w:vAlign w:val="center"/>
            <w:hideMark/>
          </w:tcPr>
          <w:p w14:paraId="58A40E13"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53,7 Ab</w:t>
            </w:r>
          </w:p>
        </w:tc>
        <w:tc>
          <w:tcPr>
            <w:tcW w:w="1799" w:type="dxa"/>
            <w:vAlign w:val="center"/>
            <w:hideMark/>
          </w:tcPr>
          <w:p w14:paraId="28BCC1A0"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 xml:space="preserve">  44,8 Aab</w:t>
            </w:r>
          </w:p>
        </w:tc>
        <w:tc>
          <w:tcPr>
            <w:tcW w:w="1846" w:type="dxa"/>
            <w:vAlign w:val="center"/>
            <w:hideMark/>
          </w:tcPr>
          <w:p w14:paraId="6C5CDEFB"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45,3 A</w:t>
            </w:r>
          </w:p>
        </w:tc>
      </w:tr>
      <w:tr w:rsidR="00376E0E" w:rsidRPr="00376E0E" w14:paraId="288692F0" w14:textId="77777777" w:rsidTr="00D74DA1">
        <w:trPr>
          <w:trHeight w:val="300"/>
        </w:trPr>
        <w:tc>
          <w:tcPr>
            <w:tcW w:w="1398" w:type="dxa"/>
            <w:vAlign w:val="center"/>
            <w:hideMark/>
          </w:tcPr>
          <w:p w14:paraId="41F9D433"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T5</w:t>
            </w:r>
          </w:p>
        </w:tc>
        <w:tc>
          <w:tcPr>
            <w:tcW w:w="1799" w:type="dxa"/>
            <w:vAlign w:val="center"/>
            <w:hideMark/>
          </w:tcPr>
          <w:p w14:paraId="284E7781"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34,3 Aa</w:t>
            </w:r>
          </w:p>
        </w:tc>
        <w:tc>
          <w:tcPr>
            <w:tcW w:w="1799" w:type="dxa"/>
            <w:vAlign w:val="center"/>
            <w:hideMark/>
          </w:tcPr>
          <w:p w14:paraId="654B5492"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42,5 Aa</w:t>
            </w:r>
          </w:p>
        </w:tc>
        <w:tc>
          <w:tcPr>
            <w:tcW w:w="1799" w:type="dxa"/>
            <w:vAlign w:val="center"/>
            <w:hideMark/>
          </w:tcPr>
          <w:p w14:paraId="15F85489"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47,3 Aa</w:t>
            </w:r>
          </w:p>
        </w:tc>
        <w:tc>
          <w:tcPr>
            <w:tcW w:w="1846" w:type="dxa"/>
            <w:vAlign w:val="center"/>
            <w:hideMark/>
          </w:tcPr>
          <w:p w14:paraId="72CFCA08"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41,4 A</w:t>
            </w:r>
          </w:p>
        </w:tc>
      </w:tr>
      <w:tr w:rsidR="00376E0E" w:rsidRPr="00376E0E" w14:paraId="611D1963" w14:textId="77777777" w:rsidTr="00D74DA1">
        <w:trPr>
          <w:trHeight w:val="300"/>
        </w:trPr>
        <w:tc>
          <w:tcPr>
            <w:tcW w:w="1398" w:type="dxa"/>
            <w:vAlign w:val="center"/>
            <w:hideMark/>
          </w:tcPr>
          <w:p w14:paraId="4DBFC8BE"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T6</w:t>
            </w:r>
          </w:p>
        </w:tc>
        <w:tc>
          <w:tcPr>
            <w:tcW w:w="1799" w:type="dxa"/>
            <w:vAlign w:val="center"/>
            <w:hideMark/>
          </w:tcPr>
          <w:p w14:paraId="51850CC5" w14:textId="77777777" w:rsidR="00376E0E" w:rsidRPr="00376E0E" w:rsidRDefault="00376E0E" w:rsidP="00376E0E">
            <w:pPr>
              <w:spacing w:line="360" w:lineRule="auto"/>
              <w:ind w:firstLine="0"/>
              <w:jc w:val="left"/>
              <w:rPr>
                <w:color w:val="000000" w:themeColor="text1"/>
                <w:sz w:val="20"/>
                <w:szCs w:val="20"/>
                <w:lang w:val="en-US"/>
              </w:rPr>
            </w:pPr>
            <w:r w:rsidRPr="00376E0E">
              <w:rPr>
                <w:color w:val="000000" w:themeColor="text1"/>
                <w:sz w:val="20"/>
                <w:szCs w:val="20"/>
                <w:lang w:val="en-US"/>
              </w:rPr>
              <w:t xml:space="preserve">           9,5 Ca</w:t>
            </w:r>
          </w:p>
        </w:tc>
        <w:tc>
          <w:tcPr>
            <w:tcW w:w="1799" w:type="dxa"/>
            <w:vAlign w:val="center"/>
            <w:hideMark/>
          </w:tcPr>
          <w:p w14:paraId="7847C30C"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12,7 Ca</w:t>
            </w:r>
          </w:p>
        </w:tc>
        <w:tc>
          <w:tcPr>
            <w:tcW w:w="1799" w:type="dxa"/>
            <w:vAlign w:val="center"/>
            <w:hideMark/>
          </w:tcPr>
          <w:p w14:paraId="74128942"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13,5 Ca</w:t>
            </w:r>
          </w:p>
        </w:tc>
        <w:tc>
          <w:tcPr>
            <w:tcW w:w="1846" w:type="dxa"/>
            <w:vAlign w:val="center"/>
            <w:hideMark/>
          </w:tcPr>
          <w:p w14:paraId="0628AA62"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11,9 C</w:t>
            </w:r>
          </w:p>
        </w:tc>
      </w:tr>
      <w:tr w:rsidR="00376E0E" w:rsidRPr="00376E0E" w14:paraId="088DAEFA" w14:textId="77777777" w:rsidTr="00D74DA1">
        <w:trPr>
          <w:trHeight w:val="300"/>
        </w:trPr>
        <w:tc>
          <w:tcPr>
            <w:tcW w:w="1398" w:type="dxa"/>
            <w:tcBorders>
              <w:bottom w:val="single" w:sz="4" w:space="0" w:color="auto"/>
            </w:tcBorders>
            <w:vAlign w:val="center"/>
            <w:hideMark/>
          </w:tcPr>
          <w:p w14:paraId="3463D61D" w14:textId="77777777" w:rsidR="00376E0E" w:rsidRPr="00376E0E" w:rsidRDefault="00376E0E" w:rsidP="00376E0E">
            <w:pPr>
              <w:spacing w:line="360" w:lineRule="auto"/>
              <w:ind w:firstLine="0"/>
              <w:jc w:val="center"/>
              <w:rPr>
                <w:b/>
                <w:color w:val="000000" w:themeColor="text1"/>
                <w:sz w:val="20"/>
                <w:szCs w:val="20"/>
                <w:lang w:val="en-US"/>
              </w:rPr>
            </w:pPr>
            <w:r w:rsidRPr="00376E0E">
              <w:rPr>
                <w:b/>
                <w:color w:val="000000" w:themeColor="text1"/>
                <w:sz w:val="20"/>
                <w:szCs w:val="20"/>
                <w:lang w:val="en-US"/>
              </w:rPr>
              <w:t>Média</w:t>
            </w:r>
          </w:p>
        </w:tc>
        <w:tc>
          <w:tcPr>
            <w:tcW w:w="1799" w:type="dxa"/>
            <w:tcBorders>
              <w:bottom w:val="single" w:sz="4" w:space="0" w:color="auto"/>
            </w:tcBorders>
            <w:vAlign w:val="center"/>
            <w:hideMark/>
          </w:tcPr>
          <w:p w14:paraId="7519E6A1" w14:textId="77777777" w:rsidR="00376E0E" w:rsidRPr="00376E0E" w:rsidRDefault="00376E0E" w:rsidP="00376E0E">
            <w:pPr>
              <w:spacing w:line="360" w:lineRule="auto"/>
              <w:ind w:firstLine="0"/>
              <w:jc w:val="left"/>
              <w:rPr>
                <w:color w:val="000000" w:themeColor="text1"/>
                <w:sz w:val="20"/>
                <w:szCs w:val="20"/>
                <w:lang w:val="en-US"/>
              </w:rPr>
            </w:pPr>
            <w:r w:rsidRPr="00376E0E">
              <w:rPr>
                <w:color w:val="000000" w:themeColor="text1"/>
                <w:sz w:val="20"/>
                <w:szCs w:val="20"/>
                <w:lang w:val="en-US"/>
              </w:rPr>
              <w:t xml:space="preserve">         20,4 b</w:t>
            </w:r>
          </w:p>
        </w:tc>
        <w:tc>
          <w:tcPr>
            <w:tcW w:w="1799" w:type="dxa"/>
            <w:tcBorders>
              <w:bottom w:val="single" w:sz="4" w:space="0" w:color="auto"/>
            </w:tcBorders>
            <w:vAlign w:val="center"/>
            <w:hideMark/>
          </w:tcPr>
          <w:p w14:paraId="7DB1B55B" w14:textId="77777777" w:rsidR="00376E0E" w:rsidRPr="00376E0E" w:rsidRDefault="00376E0E" w:rsidP="00376E0E">
            <w:pPr>
              <w:spacing w:line="360" w:lineRule="auto"/>
              <w:ind w:firstLine="0"/>
              <w:jc w:val="left"/>
              <w:rPr>
                <w:color w:val="000000" w:themeColor="text1"/>
                <w:sz w:val="20"/>
                <w:szCs w:val="20"/>
                <w:lang w:val="en-US"/>
              </w:rPr>
            </w:pPr>
            <w:r w:rsidRPr="00376E0E">
              <w:rPr>
                <w:color w:val="000000" w:themeColor="text1"/>
                <w:sz w:val="20"/>
                <w:szCs w:val="20"/>
                <w:lang w:val="en-US"/>
              </w:rPr>
              <w:t xml:space="preserve">          27,6 a</w:t>
            </w:r>
          </w:p>
        </w:tc>
        <w:tc>
          <w:tcPr>
            <w:tcW w:w="1799" w:type="dxa"/>
            <w:tcBorders>
              <w:bottom w:val="single" w:sz="4" w:space="0" w:color="auto"/>
            </w:tcBorders>
            <w:vAlign w:val="center"/>
            <w:hideMark/>
          </w:tcPr>
          <w:p w14:paraId="25876277" w14:textId="77777777" w:rsidR="00376E0E" w:rsidRPr="00376E0E" w:rsidRDefault="00376E0E" w:rsidP="00376E0E">
            <w:pPr>
              <w:spacing w:line="360" w:lineRule="auto"/>
              <w:ind w:firstLine="0"/>
              <w:jc w:val="left"/>
              <w:rPr>
                <w:color w:val="000000" w:themeColor="text1"/>
                <w:sz w:val="20"/>
                <w:szCs w:val="20"/>
                <w:lang w:val="en-US"/>
              </w:rPr>
            </w:pPr>
            <w:r w:rsidRPr="00376E0E">
              <w:rPr>
                <w:color w:val="000000" w:themeColor="text1"/>
                <w:sz w:val="20"/>
                <w:szCs w:val="20"/>
                <w:lang w:val="en-US"/>
              </w:rPr>
              <w:t xml:space="preserve">          27,1 a</w:t>
            </w:r>
          </w:p>
        </w:tc>
        <w:tc>
          <w:tcPr>
            <w:tcW w:w="1846" w:type="dxa"/>
            <w:tcBorders>
              <w:bottom w:val="single" w:sz="4" w:space="0" w:color="auto"/>
            </w:tcBorders>
            <w:vAlign w:val="center"/>
            <w:hideMark/>
          </w:tcPr>
          <w:p w14:paraId="55D93330" w14:textId="77777777" w:rsidR="00376E0E" w:rsidRPr="00376E0E" w:rsidRDefault="00376E0E" w:rsidP="00376E0E">
            <w:pPr>
              <w:spacing w:line="360" w:lineRule="auto"/>
              <w:ind w:firstLine="0"/>
              <w:jc w:val="center"/>
              <w:rPr>
                <w:color w:val="000000" w:themeColor="text1"/>
                <w:sz w:val="20"/>
                <w:szCs w:val="20"/>
                <w:lang w:val="en-US"/>
              </w:rPr>
            </w:pPr>
            <w:r w:rsidRPr="00376E0E">
              <w:rPr>
                <w:color w:val="000000" w:themeColor="text1"/>
                <w:sz w:val="20"/>
                <w:szCs w:val="20"/>
                <w:lang w:val="en-US"/>
              </w:rPr>
              <w:t>25,0 A</w:t>
            </w:r>
          </w:p>
        </w:tc>
      </w:tr>
      <w:tr w:rsidR="00376E0E" w:rsidRPr="00376E0E" w14:paraId="3F743C14" w14:textId="77777777" w:rsidTr="00D74DA1">
        <w:trPr>
          <w:trHeight w:val="300"/>
        </w:trPr>
        <w:tc>
          <w:tcPr>
            <w:tcW w:w="1398" w:type="dxa"/>
            <w:tcBorders>
              <w:top w:val="single" w:sz="4" w:space="0" w:color="auto"/>
              <w:bottom w:val="single" w:sz="4" w:space="0" w:color="auto"/>
            </w:tcBorders>
            <w:vAlign w:val="center"/>
            <w:hideMark/>
          </w:tcPr>
          <w:p w14:paraId="3E7E6DEF" w14:textId="77777777" w:rsidR="00376E0E" w:rsidRPr="00376E0E" w:rsidRDefault="00376E0E" w:rsidP="00376E0E">
            <w:pPr>
              <w:spacing w:line="360" w:lineRule="auto"/>
              <w:ind w:firstLine="0"/>
              <w:jc w:val="center"/>
              <w:rPr>
                <w:b/>
                <w:color w:val="000000" w:themeColor="text1"/>
                <w:sz w:val="20"/>
                <w:szCs w:val="20"/>
                <w:lang w:val="en-US"/>
              </w:rPr>
            </w:pPr>
            <w:r w:rsidRPr="00376E0E">
              <w:rPr>
                <w:b/>
                <w:color w:val="000000" w:themeColor="text1"/>
                <w:sz w:val="20"/>
                <w:szCs w:val="20"/>
                <w:lang w:val="en-US"/>
              </w:rPr>
              <w:t>CV (%)</w:t>
            </w:r>
          </w:p>
        </w:tc>
        <w:tc>
          <w:tcPr>
            <w:tcW w:w="1799" w:type="dxa"/>
            <w:tcBorders>
              <w:top w:val="single" w:sz="4" w:space="0" w:color="auto"/>
              <w:bottom w:val="single" w:sz="4" w:space="0" w:color="auto"/>
            </w:tcBorders>
            <w:vAlign w:val="center"/>
            <w:hideMark/>
          </w:tcPr>
          <w:p w14:paraId="134C3DBF" w14:textId="77777777" w:rsidR="00376E0E" w:rsidRPr="00376E0E" w:rsidRDefault="00376E0E" w:rsidP="00376E0E">
            <w:pPr>
              <w:spacing w:line="360" w:lineRule="auto"/>
              <w:ind w:firstLine="0"/>
              <w:jc w:val="left"/>
              <w:rPr>
                <w:color w:val="000000" w:themeColor="text1"/>
                <w:sz w:val="20"/>
                <w:szCs w:val="20"/>
                <w:lang w:val="en-US"/>
              </w:rPr>
            </w:pPr>
            <w:r w:rsidRPr="00376E0E">
              <w:rPr>
                <w:color w:val="000000" w:themeColor="text1"/>
                <w:sz w:val="20"/>
                <w:szCs w:val="20"/>
                <w:lang w:val="en-US"/>
              </w:rPr>
              <w:t xml:space="preserve">         12,1</w:t>
            </w:r>
          </w:p>
        </w:tc>
        <w:tc>
          <w:tcPr>
            <w:tcW w:w="1799" w:type="dxa"/>
            <w:tcBorders>
              <w:top w:val="single" w:sz="4" w:space="0" w:color="auto"/>
              <w:bottom w:val="single" w:sz="4" w:space="0" w:color="auto"/>
            </w:tcBorders>
            <w:vAlign w:val="center"/>
            <w:hideMark/>
          </w:tcPr>
          <w:p w14:paraId="6EE98CA5" w14:textId="77777777" w:rsidR="00376E0E" w:rsidRPr="00376E0E" w:rsidRDefault="00376E0E" w:rsidP="00376E0E">
            <w:pPr>
              <w:spacing w:line="360" w:lineRule="auto"/>
              <w:ind w:firstLine="0"/>
              <w:jc w:val="center"/>
              <w:rPr>
                <w:color w:val="000000" w:themeColor="text1"/>
                <w:sz w:val="20"/>
                <w:szCs w:val="20"/>
                <w:lang w:val="en-US"/>
              </w:rPr>
            </w:pPr>
          </w:p>
        </w:tc>
        <w:tc>
          <w:tcPr>
            <w:tcW w:w="1799" w:type="dxa"/>
            <w:tcBorders>
              <w:top w:val="single" w:sz="4" w:space="0" w:color="auto"/>
              <w:bottom w:val="single" w:sz="4" w:space="0" w:color="auto"/>
            </w:tcBorders>
            <w:vAlign w:val="center"/>
            <w:hideMark/>
          </w:tcPr>
          <w:p w14:paraId="10C581FE" w14:textId="77777777" w:rsidR="00376E0E" w:rsidRPr="00376E0E" w:rsidRDefault="00376E0E" w:rsidP="00376E0E">
            <w:pPr>
              <w:spacing w:line="360" w:lineRule="auto"/>
              <w:ind w:firstLine="0"/>
              <w:jc w:val="center"/>
              <w:rPr>
                <w:color w:val="000000" w:themeColor="text1"/>
                <w:sz w:val="20"/>
                <w:szCs w:val="20"/>
                <w:lang w:val="en-US"/>
              </w:rPr>
            </w:pPr>
          </w:p>
        </w:tc>
        <w:tc>
          <w:tcPr>
            <w:tcW w:w="1846" w:type="dxa"/>
            <w:tcBorders>
              <w:top w:val="single" w:sz="4" w:space="0" w:color="auto"/>
              <w:bottom w:val="single" w:sz="4" w:space="0" w:color="auto"/>
            </w:tcBorders>
            <w:vAlign w:val="center"/>
            <w:hideMark/>
          </w:tcPr>
          <w:p w14:paraId="04189E0E" w14:textId="77777777" w:rsidR="00376E0E" w:rsidRPr="00376E0E" w:rsidRDefault="00376E0E" w:rsidP="00376E0E">
            <w:pPr>
              <w:spacing w:line="360" w:lineRule="auto"/>
              <w:ind w:firstLine="0"/>
              <w:jc w:val="center"/>
              <w:rPr>
                <w:color w:val="000000" w:themeColor="text1"/>
                <w:sz w:val="20"/>
                <w:szCs w:val="20"/>
                <w:lang w:val="en-US"/>
              </w:rPr>
            </w:pPr>
          </w:p>
        </w:tc>
      </w:tr>
    </w:tbl>
    <w:p w14:paraId="69319F8F" w14:textId="77777777" w:rsidR="00376E0E" w:rsidRPr="00376E0E" w:rsidRDefault="00376E0E" w:rsidP="00376E0E">
      <w:pPr>
        <w:autoSpaceDE/>
        <w:autoSpaceDN/>
        <w:adjustRightInd/>
        <w:spacing w:after="0" w:line="240" w:lineRule="auto"/>
        <w:ind w:left="142" w:right="566" w:firstLine="0"/>
        <w:rPr>
          <w:color w:val="000000" w:themeColor="text1"/>
          <w:sz w:val="16"/>
          <w:szCs w:val="16"/>
        </w:rPr>
      </w:pPr>
      <w:r w:rsidRPr="00376E0E">
        <w:rPr>
          <w:color w:val="000000" w:themeColor="text1"/>
          <w:sz w:val="16"/>
          <w:szCs w:val="16"/>
        </w:rPr>
        <w:t>*Médias seguidas de letras minúsculas igual na linha não diferem estatisticamente entre si, e média seguidas de letras e maiúsculas diferentes na coluna diferem estatisticamente entre si.</w:t>
      </w:r>
    </w:p>
    <w:p w14:paraId="2FC3180D" w14:textId="77777777" w:rsidR="00376E0E" w:rsidRPr="00376E0E" w:rsidRDefault="00376E0E" w:rsidP="00376E0E">
      <w:pPr>
        <w:autoSpaceDE/>
        <w:autoSpaceDN/>
        <w:adjustRightInd/>
        <w:spacing w:after="0" w:line="240" w:lineRule="auto"/>
        <w:ind w:left="142" w:right="140" w:firstLine="0"/>
        <w:rPr>
          <w:color w:val="000000" w:themeColor="text1"/>
          <w:kern w:val="24"/>
          <w:sz w:val="16"/>
          <w:szCs w:val="16"/>
        </w:rPr>
      </w:pPr>
      <w:r w:rsidRPr="00376E0E">
        <w:rPr>
          <w:color w:val="000000" w:themeColor="text1"/>
          <w:sz w:val="16"/>
          <w:szCs w:val="16"/>
        </w:rPr>
        <w:t xml:space="preserve">Momentos de coleta: </w:t>
      </w:r>
      <w:r w:rsidRPr="00376E0E">
        <w:rPr>
          <w:rFonts w:eastAsia="Times New Roman"/>
          <w:color w:val="000000" w:themeColor="text1"/>
          <w:kern w:val="24"/>
          <w:sz w:val="16"/>
          <w:szCs w:val="16"/>
          <w:lang w:eastAsia="pt-BR"/>
        </w:rPr>
        <w:t>17 DAP</w:t>
      </w:r>
      <w:r w:rsidRPr="00376E0E">
        <w:rPr>
          <w:rFonts w:eastAsia="Times New Roman"/>
          <w:color w:val="000000" w:themeColor="text1"/>
          <w:kern w:val="24"/>
          <w:position w:val="-7"/>
          <w:sz w:val="16"/>
          <w:szCs w:val="16"/>
          <w:vertAlign w:val="subscript"/>
          <w:lang w:eastAsia="pt-BR"/>
        </w:rPr>
        <w:t>0</w:t>
      </w:r>
      <w:r w:rsidRPr="00376E0E">
        <w:rPr>
          <w:color w:val="000000" w:themeColor="text1"/>
          <w:sz w:val="16"/>
          <w:szCs w:val="16"/>
        </w:rPr>
        <w:t>- 17 dias após a detecção do fungo (</w:t>
      </w:r>
      <w:r w:rsidRPr="00376E0E">
        <w:rPr>
          <w:rFonts w:eastAsia="Times New Roman"/>
          <w:color w:val="000000" w:themeColor="text1"/>
          <w:kern w:val="24"/>
          <w:sz w:val="16"/>
          <w:szCs w:val="16"/>
          <w:lang w:eastAsia="pt-BR"/>
        </w:rPr>
        <w:t>P</w:t>
      </w:r>
      <w:r w:rsidRPr="00376E0E">
        <w:rPr>
          <w:rFonts w:eastAsia="Times New Roman"/>
          <w:color w:val="000000" w:themeColor="text1"/>
          <w:kern w:val="24"/>
          <w:position w:val="-7"/>
          <w:sz w:val="16"/>
          <w:szCs w:val="16"/>
          <w:vertAlign w:val="subscript"/>
          <w:lang w:eastAsia="pt-BR"/>
        </w:rPr>
        <w:t>0</w:t>
      </w:r>
      <w:r w:rsidRPr="00376E0E">
        <w:rPr>
          <w:color w:val="000000" w:themeColor="text1"/>
          <w:sz w:val="16"/>
          <w:szCs w:val="16"/>
        </w:rPr>
        <w:t xml:space="preserve">); </w:t>
      </w:r>
      <w:r w:rsidRPr="00376E0E">
        <w:rPr>
          <w:rFonts w:eastAsia="Times New Roman"/>
          <w:color w:val="000000" w:themeColor="text1"/>
          <w:kern w:val="24"/>
          <w:sz w:val="16"/>
          <w:szCs w:val="16"/>
          <w:lang w:eastAsia="pt-BR"/>
        </w:rPr>
        <w:t>35 DAP</w:t>
      </w:r>
      <w:r w:rsidRPr="00376E0E">
        <w:rPr>
          <w:rFonts w:eastAsia="Times New Roman"/>
          <w:color w:val="000000" w:themeColor="text1"/>
          <w:kern w:val="24"/>
          <w:position w:val="-7"/>
          <w:sz w:val="16"/>
          <w:szCs w:val="16"/>
          <w:vertAlign w:val="subscript"/>
          <w:lang w:eastAsia="pt-BR"/>
        </w:rPr>
        <w:t>0</w:t>
      </w:r>
      <w:r w:rsidRPr="00376E0E">
        <w:rPr>
          <w:color w:val="000000" w:themeColor="text1"/>
          <w:sz w:val="16"/>
          <w:szCs w:val="16"/>
        </w:rPr>
        <w:t>- 35 dias após a detecção do fungo (</w:t>
      </w:r>
      <w:r w:rsidRPr="00376E0E">
        <w:rPr>
          <w:rFonts w:eastAsia="Times New Roman"/>
          <w:color w:val="000000" w:themeColor="text1"/>
          <w:kern w:val="24"/>
          <w:sz w:val="16"/>
          <w:szCs w:val="16"/>
          <w:lang w:eastAsia="pt-BR"/>
        </w:rPr>
        <w:t>P</w:t>
      </w:r>
      <w:r w:rsidRPr="00376E0E">
        <w:rPr>
          <w:rFonts w:eastAsia="Times New Roman"/>
          <w:color w:val="000000" w:themeColor="text1"/>
          <w:kern w:val="24"/>
          <w:position w:val="-7"/>
          <w:sz w:val="16"/>
          <w:szCs w:val="16"/>
          <w:vertAlign w:val="subscript"/>
          <w:lang w:eastAsia="pt-BR"/>
        </w:rPr>
        <w:t>0</w:t>
      </w:r>
      <w:r w:rsidRPr="00376E0E">
        <w:rPr>
          <w:color w:val="000000" w:themeColor="text1"/>
          <w:sz w:val="16"/>
          <w:szCs w:val="16"/>
        </w:rPr>
        <w:t xml:space="preserve">); </w:t>
      </w:r>
      <w:r w:rsidRPr="00376E0E">
        <w:rPr>
          <w:rFonts w:eastAsia="Times New Roman"/>
          <w:color w:val="000000" w:themeColor="text1"/>
          <w:kern w:val="24"/>
          <w:sz w:val="16"/>
          <w:szCs w:val="16"/>
          <w:lang w:eastAsia="pt-BR"/>
        </w:rPr>
        <w:t>52 DAP</w:t>
      </w:r>
      <w:r w:rsidRPr="00376E0E">
        <w:rPr>
          <w:rFonts w:eastAsia="Times New Roman"/>
          <w:color w:val="000000" w:themeColor="text1"/>
          <w:kern w:val="24"/>
          <w:position w:val="-7"/>
          <w:sz w:val="16"/>
          <w:szCs w:val="16"/>
          <w:vertAlign w:val="subscript"/>
          <w:lang w:eastAsia="pt-BR"/>
        </w:rPr>
        <w:t>0</w:t>
      </w:r>
      <w:r w:rsidRPr="00376E0E">
        <w:rPr>
          <w:color w:val="000000" w:themeColor="text1"/>
          <w:sz w:val="16"/>
          <w:szCs w:val="16"/>
        </w:rPr>
        <w:t>- 52 dias após a detecção do fungo (</w:t>
      </w:r>
      <w:r w:rsidRPr="00376E0E">
        <w:rPr>
          <w:rFonts w:eastAsia="Times New Roman"/>
          <w:color w:val="000000" w:themeColor="text1"/>
          <w:kern w:val="24"/>
          <w:sz w:val="16"/>
          <w:szCs w:val="16"/>
          <w:lang w:eastAsia="pt-BR"/>
        </w:rPr>
        <w:t>P</w:t>
      </w:r>
      <w:r w:rsidRPr="00376E0E">
        <w:rPr>
          <w:rFonts w:eastAsia="Times New Roman"/>
          <w:color w:val="000000" w:themeColor="text1"/>
          <w:kern w:val="24"/>
          <w:position w:val="-7"/>
          <w:sz w:val="16"/>
          <w:szCs w:val="16"/>
          <w:vertAlign w:val="subscript"/>
          <w:lang w:eastAsia="pt-BR"/>
        </w:rPr>
        <w:t>0</w:t>
      </w:r>
      <w:r w:rsidRPr="00376E0E">
        <w:rPr>
          <w:color w:val="000000" w:themeColor="text1"/>
          <w:sz w:val="16"/>
          <w:szCs w:val="16"/>
        </w:rPr>
        <w:t xml:space="preserve">). Tratamentos: </w:t>
      </w:r>
      <w:r w:rsidRPr="00376E0E">
        <w:rPr>
          <w:rFonts w:eastAsiaTheme="minorEastAsia"/>
          <w:color w:val="000000" w:themeColor="text1"/>
          <w:kern w:val="24"/>
          <w:sz w:val="16"/>
          <w:szCs w:val="16"/>
        </w:rPr>
        <w:t xml:space="preserve">T1) Testemunha sem aplicação de carboxamida, </w:t>
      </w:r>
      <w:r w:rsidRPr="00376E0E">
        <w:rPr>
          <w:color w:val="000000" w:themeColor="text1"/>
          <w:kern w:val="24"/>
          <w:sz w:val="16"/>
          <w:szCs w:val="16"/>
        </w:rPr>
        <w:t>(primeira e terceira aplicação de trifloxistrobina + protioconazole; segunda e quarta aplicação picoxistrobina + tebuconazole)</w:t>
      </w:r>
      <w:r w:rsidRPr="00376E0E">
        <w:rPr>
          <w:rFonts w:eastAsiaTheme="minorEastAsia"/>
          <w:color w:val="000000" w:themeColor="text1"/>
          <w:kern w:val="24"/>
          <w:sz w:val="16"/>
          <w:szCs w:val="16"/>
        </w:rPr>
        <w:t>; T2) Primeira aplicação da</w:t>
      </w:r>
      <w:r w:rsidRPr="00376E0E">
        <w:rPr>
          <w:color w:val="000000" w:themeColor="text1"/>
          <w:kern w:val="24"/>
          <w:sz w:val="16"/>
          <w:szCs w:val="16"/>
        </w:rPr>
        <w:t xml:space="preserve"> carboxamida 1 (fluxapyroxada + piraclostrobina)</w:t>
      </w:r>
      <w:r w:rsidRPr="00376E0E">
        <w:rPr>
          <w:rFonts w:eastAsiaTheme="minorEastAsia"/>
          <w:color w:val="000000" w:themeColor="text1"/>
          <w:kern w:val="24"/>
          <w:sz w:val="16"/>
          <w:szCs w:val="16"/>
        </w:rPr>
        <w:t xml:space="preserve">; T3) Primeira e segunda aplicações </w:t>
      </w:r>
      <w:r w:rsidRPr="00376E0E">
        <w:rPr>
          <w:color w:val="000000" w:themeColor="text1"/>
          <w:kern w:val="24"/>
          <w:sz w:val="16"/>
          <w:szCs w:val="16"/>
        </w:rPr>
        <w:t>da carboxamida 1 (fluxapyroxada + piraclostrobina)</w:t>
      </w:r>
      <w:r w:rsidRPr="00376E0E">
        <w:rPr>
          <w:rFonts w:eastAsiaTheme="minorEastAsia"/>
          <w:color w:val="000000" w:themeColor="text1"/>
          <w:kern w:val="24"/>
          <w:sz w:val="16"/>
          <w:szCs w:val="16"/>
        </w:rPr>
        <w:t xml:space="preserve">; T4) Primeira aplicação </w:t>
      </w:r>
      <w:r w:rsidRPr="00376E0E">
        <w:rPr>
          <w:color w:val="000000" w:themeColor="text1"/>
          <w:kern w:val="24"/>
          <w:sz w:val="16"/>
          <w:szCs w:val="16"/>
        </w:rPr>
        <w:t xml:space="preserve">da carboxamida 2 </w:t>
      </w:r>
      <w:r w:rsidRPr="00376E0E">
        <w:rPr>
          <w:kern w:val="24"/>
          <w:sz w:val="16"/>
          <w:szCs w:val="16"/>
        </w:rPr>
        <w:t>(</w:t>
      </w:r>
      <w:r w:rsidRPr="00376E0E">
        <w:rPr>
          <w:sz w:val="16"/>
          <w:szCs w:val="16"/>
        </w:rPr>
        <w:t>benzovindiflupyr + azoxistrobina</w:t>
      </w:r>
      <w:r w:rsidRPr="00376E0E">
        <w:rPr>
          <w:kern w:val="24"/>
          <w:sz w:val="16"/>
          <w:szCs w:val="16"/>
        </w:rPr>
        <w:t>)</w:t>
      </w:r>
      <w:r w:rsidRPr="00376E0E">
        <w:rPr>
          <w:rFonts w:eastAsiaTheme="minorEastAsia"/>
          <w:kern w:val="24"/>
          <w:sz w:val="16"/>
          <w:szCs w:val="16"/>
        </w:rPr>
        <w:t xml:space="preserve">; T5) Primeira e segunda aplicações </w:t>
      </w:r>
      <w:r w:rsidRPr="00376E0E">
        <w:rPr>
          <w:kern w:val="24"/>
          <w:sz w:val="16"/>
          <w:szCs w:val="16"/>
        </w:rPr>
        <w:t>da carboxamida 2 (</w:t>
      </w:r>
      <w:r w:rsidRPr="00376E0E">
        <w:rPr>
          <w:sz w:val="16"/>
          <w:szCs w:val="16"/>
        </w:rPr>
        <w:t>benzovindiflupyr + azoxistrobina</w:t>
      </w:r>
      <w:r w:rsidRPr="00376E0E">
        <w:rPr>
          <w:kern w:val="24"/>
          <w:sz w:val="16"/>
          <w:szCs w:val="16"/>
        </w:rPr>
        <w:t>)</w:t>
      </w:r>
      <w:r w:rsidRPr="00376E0E">
        <w:rPr>
          <w:color w:val="000000" w:themeColor="text1"/>
          <w:kern w:val="24"/>
          <w:sz w:val="16"/>
          <w:szCs w:val="16"/>
        </w:rPr>
        <w:t>; T6) Testemunha sem aplicação de fungicida.</w:t>
      </w:r>
    </w:p>
    <w:p w14:paraId="2BE12319" w14:textId="77777777" w:rsidR="00D41441" w:rsidRPr="00B7238F" w:rsidRDefault="00D41441" w:rsidP="003F6D94">
      <w:pPr>
        <w:pStyle w:val="Default"/>
        <w:spacing w:line="360" w:lineRule="auto"/>
        <w:jc w:val="both"/>
        <w:rPr>
          <w:color w:val="000000" w:themeColor="text1"/>
          <w:lang w:val="pt-BR"/>
        </w:rPr>
      </w:pPr>
    </w:p>
    <w:p w14:paraId="770C4A99" w14:textId="1F79ACF9" w:rsidR="00D41441" w:rsidRPr="00B7238F" w:rsidRDefault="00B523E6" w:rsidP="003F6D94">
      <w:pPr>
        <w:pStyle w:val="Default"/>
        <w:spacing w:line="360" w:lineRule="auto"/>
        <w:ind w:firstLine="708"/>
        <w:jc w:val="both"/>
        <w:rPr>
          <w:color w:val="000000" w:themeColor="text1"/>
          <w:lang w:val="pt-BR"/>
        </w:rPr>
      </w:pPr>
      <w:r w:rsidRPr="00B7238F">
        <w:rPr>
          <w:color w:val="000000" w:themeColor="text1"/>
          <w:lang w:val="pt-BR"/>
        </w:rPr>
        <w:t xml:space="preserve">As populações de </w:t>
      </w:r>
      <w:r w:rsidRPr="00B7238F">
        <w:rPr>
          <w:i/>
          <w:color w:val="000000" w:themeColor="text1"/>
          <w:lang w:val="pt-BR"/>
        </w:rPr>
        <w:t>P. pachyrhizi</w:t>
      </w:r>
      <w:r w:rsidRPr="00B7238F">
        <w:rPr>
          <w:color w:val="000000" w:themeColor="text1"/>
          <w:lang w:val="pt-BR"/>
        </w:rPr>
        <w:t xml:space="preserve"> coletadas nos tratamentos testemunhas (T7 e T12) apresentaram valores da mutação I86F inferiores estatisticamente a todos tratamentos contendo aplicações de fungicidas do grupo químico das carboxamidas, independente do momento de avaliação (Tabela 20).</w:t>
      </w:r>
    </w:p>
    <w:p w14:paraId="2D96CB97" w14:textId="79917FB6" w:rsidR="00D41441" w:rsidRPr="00B7238F" w:rsidRDefault="00206C19" w:rsidP="003F6D94">
      <w:pPr>
        <w:pStyle w:val="Default"/>
        <w:spacing w:line="360" w:lineRule="auto"/>
        <w:ind w:firstLine="708"/>
        <w:jc w:val="both"/>
        <w:rPr>
          <w:color w:val="000000" w:themeColor="text1"/>
          <w:lang w:val="pt-BR"/>
        </w:rPr>
      </w:pPr>
      <w:r w:rsidRPr="00B7238F">
        <w:rPr>
          <w:color w:val="000000" w:themeColor="text1"/>
          <w:lang w:val="pt-BR"/>
        </w:rPr>
        <w:t xml:space="preserve">A </w:t>
      </w:r>
      <w:r w:rsidR="00B50384" w:rsidRPr="00B7238F">
        <w:rPr>
          <w:color w:val="000000" w:themeColor="text1"/>
          <w:lang w:val="pt-BR"/>
        </w:rPr>
        <w:t>frequência média da mutação para os tratamentos contendo fungicidas do grupo químico das carboxamidas aos 17 DAP</w:t>
      </w:r>
      <w:r w:rsidR="00B50384" w:rsidRPr="00B7238F">
        <w:rPr>
          <w:color w:val="000000" w:themeColor="text1"/>
          <w:vertAlign w:val="subscript"/>
          <w:lang w:val="pt-BR"/>
        </w:rPr>
        <w:t>0</w:t>
      </w:r>
      <w:r w:rsidR="00B50384" w:rsidRPr="00B7238F">
        <w:rPr>
          <w:color w:val="000000" w:themeColor="text1"/>
          <w:lang w:val="pt-BR"/>
        </w:rPr>
        <w:t xml:space="preserve"> (27,1 %) foi inferior estatisticamente as observações realizadas para os mesmos tratamentos aos 35 (37,4 %) e 52 DAP</w:t>
      </w:r>
      <w:r w:rsidR="00B50384" w:rsidRPr="00B7238F">
        <w:rPr>
          <w:color w:val="000000" w:themeColor="text1"/>
          <w:vertAlign w:val="subscript"/>
          <w:lang w:val="pt-BR"/>
        </w:rPr>
        <w:t xml:space="preserve">0 </w:t>
      </w:r>
      <w:r w:rsidR="00B50384" w:rsidRPr="00B7238F">
        <w:rPr>
          <w:color w:val="000000" w:themeColor="text1"/>
          <w:lang w:val="pt-BR"/>
        </w:rPr>
        <w:t xml:space="preserve">(35,9 %) </w:t>
      </w:r>
      <w:r w:rsidR="000040AD" w:rsidRPr="00B7238F">
        <w:rPr>
          <w:color w:val="000000" w:themeColor="text1"/>
          <w:lang w:val="pt-BR"/>
        </w:rPr>
        <w:t>(Anexo 2)</w:t>
      </w:r>
      <w:r w:rsidR="00B50384" w:rsidRPr="00B7238F">
        <w:rPr>
          <w:color w:val="000000" w:themeColor="text1"/>
          <w:lang w:val="pt-BR"/>
        </w:rPr>
        <w:t>. Além disto, as avaliações realizadas aos 35 e 52 DAP</w:t>
      </w:r>
      <w:r w:rsidR="00B50384" w:rsidRPr="00B7238F">
        <w:rPr>
          <w:color w:val="000000" w:themeColor="text1"/>
          <w:vertAlign w:val="subscript"/>
          <w:lang w:val="pt-BR"/>
        </w:rPr>
        <w:t xml:space="preserve">0 </w:t>
      </w:r>
      <w:r w:rsidR="00B50384" w:rsidRPr="00B7238F">
        <w:rPr>
          <w:color w:val="000000" w:themeColor="text1"/>
          <w:lang w:val="pt-BR"/>
        </w:rPr>
        <w:t xml:space="preserve">não diferiram entre si quanto a frequência da mutação </w:t>
      </w:r>
      <w:r w:rsidR="000040AD" w:rsidRPr="00B7238F">
        <w:rPr>
          <w:color w:val="000000" w:themeColor="text1"/>
          <w:lang w:val="pt-BR"/>
        </w:rPr>
        <w:t>(Anexo 2)</w:t>
      </w:r>
      <w:r w:rsidR="00B50384" w:rsidRPr="00B7238F">
        <w:rPr>
          <w:color w:val="000000" w:themeColor="text1"/>
          <w:lang w:val="pt-BR"/>
        </w:rPr>
        <w:t>.</w:t>
      </w:r>
    </w:p>
    <w:p w14:paraId="0D0D2B03" w14:textId="3B41E288" w:rsidR="00D41441" w:rsidRPr="00B7238F" w:rsidRDefault="00D41441" w:rsidP="003F6D94">
      <w:pPr>
        <w:pStyle w:val="Default"/>
        <w:spacing w:line="360" w:lineRule="auto"/>
        <w:ind w:firstLine="708"/>
        <w:jc w:val="both"/>
        <w:rPr>
          <w:color w:val="000000" w:themeColor="text1"/>
          <w:lang w:val="pt-BR"/>
        </w:rPr>
      </w:pPr>
      <w:r w:rsidRPr="00B7238F">
        <w:rPr>
          <w:color w:val="000000" w:themeColor="text1"/>
          <w:lang w:val="pt-BR"/>
        </w:rPr>
        <w:t xml:space="preserve">Os tratamentos com pulverizações de azoxistrobina + benzovindiflupir (T4 + T5) apresentaram valores de frequência da mutação I86F </w:t>
      </w:r>
      <w:r w:rsidR="00B50384" w:rsidRPr="00B7238F">
        <w:rPr>
          <w:color w:val="000000" w:themeColor="text1"/>
          <w:lang w:val="pt-BR"/>
        </w:rPr>
        <w:t xml:space="preserve">estatisticamente superiores </w:t>
      </w:r>
      <w:r w:rsidRPr="00B7238F">
        <w:rPr>
          <w:color w:val="000000" w:themeColor="text1"/>
          <w:lang w:val="pt-BR"/>
        </w:rPr>
        <w:t xml:space="preserve">aos tratamentos com aplicações de </w:t>
      </w:r>
      <w:r w:rsidR="00B50384" w:rsidRPr="00B7238F">
        <w:rPr>
          <w:color w:val="000000" w:themeColor="text1"/>
          <w:lang w:val="pt-BR"/>
        </w:rPr>
        <w:t xml:space="preserve">piraclostrobina + fluxapiroxada </w:t>
      </w:r>
      <w:r w:rsidRPr="00B7238F">
        <w:rPr>
          <w:color w:val="000000" w:themeColor="text1"/>
          <w:lang w:val="pt-BR"/>
        </w:rPr>
        <w:t xml:space="preserve">(T2 + T3) </w:t>
      </w:r>
      <w:r w:rsidR="00B50384" w:rsidRPr="00B7238F">
        <w:rPr>
          <w:color w:val="000000" w:themeColor="text1"/>
          <w:lang w:val="pt-BR"/>
        </w:rPr>
        <w:t xml:space="preserve">em todos os momentos avaliados </w:t>
      </w:r>
      <w:r w:rsidRPr="00B7238F">
        <w:rPr>
          <w:color w:val="000000" w:themeColor="text1"/>
          <w:lang w:val="pt-BR"/>
        </w:rPr>
        <w:t>(Anexo</w:t>
      </w:r>
      <w:r w:rsidR="000040AD" w:rsidRPr="00B7238F">
        <w:rPr>
          <w:color w:val="000000" w:themeColor="text1"/>
          <w:lang w:val="pt-BR"/>
        </w:rPr>
        <w:t xml:space="preserve"> 2</w:t>
      </w:r>
      <w:r w:rsidRPr="00B7238F">
        <w:rPr>
          <w:color w:val="000000" w:themeColor="text1"/>
          <w:lang w:val="pt-BR"/>
        </w:rPr>
        <w:t xml:space="preserve">). </w:t>
      </w:r>
    </w:p>
    <w:p w14:paraId="4D37CCAF" w14:textId="13B129A4" w:rsidR="00D41441" w:rsidRPr="00B7238F" w:rsidRDefault="00FB0DEE" w:rsidP="003F6D94">
      <w:pPr>
        <w:pStyle w:val="Default"/>
        <w:spacing w:line="360" w:lineRule="auto"/>
        <w:ind w:firstLine="708"/>
        <w:jc w:val="both"/>
        <w:rPr>
          <w:color w:val="000000" w:themeColor="text1"/>
          <w:lang w:val="pt-BR"/>
        </w:rPr>
      </w:pPr>
      <w:r w:rsidRPr="00B7238F">
        <w:rPr>
          <w:color w:val="000000" w:themeColor="text1"/>
          <w:lang w:val="pt-BR"/>
        </w:rPr>
        <w:t>A realização de uma aplicação de fungicidas do grupo químico das carboxamidas (T2 + T4), não apresentou diferença estatística de duas pulverizações dos mesmos fungicidas (T3 + T5) quanto a frequência da mutação I86F, independente do momento de avaliação</w:t>
      </w:r>
      <w:r w:rsidR="00D41441" w:rsidRPr="00B7238F">
        <w:rPr>
          <w:color w:val="000000" w:themeColor="text1"/>
          <w:lang w:val="pt-BR"/>
        </w:rPr>
        <w:t xml:space="preserve"> (Anexo </w:t>
      </w:r>
      <w:r w:rsidR="000040AD" w:rsidRPr="00B7238F">
        <w:rPr>
          <w:color w:val="000000" w:themeColor="text1"/>
          <w:lang w:val="pt-BR"/>
        </w:rPr>
        <w:t>2</w:t>
      </w:r>
      <w:r w:rsidR="00D41441" w:rsidRPr="00B7238F">
        <w:rPr>
          <w:color w:val="000000" w:themeColor="text1"/>
          <w:lang w:val="pt-BR"/>
        </w:rPr>
        <w:t>).</w:t>
      </w:r>
    </w:p>
    <w:p w14:paraId="490A1EB3" w14:textId="18855D7B" w:rsidR="00913858" w:rsidRPr="00B7238F" w:rsidRDefault="00D41441" w:rsidP="003F6D94">
      <w:pPr>
        <w:pStyle w:val="Default"/>
        <w:spacing w:line="360" w:lineRule="auto"/>
        <w:ind w:firstLine="708"/>
        <w:jc w:val="both"/>
        <w:rPr>
          <w:color w:val="000000" w:themeColor="text1"/>
          <w:lang w:val="pt-BR"/>
        </w:rPr>
      </w:pPr>
      <w:r w:rsidRPr="00B7238F">
        <w:rPr>
          <w:color w:val="000000" w:themeColor="text1"/>
          <w:lang w:val="pt-BR"/>
        </w:rPr>
        <w:t>As frequências da mutação I86F observadas para T</w:t>
      </w:r>
      <w:r w:rsidR="004F282C" w:rsidRPr="00B7238F">
        <w:rPr>
          <w:color w:val="000000" w:themeColor="text1"/>
          <w:lang w:val="pt-BR"/>
        </w:rPr>
        <w:t>4</w:t>
      </w:r>
      <w:r w:rsidRPr="00B7238F">
        <w:rPr>
          <w:color w:val="000000" w:themeColor="text1"/>
          <w:lang w:val="pt-BR"/>
        </w:rPr>
        <w:t xml:space="preserve"> e T</w:t>
      </w:r>
      <w:r w:rsidR="004F282C" w:rsidRPr="00B7238F">
        <w:rPr>
          <w:color w:val="000000" w:themeColor="text1"/>
          <w:lang w:val="pt-BR"/>
        </w:rPr>
        <w:t>5</w:t>
      </w:r>
      <w:r w:rsidRPr="00B7238F">
        <w:rPr>
          <w:color w:val="000000" w:themeColor="text1"/>
          <w:lang w:val="pt-BR"/>
        </w:rPr>
        <w:t xml:space="preserve"> foram </w:t>
      </w:r>
      <w:r w:rsidR="004F282C" w:rsidRPr="00B7238F">
        <w:rPr>
          <w:color w:val="000000" w:themeColor="text1"/>
          <w:lang w:val="pt-BR"/>
        </w:rPr>
        <w:t>superiores</w:t>
      </w:r>
      <w:r w:rsidRPr="00B7238F">
        <w:rPr>
          <w:color w:val="000000" w:themeColor="text1"/>
          <w:lang w:val="pt-BR"/>
        </w:rPr>
        <w:t xml:space="preserve"> estatisticamente a T</w:t>
      </w:r>
      <w:r w:rsidR="004F282C" w:rsidRPr="00B7238F">
        <w:rPr>
          <w:color w:val="000000" w:themeColor="text1"/>
          <w:lang w:val="pt-BR"/>
        </w:rPr>
        <w:t>2</w:t>
      </w:r>
      <w:r w:rsidRPr="00B7238F">
        <w:rPr>
          <w:color w:val="000000" w:themeColor="text1"/>
          <w:lang w:val="pt-BR"/>
        </w:rPr>
        <w:t xml:space="preserve"> e T</w:t>
      </w:r>
      <w:r w:rsidR="004F282C" w:rsidRPr="00B7238F">
        <w:rPr>
          <w:color w:val="000000" w:themeColor="text1"/>
          <w:lang w:val="pt-BR"/>
        </w:rPr>
        <w:t>3</w:t>
      </w:r>
      <w:r w:rsidRPr="00B7238F">
        <w:rPr>
          <w:color w:val="000000" w:themeColor="text1"/>
          <w:lang w:val="pt-BR"/>
        </w:rPr>
        <w:t>,</w:t>
      </w:r>
      <w:r w:rsidR="004F282C" w:rsidRPr="00B7238F">
        <w:rPr>
          <w:color w:val="000000" w:themeColor="text1"/>
          <w:lang w:val="pt-BR"/>
        </w:rPr>
        <w:t xml:space="preserve"> em todos os momentos avaliados</w:t>
      </w:r>
      <w:r w:rsidRPr="00B7238F">
        <w:rPr>
          <w:color w:val="000000" w:themeColor="text1"/>
          <w:lang w:val="pt-BR"/>
        </w:rPr>
        <w:t>. Os tratamentos T2 e T3</w:t>
      </w:r>
      <w:r w:rsidR="004F282C" w:rsidRPr="00B7238F">
        <w:rPr>
          <w:color w:val="000000" w:themeColor="text1"/>
          <w:lang w:val="pt-BR"/>
        </w:rPr>
        <w:t>,</w:t>
      </w:r>
      <w:r w:rsidRPr="00B7238F">
        <w:rPr>
          <w:color w:val="000000" w:themeColor="text1"/>
          <w:lang w:val="pt-BR"/>
        </w:rPr>
        <w:t xml:space="preserve"> não diferiram entre si em todos os momentos de avaliações (Tabela </w:t>
      </w:r>
      <w:r w:rsidR="004F282C" w:rsidRPr="00B7238F">
        <w:rPr>
          <w:color w:val="000000" w:themeColor="text1"/>
          <w:lang w:val="pt-BR"/>
        </w:rPr>
        <w:t>20</w:t>
      </w:r>
      <w:r w:rsidRPr="00B7238F">
        <w:rPr>
          <w:color w:val="000000" w:themeColor="text1"/>
          <w:lang w:val="pt-BR"/>
        </w:rPr>
        <w:t>). A realização de uma (T4) ou duas (T5)</w:t>
      </w:r>
      <w:r w:rsidR="004F282C" w:rsidRPr="00B7238F">
        <w:rPr>
          <w:color w:val="000000" w:themeColor="text1"/>
          <w:lang w:val="pt-BR"/>
        </w:rPr>
        <w:t xml:space="preserve"> pulverizações de azoxistrobina + benzovindiflupir</w:t>
      </w:r>
      <w:r w:rsidRPr="00B7238F">
        <w:rPr>
          <w:color w:val="000000" w:themeColor="text1"/>
          <w:lang w:val="pt-BR"/>
        </w:rPr>
        <w:t xml:space="preserve"> não diferiram quanto a frequência da mutação </w:t>
      </w:r>
      <w:r w:rsidR="004F282C" w:rsidRPr="00B7238F">
        <w:rPr>
          <w:color w:val="000000" w:themeColor="text1"/>
          <w:lang w:val="pt-BR"/>
        </w:rPr>
        <w:t xml:space="preserve">em </w:t>
      </w:r>
      <w:r w:rsidRPr="00B7238F">
        <w:rPr>
          <w:color w:val="000000" w:themeColor="text1"/>
          <w:lang w:val="pt-BR"/>
        </w:rPr>
        <w:t>avaliações</w:t>
      </w:r>
      <w:r w:rsidR="004F282C" w:rsidRPr="00B7238F">
        <w:rPr>
          <w:color w:val="000000" w:themeColor="text1"/>
          <w:lang w:val="pt-BR"/>
        </w:rPr>
        <w:t xml:space="preserve"> realizadas aos 17, 35 e 52 DAP</w:t>
      </w:r>
      <w:r w:rsidR="004F282C" w:rsidRPr="00B7238F">
        <w:rPr>
          <w:color w:val="000000" w:themeColor="text1"/>
          <w:vertAlign w:val="subscript"/>
          <w:lang w:val="pt-BR"/>
        </w:rPr>
        <w:t>0</w:t>
      </w:r>
      <w:r w:rsidRPr="00B7238F">
        <w:rPr>
          <w:color w:val="000000" w:themeColor="text1"/>
          <w:lang w:val="pt-BR"/>
        </w:rPr>
        <w:t xml:space="preserve"> (Tabela </w:t>
      </w:r>
      <w:r w:rsidR="004F282C" w:rsidRPr="00B7238F">
        <w:rPr>
          <w:color w:val="000000" w:themeColor="text1"/>
          <w:lang w:val="pt-BR"/>
        </w:rPr>
        <w:t>20</w:t>
      </w:r>
      <w:r w:rsidRPr="00B7238F">
        <w:rPr>
          <w:color w:val="000000" w:themeColor="text1"/>
          <w:lang w:val="pt-BR"/>
        </w:rPr>
        <w:t>).</w:t>
      </w:r>
    </w:p>
    <w:p w14:paraId="53E2BB8F" w14:textId="77777777" w:rsidR="00863974" w:rsidRPr="00B7238F" w:rsidRDefault="00863974" w:rsidP="003F6D94">
      <w:pPr>
        <w:pStyle w:val="Default"/>
        <w:spacing w:line="360" w:lineRule="auto"/>
        <w:ind w:firstLine="708"/>
        <w:jc w:val="both"/>
        <w:rPr>
          <w:color w:val="000000" w:themeColor="text1"/>
          <w:lang w:val="pt-BR"/>
        </w:rPr>
      </w:pPr>
    </w:p>
    <w:p w14:paraId="5E29E15D" w14:textId="43082E80" w:rsidR="00863974" w:rsidRDefault="00B15DD8" w:rsidP="003F6D94">
      <w:pPr>
        <w:pStyle w:val="Ttulo3"/>
        <w:spacing w:before="0" w:after="0" w:line="360" w:lineRule="auto"/>
        <w:rPr>
          <w:rFonts w:eastAsiaTheme="minorEastAsia"/>
          <w:i/>
        </w:rPr>
      </w:pPr>
      <w:bookmarkStart w:id="303" w:name="_Toc22568289"/>
      <w:r>
        <w:rPr>
          <w:rFonts w:eastAsiaTheme="minorEastAsia"/>
        </w:rPr>
        <w:t>7.</w:t>
      </w:r>
      <w:r w:rsidR="00702FC3">
        <w:rPr>
          <w:rFonts w:eastAsiaTheme="minorEastAsia"/>
        </w:rPr>
        <w:t xml:space="preserve">4.3 </w:t>
      </w:r>
      <w:r w:rsidR="00AC217F" w:rsidRPr="00B7238F">
        <w:rPr>
          <w:rFonts w:eastAsiaTheme="minorEastAsia"/>
        </w:rPr>
        <w:t xml:space="preserve">Efeito da adição de fungicidas a carboxamidas na ocorrência e frequência da mutação I86F em populações de </w:t>
      </w:r>
      <w:r w:rsidR="00AC217F" w:rsidRPr="00863974">
        <w:rPr>
          <w:rFonts w:eastAsiaTheme="minorEastAsia"/>
          <w:i/>
        </w:rPr>
        <w:t>Phakopsora pachyrhizi</w:t>
      </w:r>
      <w:bookmarkEnd w:id="303"/>
      <w:r w:rsidR="00AC217F" w:rsidRPr="00863974">
        <w:rPr>
          <w:rFonts w:eastAsiaTheme="minorEastAsia"/>
          <w:i/>
        </w:rPr>
        <w:t xml:space="preserve"> </w:t>
      </w:r>
    </w:p>
    <w:p w14:paraId="7F099317" w14:textId="77777777" w:rsidR="003F6D94" w:rsidRDefault="003F6D94" w:rsidP="003F6D94">
      <w:pPr>
        <w:pStyle w:val="Default"/>
        <w:spacing w:line="360" w:lineRule="auto"/>
        <w:ind w:firstLine="708"/>
        <w:jc w:val="both"/>
        <w:rPr>
          <w:color w:val="000000" w:themeColor="text1"/>
          <w:lang w:val="pt-BR"/>
        </w:rPr>
      </w:pPr>
    </w:p>
    <w:p w14:paraId="2171DF62" w14:textId="0E376AD1" w:rsidR="0064001D" w:rsidRPr="00B7238F" w:rsidRDefault="0064001D" w:rsidP="003F6D94">
      <w:pPr>
        <w:pStyle w:val="Default"/>
        <w:spacing w:line="360" w:lineRule="auto"/>
        <w:ind w:firstLine="708"/>
        <w:jc w:val="both"/>
        <w:rPr>
          <w:color w:val="000000" w:themeColor="text1"/>
          <w:lang w:val="pt-BR"/>
        </w:rPr>
      </w:pPr>
      <w:r w:rsidRPr="00B7238F">
        <w:rPr>
          <w:color w:val="000000" w:themeColor="text1"/>
          <w:lang w:val="pt-BR"/>
        </w:rPr>
        <w:t>Os primeiros sintomas da doença foram observados no dia 30/03/2018, aos 51 dias após a emergência no estádio fenológico V8 (pré-fechamento). A frequência inicial da mutação I86F na população inicial (P</w:t>
      </w:r>
      <w:r w:rsidRPr="00B7238F">
        <w:rPr>
          <w:color w:val="000000" w:themeColor="text1"/>
          <w:vertAlign w:val="subscript"/>
          <w:lang w:val="pt-BR"/>
        </w:rPr>
        <w:t>0</w:t>
      </w:r>
      <w:r w:rsidRPr="00B7238F">
        <w:rPr>
          <w:color w:val="000000" w:themeColor="text1"/>
          <w:lang w:val="pt-BR"/>
        </w:rPr>
        <w:t xml:space="preserve">) de </w:t>
      </w:r>
      <w:r w:rsidRPr="00B7238F">
        <w:rPr>
          <w:i/>
          <w:color w:val="000000" w:themeColor="text1"/>
          <w:lang w:val="pt-BR"/>
        </w:rPr>
        <w:t xml:space="preserve">P. pachyrhizi </w:t>
      </w:r>
      <w:r w:rsidRPr="00B7238F">
        <w:rPr>
          <w:color w:val="000000" w:themeColor="text1"/>
          <w:lang w:val="pt-BR"/>
        </w:rPr>
        <w:t xml:space="preserve">foi 2,75 %. </w:t>
      </w:r>
    </w:p>
    <w:p w14:paraId="0EC9D522" w14:textId="21CC0B45" w:rsidR="004033B0" w:rsidRPr="00B7238F" w:rsidRDefault="004033B0" w:rsidP="003F6D94">
      <w:pPr>
        <w:pStyle w:val="Default"/>
        <w:spacing w:line="360" w:lineRule="auto"/>
        <w:ind w:firstLine="708"/>
        <w:jc w:val="both"/>
        <w:rPr>
          <w:color w:val="000000" w:themeColor="text1"/>
          <w:lang w:val="pt-BR"/>
        </w:rPr>
      </w:pPr>
      <w:r w:rsidRPr="00B7238F">
        <w:rPr>
          <w:color w:val="000000" w:themeColor="text1"/>
          <w:lang w:val="pt-BR"/>
        </w:rPr>
        <w:t>A ocorrência de geadas aos 48 e 51 DAP</w:t>
      </w:r>
      <w:r w:rsidRPr="00B7238F">
        <w:rPr>
          <w:color w:val="000000" w:themeColor="text1"/>
          <w:vertAlign w:val="subscript"/>
          <w:lang w:val="pt-BR"/>
        </w:rPr>
        <w:t>0</w:t>
      </w:r>
      <w:r w:rsidRPr="00B7238F">
        <w:rPr>
          <w:color w:val="000000" w:themeColor="text1"/>
          <w:lang w:val="pt-BR"/>
        </w:rPr>
        <w:t xml:space="preserve"> </w:t>
      </w:r>
      <w:r w:rsidR="0064001D" w:rsidRPr="00B7238F">
        <w:rPr>
          <w:color w:val="000000" w:themeColor="text1"/>
          <w:lang w:val="pt-BR"/>
        </w:rPr>
        <w:t xml:space="preserve">não permitiu realizar </w:t>
      </w:r>
      <w:r w:rsidRPr="00B7238F">
        <w:rPr>
          <w:color w:val="000000" w:themeColor="text1"/>
          <w:lang w:val="pt-BR"/>
        </w:rPr>
        <w:t>as avaliações de severidade da FAS no estádio fenológico R6.</w:t>
      </w:r>
    </w:p>
    <w:p w14:paraId="2D020706" w14:textId="3F224931" w:rsidR="00A87D33" w:rsidRPr="00B7238F" w:rsidRDefault="00E804C4" w:rsidP="003F6D94">
      <w:pPr>
        <w:pStyle w:val="Default"/>
        <w:spacing w:line="360" w:lineRule="auto"/>
        <w:jc w:val="both"/>
        <w:rPr>
          <w:color w:val="000000" w:themeColor="text1"/>
          <w:lang w:val="pt-BR"/>
        </w:rPr>
      </w:pPr>
      <w:r w:rsidRPr="00B7238F">
        <w:rPr>
          <w:color w:val="000000" w:themeColor="text1"/>
          <w:lang w:val="pt-BR"/>
        </w:rPr>
        <w:tab/>
        <w:t>Nas avaliações realizadas aos 14 DAP</w:t>
      </w:r>
      <w:r w:rsidRPr="00B7238F">
        <w:rPr>
          <w:color w:val="000000" w:themeColor="text1"/>
          <w:vertAlign w:val="subscript"/>
          <w:lang w:val="pt-BR"/>
        </w:rPr>
        <w:t xml:space="preserve">0 </w:t>
      </w:r>
      <w:r w:rsidRPr="00B7238F">
        <w:rPr>
          <w:color w:val="000000" w:themeColor="text1"/>
          <w:lang w:val="pt-BR"/>
        </w:rPr>
        <w:t>não houve diferença estatística na frequência da mutação I86F para as diferentes misturas de fungicidas (Tabela 21).</w:t>
      </w:r>
    </w:p>
    <w:p w14:paraId="380E4E08" w14:textId="17D463F2" w:rsidR="001C6ED3" w:rsidRDefault="001C6ED3" w:rsidP="003F6D94">
      <w:pPr>
        <w:spacing w:after="0" w:line="360" w:lineRule="auto"/>
        <w:ind w:firstLine="0"/>
        <w:jc w:val="left"/>
        <w:rPr>
          <w:color w:val="000000" w:themeColor="text1"/>
        </w:rPr>
      </w:pPr>
    </w:p>
    <w:p w14:paraId="56E27C74" w14:textId="7185E654" w:rsidR="00D96246" w:rsidRDefault="00D96246" w:rsidP="00D96246">
      <w:pPr>
        <w:pStyle w:val="Legenda"/>
        <w:keepNext/>
        <w:ind w:firstLine="0"/>
      </w:pPr>
      <w:bookmarkStart w:id="304" w:name="_Toc16173057"/>
      <w:r>
        <w:t xml:space="preserve">Tabela </w:t>
      </w:r>
      <w:r w:rsidR="00D00510">
        <w:fldChar w:fldCharType="begin"/>
      </w:r>
      <w:r w:rsidR="00D00510">
        <w:instrText xml:space="preserve"> SEQ Tabela \* ARABIC </w:instrText>
      </w:r>
      <w:r w:rsidR="00D00510">
        <w:fldChar w:fldCharType="separate"/>
      </w:r>
      <w:r w:rsidR="002D15F8">
        <w:rPr>
          <w:noProof/>
        </w:rPr>
        <w:t>21</w:t>
      </w:r>
      <w:r w:rsidR="00D00510">
        <w:rPr>
          <w:noProof/>
        </w:rPr>
        <w:fldChar w:fldCharType="end"/>
      </w:r>
      <w:r>
        <w:t xml:space="preserve">. </w:t>
      </w:r>
      <w:r w:rsidRPr="00FC2552">
        <w:t xml:space="preserve">Frequência da mutação I86F em populações de </w:t>
      </w:r>
      <w:r w:rsidRPr="004B0A23">
        <w:rPr>
          <w:i/>
        </w:rPr>
        <w:t xml:space="preserve">P. pachyrhizi </w:t>
      </w:r>
      <w:r w:rsidRPr="00FC2552">
        <w:t>submetidas a diferentes misturas de fungicidas no cultivar BMX Lança IPRO, coletadas aos 14, 28 e 42 dias após a detecção do fungo (DAP0). Lages, 2019.</w:t>
      </w:r>
      <w:bookmarkEnd w:id="304"/>
    </w:p>
    <w:tbl>
      <w:tblPr>
        <w:tblStyle w:val="Tabelacomgrade"/>
        <w:tblW w:w="7822" w:type="dxa"/>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1440"/>
        <w:gridCol w:w="1595"/>
        <w:gridCol w:w="1595"/>
        <w:gridCol w:w="1476"/>
      </w:tblGrid>
      <w:tr w:rsidR="00905B70" w:rsidRPr="00905B70" w14:paraId="7B5CA0E8" w14:textId="77777777" w:rsidTr="00D74DA1">
        <w:trPr>
          <w:trHeight w:val="300"/>
        </w:trPr>
        <w:tc>
          <w:tcPr>
            <w:tcW w:w="7822" w:type="dxa"/>
            <w:gridSpan w:val="5"/>
            <w:tcBorders>
              <w:top w:val="single" w:sz="4" w:space="0" w:color="auto"/>
            </w:tcBorders>
            <w:noWrap/>
            <w:vAlign w:val="center"/>
            <w:hideMark/>
          </w:tcPr>
          <w:p w14:paraId="7451A610" w14:textId="77777777" w:rsidR="00905B70" w:rsidRPr="00905B70" w:rsidRDefault="00905B70" w:rsidP="00905B70">
            <w:pPr>
              <w:autoSpaceDE/>
              <w:autoSpaceDN/>
              <w:adjustRightInd/>
              <w:spacing w:line="360" w:lineRule="auto"/>
              <w:ind w:firstLine="0"/>
              <w:jc w:val="center"/>
              <w:rPr>
                <w:rFonts w:eastAsia="Times New Roman"/>
                <w:b/>
                <w:bCs/>
                <w:color w:val="000000"/>
                <w:lang w:eastAsia="pt-BR"/>
              </w:rPr>
            </w:pPr>
            <w:r w:rsidRPr="00905B70">
              <w:rPr>
                <w:rFonts w:eastAsia="Times New Roman"/>
                <w:b/>
                <w:bCs/>
                <w:color w:val="000000"/>
                <w:lang w:eastAsia="pt-BR"/>
              </w:rPr>
              <w:t>Dias após a detecção do fungo</w:t>
            </w:r>
          </w:p>
        </w:tc>
      </w:tr>
      <w:tr w:rsidR="00905B70" w:rsidRPr="00905B70" w14:paraId="2D302C7E" w14:textId="77777777" w:rsidTr="00D74DA1">
        <w:trPr>
          <w:trHeight w:val="300"/>
        </w:trPr>
        <w:tc>
          <w:tcPr>
            <w:tcW w:w="1716" w:type="dxa"/>
            <w:tcBorders>
              <w:bottom w:val="single" w:sz="4" w:space="0" w:color="auto"/>
            </w:tcBorders>
            <w:noWrap/>
            <w:vAlign w:val="center"/>
            <w:hideMark/>
          </w:tcPr>
          <w:p w14:paraId="2B95D01B" w14:textId="77777777" w:rsidR="00905B70" w:rsidRPr="00905B70" w:rsidRDefault="00905B70" w:rsidP="00905B70">
            <w:pPr>
              <w:autoSpaceDE/>
              <w:autoSpaceDN/>
              <w:adjustRightInd/>
              <w:spacing w:line="360" w:lineRule="auto"/>
              <w:ind w:firstLine="0"/>
              <w:jc w:val="center"/>
              <w:rPr>
                <w:rFonts w:eastAsia="Times New Roman"/>
                <w:b/>
                <w:bCs/>
                <w:color w:val="000000"/>
                <w:lang w:eastAsia="pt-BR"/>
              </w:rPr>
            </w:pPr>
            <w:r w:rsidRPr="00905B70">
              <w:rPr>
                <w:rFonts w:eastAsia="Times New Roman"/>
                <w:b/>
                <w:bCs/>
                <w:color w:val="000000"/>
                <w:lang w:eastAsia="pt-BR"/>
              </w:rPr>
              <w:t>Prog. Apl.</w:t>
            </w:r>
          </w:p>
        </w:tc>
        <w:tc>
          <w:tcPr>
            <w:tcW w:w="1440" w:type="dxa"/>
            <w:tcBorders>
              <w:bottom w:val="single" w:sz="4" w:space="0" w:color="auto"/>
            </w:tcBorders>
            <w:noWrap/>
            <w:vAlign w:val="center"/>
            <w:hideMark/>
          </w:tcPr>
          <w:p w14:paraId="2D5D5DF9" w14:textId="77777777" w:rsidR="00905B70" w:rsidRPr="00905B70" w:rsidRDefault="00905B70" w:rsidP="00905B70">
            <w:pPr>
              <w:autoSpaceDE/>
              <w:autoSpaceDN/>
              <w:adjustRightInd/>
              <w:spacing w:line="360" w:lineRule="auto"/>
              <w:ind w:firstLine="0"/>
              <w:jc w:val="center"/>
              <w:rPr>
                <w:rFonts w:eastAsia="Times New Roman"/>
                <w:b/>
                <w:bCs/>
                <w:color w:val="000000"/>
                <w:lang w:eastAsia="pt-BR"/>
              </w:rPr>
            </w:pPr>
            <w:r w:rsidRPr="00905B70">
              <w:rPr>
                <w:rFonts w:eastAsia="Times New Roman"/>
                <w:b/>
                <w:bCs/>
                <w:color w:val="000000"/>
                <w:lang w:eastAsia="pt-BR"/>
              </w:rPr>
              <w:t>14 DAP0</w:t>
            </w:r>
          </w:p>
        </w:tc>
        <w:tc>
          <w:tcPr>
            <w:tcW w:w="1595" w:type="dxa"/>
            <w:tcBorders>
              <w:bottom w:val="single" w:sz="4" w:space="0" w:color="auto"/>
            </w:tcBorders>
            <w:noWrap/>
            <w:vAlign w:val="center"/>
            <w:hideMark/>
          </w:tcPr>
          <w:p w14:paraId="71EADBD7" w14:textId="77777777" w:rsidR="00905B70" w:rsidRPr="00905B70" w:rsidRDefault="00905B70" w:rsidP="00905B70">
            <w:pPr>
              <w:autoSpaceDE/>
              <w:autoSpaceDN/>
              <w:adjustRightInd/>
              <w:spacing w:line="360" w:lineRule="auto"/>
              <w:ind w:firstLine="0"/>
              <w:jc w:val="center"/>
              <w:rPr>
                <w:rFonts w:eastAsia="Times New Roman"/>
                <w:b/>
                <w:bCs/>
                <w:color w:val="000000"/>
                <w:lang w:eastAsia="pt-BR"/>
              </w:rPr>
            </w:pPr>
            <w:r w:rsidRPr="00905B70">
              <w:rPr>
                <w:rFonts w:eastAsia="Times New Roman"/>
                <w:b/>
                <w:bCs/>
                <w:color w:val="000000"/>
                <w:lang w:eastAsia="pt-BR"/>
              </w:rPr>
              <w:t>28DAP0</w:t>
            </w:r>
          </w:p>
        </w:tc>
        <w:tc>
          <w:tcPr>
            <w:tcW w:w="1595" w:type="dxa"/>
            <w:tcBorders>
              <w:bottom w:val="single" w:sz="4" w:space="0" w:color="auto"/>
            </w:tcBorders>
            <w:noWrap/>
            <w:vAlign w:val="center"/>
            <w:hideMark/>
          </w:tcPr>
          <w:p w14:paraId="5A00C4C2" w14:textId="77777777" w:rsidR="00905B70" w:rsidRPr="00905B70" w:rsidRDefault="00905B70" w:rsidP="00905B70">
            <w:pPr>
              <w:autoSpaceDE/>
              <w:autoSpaceDN/>
              <w:adjustRightInd/>
              <w:spacing w:line="360" w:lineRule="auto"/>
              <w:ind w:firstLine="0"/>
              <w:jc w:val="center"/>
              <w:rPr>
                <w:rFonts w:eastAsia="Times New Roman"/>
                <w:b/>
                <w:bCs/>
                <w:color w:val="000000"/>
                <w:lang w:eastAsia="pt-BR"/>
              </w:rPr>
            </w:pPr>
            <w:r w:rsidRPr="00905B70">
              <w:rPr>
                <w:rFonts w:eastAsia="Times New Roman"/>
                <w:b/>
                <w:bCs/>
                <w:color w:val="000000"/>
                <w:lang w:eastAsia="pt-BR"/>
              </w:rPr>
              <w:t>42DAP0</w:t>
            </w:r>
          </w:p>
        </w:tc>
        <w:tc>
          <w:tcPr>
            <w:tcW w:w="1476" w:type="dxa"/>
            <w:tcBorders>
              <w:bottom w:val="single" w:sz="4" w:space="0" w:color="auto"/>
            </w:tcBorders>
            <w:noWrap/>
            <w:vAlign w:val="center"/>
            <w:hideMark/>
          </w:tcPr>
          <w:p w14:paraId="6A8937D7" w14:textId="77777777" w:rsidR="00905B70" w:rsidRPr="00905B70" w:rsidRDefault="00905B70" w:rsidP="00905B70">
            <w:pPr>
              <w:autoSpaceDE/>
              <w:autoSpaceDN/>
              <w:adjustRightInd/>
              <w:spacing w:line="360" w:lineRule="auto"/>
              <w:ind w:firstLine="0"/>
              <w:jc w:val="center"/>
              <w:rPr>
                <w:rFonts w:eastAsia="Times New Roman"/>
                <w:b/>
                <w:bCs/>
                <w:color w:val="000000"/>
                <w:lang w:eastAsia="pt-BR"/>
              </w:rPr>
            </w:pPr>
            <w:r w:rsidRPr="00905B70">
              <w:rPr>
                <w:rFonts w:eastAsia="Times New Roman"/>
                <w:b/>
                <w:bCs/>
                <w:color w:val="000000"/>
                <w:lang w:eastAsia="pt-BR"/>
              </w:rPr>
              <w:t>Média</w:t>
            </w:r>
          </w:p>
        </w:tc>
      </w:tr>
      <w:tr w:rsidR="00905B70" w:rsidRPr="00905B70" w14:paraId="1AE2ECE8" w14:textId="77777777" w:rsidTr="00D74DA1">
        <w:trPr>
          <w:trHeight w:val="300"/>
        </w:trPr>
        <w:tc>
          <w:tcPr>
            <w:tcW w:w="1716" w:type="dxa"/>
            <w:tcBorders>
              <w:top w:val="single" w:sz="4" w:space="0" w:color="auto"/>
            </w:tcBorders>
            <w:noWrap/>
            <w:vAlign w:val="center"/>
            <w:hideMark/>
          </w:tcPr>
          <w:p w14:paraId="2C279B24" w14:textId="77777777" w:rsidR="00905B70" w:rsidRPr="00905B70" w:rsidRDefault="00905B70" w:rsidP="00905B70">
            <w:pPr>
              <w:autoSpaceDE/>
              <w:autoSpaceDN/>
              <w:adjustRightInd/>
              <w:spacing w:line="360" w:lineRule="auto"/>
              <w:ind w:firstLine="0"/>
              <w:jc w:val="center"/>
              <w:rPr>
                <w:rFonts w:eastAsia="Times New Roman"/>
                <w:bCs/>
                <w:color w:val="000000"/>
                <w:sz w:val="20"/>
                <w:lang w:eastAsia="pt-BR"/>
              </w:rPr>
            </w:pPr>
            <w:r w:rsidRPr="00905B70">
              <w:rPr>
                <w:rFonts w:eastAsia="Times New Roman"/>
                <w:bCs/>
                <w:color w:val="000000"/>
                <w:sz w:val="20"/>
                <w:lang w:eastAsia="pt-BR"/>
              </w:rPr>
              <w:t>T1</w:t>
            </w:r>
          </w:p>
        </w:tc>
        <w:tc>
          <w:tcPr>
            <w:tcW w:w="1440" w:type="dxa"/>
            <w:tcBorders>
              <w:top w:val="single" w:sz="4" w:space="0" w:color="auto"/>
            </w:tcBorders>
            <w:noWrap/>
            <w:vAlign w:val="center"/>
            <w:hideMark/>
          </w:tcPr>
          <w:p w14:paraId="067784DB"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20,1 Ab</w:t>
            </w:r>
          </w:p>
        </w:tc>
        <w:tc>
          <w:tcPr>
            <w:tcW w:w="1595" w:type="dxa"/>
            <w:tcBorders>
              <w:top w:val="single" w:sz="4" w:space="0" w:color="auto"/>
            </w:tcBorders>
            <w:noWrap/>
            <w:vAlign w:val="center"/>
            <w:hideMark/>
          </w:tcPr>
          <w:p w14:paraId="323071B1"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34,2 Aa</w:t>
            </w:r>
          </w:p>
        </w:tc>
        <w:tc>
          <w:tcPr>
            <w:tcW w:w="1595" w:type="dxa"/>
            <w:tcBorders>
              <w:top w:val="single" w:sz="4" w:space="0" w:color="auto"/>
            </w:tcBorders>
            <w:noWrap/>
            <w:vAlign w:val="center"/>
            <w:hideMark/>
          </w:tcPr>
          <w:p w14:paraId="07866C9E"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36,9 Aa</w:t>
            </w:r>
          </w:p>
        </w:tc>
        <w:tc>
          <w:tcPr>
            <w:tcW w:w="1476" w:type="dxa"/>
            <w:tcBorders>
              <w:top w:val="single" w:sz="4" w:space="0" w:color="auto"/>
            </w:tcBorders>
            <w:noWrap/>
            <w:vAlign w:val="center"/>
            <w:hideMark/>
          </w:tcPr>
          <w:p w14:paraId="4B01B0A8"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30,4 A</w:t>
            </w:r>
          </w:p>
        </w:tc>
      </w:tr>
      <w:tr w:rsidR="00905B70" w:rsidRPr="00905B70" w14:paraId="38A57F7B" w14:textId="77777777" w:rsidTr="00D74DA1">
        <w:trPr>
          <w:trHeight w:val="300"/>
        </w:trPr>
        <w:tc>
          <w:tcPr>
            <w:tcW w:w="1716" w:type="dxa"/>
            <w:noWrap/>
            <w:vAlign w:val="center"/>
            <w:hideMark/>
          </w:tcPr>
          <w:p w14:paraId="0EA74BE3" w14:textId="77777777" w:rsidR="00905B70" w:rsidRPr="00905B70" w:rsidRDefault="00905B70" w:rsidP="00905B70">
            <w:pPr>
              <w:autoSpaceDE/>
              <w:autoSpaceDN/>
              <w:adjustRightInd/>
              <w:spacing w:line="360" w:lineRule="auto"/>
              <w:ind w:firstLine="0"/>
              <w:jc w:val="center"/>
              <w:rPr>
                <w:rFonts w:eastAsia="Times New Roman"/>
                <w:bCs/>
                <w:color w:val="000000"/>
                <w:sz w:val="20"/>
                <w:lang w:eastAsia="pt-BR"/>
              </w:rPr>
            </w:pPr>
            <w:r w:rsidRPr="00905B70">
              <w:rPr>
                <w:rFonts w:eastAsia="Times New Roman"/>
                <w:bCs/>
                <w:color w:val="000000"/>
                <w:sz w:val="20"/>
                <w:lang w:eastAsia="pt-BR"/>
              </w:rPr>
              <w:t>T2</w:t>
            </w:r>
          </w:p>
        </w:tc>
        <w:tc>
          <w:tcPr>
            <w:tcW w:w="1440" w:type="dxa"/>
            <w:noWrap/>
            <w:vAlign w:val="center"/>
            <w:hideMark/>
          </w:tcPr>
          <w:p w14:paraId="43170181"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16,8 Ab</w:t>
            </w:r>
          </w:p>
        </w:tc>
        <w:tc>
          <w:tcPr>
            <w:tcW w:w="1595" w:type="dxa"/>
            <w:noWrap/>
            <w:vAlign w:val="center"/>
            <w:hideMark/>
          </w:tcPr>
          <w:p w14:paraId="64A19AFC"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33,9 Aa</w:t>
            </w:r>
          </w:p>
        </w:tc>
        <w:tc>
          <w:tcPr>
            <w:tcW w:w="1595" w:type="dxa"/>
            <w:noWrap/>
            <w:vAlign w:val="center"/>
            <w:hideMark/>
          </w:tcPr>
          <w:p w14:paraId="26C3AFAF"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37,4 Aa</w:t>
            </w:r>
          </w:p>
        </w:tc>
        <w:tc>
          <w:tcPr>
            <w:tcW w:w="1476" w:type="dxa"/>
            <w:noWrap/>
            <w:vAlign w:val="center"/>
            <w:hideMark/>
          </w:tcPr>
          <w:p w14:paraId="3C3782E6"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29,4 A</w:t>
            </w:r>
          </w:p>
        </w:tc>
      </w:tr>
      <w:tr w:rsidR="00905B70" w:rsidRPr="00905B70" w14:paraId="2AD55CA0" w14:textId="77777777" w:rsidTr="00D74DA1">
        <w:trPr>
          <w:trHeight w:val="300"/>
        </w:trPr>
        <w:tc>
          <w:tcPr>
            <w:tcW w:w="1716" w:type="dxa"/>
            <w:noWrap/>
            <w:vAlign w:val="center"/>
            <w:hideMark/>
          </w:tcPr>
          <w:p w14:paraId="401867ED" w14:textId="77777777" w:rsidR="00905B70" w:rsidRPr="00905B70" w:rsidRDefault="00905B70" w:rsidP="00905B70">
            <w:pPr>
              <w:autoSpaceDE/>
              <w:autoSpaceDN/>
              <w:adjustRightInd/>
              <w:spacing w:line="360" w:lineRule="auto"/>
              <w:ind w:firstLine="0"/>
              <w:jc w:val="center"/>
              <w:rPr>
                <w:rFonts w:eastAsia="Times New Roman"/>
                <w:bCs/>
                <w:color w:val="000000"/>
                <w:sz w:val="20"/>
                <w:lang w:eastAsia="pt-BR"/>
              </w:rPr>
            </w:pPr>
            <w:r w:rsidRPr="00905B70">
              <w:rPr>
                <w:rFonts w:eastAsia="Times New Roman"/>
                <w:bCs/>
                <w:color w:val="000000"/>
                <w:sz w:val="20"/>
                <w:lang w:eastAsia="pt-BR"/>
              </w:rPr>
              <w:t>T3</w:t>
            </w:r>
          </w:p>
        </w:tc>
        <w:tc>
          <w:tcPr>
            <w:tcW w:w="1440" w:type="dxa"/>
            <w:noWrap/>
            <w:vAlign w:val="center"/>
            <w:hideMark/>
          </w:tcPr>
          <w:p w14:paraId="0357CB90"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16,0 Ab</w:t>
            </w:r>
          </w:p>
        </w:tc>
        <w:tc>
          <w:tcPr>
            <w:tcW w:w="1595" w:type="dxa"/>
            <w:noWrap/>
            <w:vAlign w:val="center"/>
            <w:hideMark/>
          </w:tcPr>
          <w:p w14:paraId="5A290C55"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 xml:space="preserve">  19,5 Bab</w:t>
            </w:r>
          </w:p>
        </w:tc>
        <w:tc>
          <w:tcPr>
            <w:tcW w:w="1595" w:type="dxa"/>
            <w:noWrap/>
            <w:vAlign w:val="center"/>
            <w:hideMark/>
          </w:tcPr>
          <w:p w14:paraId="73CAFB7B"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25,8 Ba</w:t>
            </w:r>
          </w:p>
        </w:tc>
        <w:tc>
          <w:tcPr>
            <w:tcW w:w="1476" w:type="dxa"/>
            <w:noWrap/>
            <w:vAlign w:val="center"/>
            <w:hideMark/>
          </w:tcPr>
          <w:p w14:paraId="4D1E9F62"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20,4 B</w:t>
            </w:r>
          </w:p>
        </w:tc>
      </w:tr>
      <w:tr w:rsidR="00905B70" w:rsidRPr="00905B70" w14:paraId="44FA70A5" w14:textId="77777777" w:rsidTr="00D74DA1">
        <w:trPr>
          <w:trHeight w:val="300"/>
        </w:trPr>
        <w:tc>
          <w:tcPr>
            <w:tcW w:w="1716" w:type="dxa"/>
            <w:noWrap/>
            <w:vAlign w:val="center"/>
            <w:hideMark/>
          </w:tcPr>
          <w:p w14:paraId="564F40CA" w14:textId="77777777" w:rsidR="00905B70" w:rsidRPr="00905B70" w:rsidRDefault="00905B70" w:rsidP="00905B70">
            <w:pPr>
              <w:autoSpaceDE/>
              <w:autoSpaceDN/>
              <w:adjustRightInd/>
              <w:spacing w:line="360" w:lineRule="auto"/>
              <w:ind w:firstLine="0"/>
              <w:jc w:val="center"/>
              <w:rPr>
                <w:rFonts w:eastAsia="Times New Roman"/>
                <w:bCs/>
                <w:color w:val="000000"/>
                <w:sz w:val="20"/>
                <w:lang w:eastAsia="pt-BR"/>
              </w:rPr>
            </w:pPr>
            <w:r w:rsidRPr="00905B70">
              <w:rPr>
                <w:rFonts w:eastAsia="Times New Roman"/>
                <w:bCs/>
                <w:color w:val="000000"/>
                <w:sz w:val="20"/>
                <w:lang w:eastAsia="pt-BR"/>
              </w:rPr>
              <w:t>T4</w:t>
            </w:r>
          </w:p>
        </w:tc>
        <w:tc>
          <w:tcPr>
            <w:tcW w:w="1440" w:type="dxa"/>
            <w:noWrap/>
            <w:vAlign w:val="center"/>
            <w:hideMark/>
          </w:tcPr>
          <w:p w14:paraId="397556FB"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12,9 Aa</w:t>
            </w:r>
          </w:p>
        </w:tc>
        <w:tc>
          <w:tcPr>
            <w:tcW w:w="1595" w:type="dxa"/>
            <w:noWrap/>
            <w:vAlign w:val="center"/>
            <w:hideMark/>
          </w:tcPr>
          <w:p w14:paraId="6596AD9A"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17,4 Ba</w:t>
            </w:r>
          </w:p>
        </w:tc>
        <w:tc>
          <w:tcPr>
            <w:tcW w:w="1595" w:type="dxa"/>
            <w:noWrap/>
            <w:vAlign w:val="center"/>
            <w:hideMark/>
          </w:tcPr>
          <w:p w14:paraId="608EE5A7"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14,2 Ca</w:t>
            </w:r>
          </w:p>
        </w:tc>
        <w:tc>
          <w:tcPr>
            <w:tcW w:w="1476" w:type="dxa"/>
            <w:noWrap/>
            <w:vAlign w:val="center"/>
            <w:hideMark/>
          </w:tcPr>
          <w:p w14:paraId="650D2968"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r w:rsidRPr="00905B70">
              <w:rPr>
                <w:rFonts w:eastAsia="Times New Roman"/>
                <w:color w:val="000000"/>
                <w:sz w:val="20"/>
                <w:lang w:eastAsia="pt-BR"/>
              </w:rPr>
              <w:t>14,9 C</w:t>
            </w:r>
          </w:p>
        </w:tc>
      </w:tr>
      <w:tr w:rsidR="00905B70" w:rsidRPr="00905B70" w14:paraId="47F2358A" w14:textId="77777777" w:rsidTr="00D74DA1">
        <w:trPr>
          <w:trHeight w:val="300"/>
        </w:trPr>
        <w:tc>
          <w:tcPr>
            <w:tcW w:w="1716" w:type="dxa"/>
            <w:tcBorders>
              <w:bottom w:val="single" w:sz="4" w:space="0" w:color="auto"/>
            </w:tcBorders>
            <w:noWrap/>
            <w:vAlign w:val="center"/>
            <w:hideMark/>
          </w:tcPr>
          <w:p w14:paraId="56C03911" w14:textId="77777777" w:rsidR="00905B70" w:rsidRPr="00905B70" w:rsidRDefault="00905B70" w:rsidP="00905B70">
            <w:pPr>
              <w:autoSpaceDE/>
              <w:autoSpaceDN/>
              <w:adjustRightInd/>
              <w:spacing w:line="360" w:lineRule="auto"/>
              <w:ind w:firstLine="0"/>
              <w:jc w:val="center"/>
              <w:rPr>
                <w:rFonts w:eastAsia="Times New Roman"/>
                <w:b/>
                <w:bCs/>
                <w:color w:val="000000"/>
                <w:sz w:val="20"/>
                <w:lang w:eastAsia="pt-BR"/>
              </w:rPr>
            </w:pPr>
            <w:r w:rsidRPr="00905B70">
              <w:rPr>
                <w:rFonts w:eastAsia="Times New Roman"/>
                <w:b/>
                <w:bCs/>
                <w:color w:val="000000"/>
                <w:sz w:val="20"/>
                <w:lang w:eastAsia="pt-BR"/>
              </w:rPr>
              <w:t>Média</w:t>
            </w:r>
          </w:p>
        </w:tc>
        <w:tc>
          <w:tcPr>
            <w:tcW w:w="1440" w:type="dxa"/>
            <w:tcBorders>
              <w:bottom w:val="single" w:sz="4" w:space="0" w:color="auto"/>
            </w:tcBorders>
            <w:noWrap/>
            <w:vAlign w:val="center"/>
            <w:hideMark/>
          </w:tcPr>
          <w:p w14:paraId="275A13D3" w14:textId="77777777" w:rsidR="00905B70" w:rsidRPr="00905B70" w:rsidRDefault="00905B70" w:rsidP="00905B70">
            <w:pPr>
              <w:autoSpaceDE/>
              <w:autoSpaceDN/>
              <w:adjustRightInd/>
              <w:spacing w:line="360" w:lineRule="auto"/>
              <w:ind w:firstLine="0"/>
              <w:jc w:val="left"/>
              <w:rPr>
                <w:rFonts w:eastAsia="Times New Roman"/>
                <w:color w:val="000000"/>
                <w:sz w:val="20"/>
                <w:lang w:eastAsia="pt-BR"/>
              </w:rPr>
            </w:pPr>
            <w:r w:rsidRPr="00905B70">
              <w:rPr>
                <w:rFonts w:eastAsia="Times New Roman"/>
                <w:color w:val="000000"/>
                <w:sz w:val="20"/>
                <w:lang w:eastAsia="pt-BR"/>
              </w:rPr>
              <w:t xml:space="preserve">      16,5 b</w:t>
            </w:r>
          </w:p>
        </w:tc>
        <w:tc>
          <w:tcPr>
            <w:tcW w:w="1595" w:type="dxa"/>
            <w:tcBorders>
              <w:bottom w:val="single" w:sz="4" w:space="0" w:color="auto"/>
            </w:tcBorders>
            <w:noWrap/>
            <w:vAlign w:val="center"/>
            <w:hideMark/>
          </w:tcPr>
          <w:p w14:paraId="45B7468A" w14:textId="77777777" w:rsidR="00905B70" w:rsidRPr="00905B70" w:rsidRDefault="00905B70" w:rsidP="00905B70">
            <w:pPr>
              <w:autoSpaceDE/>
              <w:autoSpaceDN/>
              <w:adjustRightInd/>
              <w:spacing w:line="360" w:lineRule="auto"/>
              <w:ind w:firstLine="0"/>
              <w:jc w:val="left"/>
              <w:rPr>
                <w:rFonts w:eastAsia="Times New Roman"/>
                <w:color w:val="000000"/>
                <w:sz w:val="20"/>
                <w:lang w:eastAsia="pt-BR"/>
              </w:rPr>
            </w:pPr>
            <w:r w:rsidRPr="00905B70">
              <w:rPr>
                <w:rFonts w:eastAsia="Times New Roman"/>
                <w:color w:val="000000"/>
                <w:sz w:val="20"/>
                <w:lang w:eastAsia="pt-BR"/>
              </w:rPr>
              <w:t xml:space="preserve">        26,3 a</w:t>
            </w:r>
          </w:p>
        </w:tc>
        <w:tc>
          <w:tcPr>
            <w:tcW w:w="1595" w:type="dxa"/>
            <w:tcBorders>
              <w:bottom w:val="single" w:sz="4" w:space="0" w:color="auto"/>
            </w:tcBorders>
            <w:noWrap/>
            <w:vAlign w:val="center"/>
            <w:hideMark/>
          </w:tcPr>
          <w:p w14:paraId="231A0183" w14:textId="77777777" w:rsidR="00905B70" w:rsidRPr="00905B70" w:rsidRDefault="00905B70" w:rsidP="00905B70">
            <w:pPr>
              <w:autoSpaceDE/>
              <w:autoSpaceDN/>
              <w:adjustRightInd/>
              <w:spacing w:line="360" w:lineRule="auto"/>
              <w:ind w:firstLine="0"/>
              <w:jc w:val="left"/>
              <w:rPr>
                <w:rFonts w:eastAsia="Times New Roman"/>
                <w:color w:val="000000"/>
                <w:sz w:val="20"/>
                <w:lang w:eastAsia="pt-BR"/>
              </w:rPr>
            </w:pPr>
            <w:r w:rsidRPr="00905B70">
              <w:rPr>
                <w:rFonts w:eastAsia="Times New Roman"/>
                <w:color w:val="000000"/>
                <w:sz w:val="20"/>
                <w:lang w:eastAsia="pt-BR"/>
              </w:rPr>
              <w:t xml:space="preserve">        28,6 a</w:t>
            </w:r>
          </w:p>
        </w:tc>
        <w:tc>
          <w:tcPr>
            <w:tcW w:w="1476" w:type="dxa"/>
            <w:tcBorders>
              <w:bottom w:val="single" w:sz="4" w:space="0" w:color="auto"/>
            </w:tcBorders>
            <w:noWrap/>
            <w:vAlign w:val="center"/>
            <w:hideMark/>
          </w:tcPr>
          <w:p w14:paraId="37B8CF37"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p>
        </w:tc>
      </w:tr>
      <w:tr w:rsidR="00905B70" w:rsidRPr="00905B70" w14:paraId="3B5BCB0A" w14:textId="77777777" w:rsidTr="00D74DA1">
        <w:trPr>
          <w:trHeight w:val="300"/>
        </w:trPr>
        <w:tc>
          <w:tcPr>
            <w:tcW w:w="1716" w:type="dxa"/>
            <w:tcBorders>
              <w:top w:val="single" w:sz="4" w:space="0" w:color="auto"/>
              <w:bottom w:val="single" w:sz="4" w:space="0" w:color="auto"/>
            </w:tcBorders>
            <w:noWrap/>
            <w:vAlign w:val="center"/>
            <w:hideMark/>
          </w:tcPr>
          <w:p w14:paraId="31FCD0B1" w14:textId="77777777" w:rsidR="00905B70" w:rsidRPr="00905B70" w:rsidRDefault="00905B70" w:rsidP="00905B70">
            <w:pPr>
              <w:autoSpaceDE/>
              <w:autoSpaceDN/>
              <w:adjustRightInd/>
              <w:spacing w:line="360" w:lineRule="auto"/>
              <w:ind w:firstLine="0"/>
              <w:jc w:val="center"/>
              <w:rPr>
                <w:rFonts w:eastAsia="Times New Roman"/>
                <w:b/>
                <w:bCs/>
                <w:color w:val="000000"/>
                <w:sz w:val="20"/>
                <w:lang w:eastAsia="pt-BR"/>
              </w:rPr>
            </w:pPr>
            <w:r w:rsidRPr="00905B70">
              <w:rPr>
                <w:rFonts w:eastAsia="Times New Roman"/>
                <w:b/>
                <w:bCs/>
                <w:color w:val="000000"/>
                <w:sz w:val="20"/>
                <w:lang w:eastAsia="pt-BR"/>
              </w:rPr>
              <w:t>CV (%)</w:t>
            </w:r>
          </w:p>
        </w:tc>
        <w:tc>
          <w:tcPr>
            <w:tcW w:w="1440" w:type="dxa"/>
            <w:tcBorders>
              <w:top w:val="single" w:sz="4" w:space="0" w:color="auto"/>
              <w:bottom w:val="single" w:sz="4" w:space="0" w:color="auto"/>
            </w:tcBorders>
            <w:noWrap/>
            <w:vAlign w:val="center"/>
            <w:hideMark/>
          </w:tcPr>
          <w:p w14:paraId="4ADEDCCF" w14:textId="77777777" w:rsidR="00905B70" w:rsidRPr="00905B70" w:rsidRDefault="00905B70" w:rsidP="00905B70">
            <w:pPr>
              <w:autoSpaceDE/>
              <w:autoSpaceDN/>
              <w:adjustRightInd/>
              <w:spacing w:line="360" w:lineRule="auto"/>
              <w:ind w:firstLine="0"/>
              <w:jc w:val="left"/>
              <w:rPr>
                <w:rFonts w:eastAsia="Times New Roman"/>
                <w:color w:val="000000"/>
                <w:sz w:val="20"/>
                <w:lang w:eastAsia="pt-BR"/>
              </w:rPr>
            </w:pPr>
            <w:r w:rsidRPr="00905B70">
              <w:rPr>
                <w:rFonts w:eastAsia="Times New Roman"/>
                <w:color w:val="000000"/>
                <w:sz w:val="20"/>
                <w:lang w:eastAsia="pt-BR"/>
              </w:rPr>
              <w:t xml:space="preserve">      15,65</w:t>
            </w:r>
          </w:p>
        </w:tc>
        <w:tc>
          <w:tcPr>
            <w:tcW w:w="1595" w:type="dxa"/>
            <w:tcBorders>
              <w:top w:val="single" w:sz="4" w:space="0" w:color="auto"/>
              <w:bottom w:val="single" w:sz="4" w:space="0" w:color="auto"/>
            </w:tcBorders>
            <w:noWrap/>
            <w:vAlign w:val="center"/>
            <w:hideMark/>
          </w:tcPr>
          <w:p w14:paraId="62C9C81D"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p>
        </w:tc>
        <w:tc>
          <w:tcPr>
            <w:tcW w:w="1595" w:type="dxa"/>
            <w:tcBorders>
              <w:top w:val="single" w:sz="4" w:space="0" w:color="auto"/>
              <w:bottom w:val="single" w:sz="4" w:space="0" w:color="auto"/>
            </w:tcBorders>
            <w:noWrap/>
            <w:vAlign w:val="center"/>
            <w:hideMark/>
          </w:tcPr>
          <w:p w14:paraId="720EF558"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p>
        </w:tc>
        <w:tc>
          <w:tcPr>
            <w:tcW w:w="1476" w:type="dxa"/>
            <w:tcBorders>
              <w:top w:val="single" w:sz="4" w:space="0" w:color="auto"/>
              <w:bottom w:val="single" w:sz="4" w:space="0" w:color="auto"/>
            </w:tcBorders>
            <w:noWrap/>
            <w:vAlign w:val="center"/>
            <w:hideMark/>
          </w:tcPr>
          <w:p w14:paraId="42E737FD" w14:textId="77777777" w:rsidR="00905B70" w:rsidRPr="00905B70" w:rsidRDefault="00905B70" w:rsidP="00905B70">
            <w:pPr>
              <w:autoSpaceDE/>
              <w:autoSpaceDN/>
              <w:adjustRightInd/>
              <w:spacing w:line="360" w:lineRule="auto"/>
              <w:ind w:firstLine="0"/>
              <w:jc w:val="center"/>
              <w:rPr>
                <w:rFonts w:eastAsia="Times New Roman"/>
                <w:color w:val="000000"/>
                <w:sz w:val="20"/>
                <w:lang w:eastAsia="pt-BR"/>
              </w:rPr>
            </w:pPr>
          </w:p>
        </w:tc>
      </w:tr>
    </w:tbl>
    <w:p w14:paraId="4B890836" w14:textId="77777777" w:rsidR="00905B70" w:rsidRPr="00905B70" w:rsidRDefault="00905B70" w:rsidP="00905B70">
      <w:pPr>
        <w:autoSpaceDE/>
        <w:autoSpaceDN/>
        <w:adjustRightInd/>
        <w:spacing w:after="0" w:line="240" w:lineRule="auto"/>
        <w:ind w:left="142" w:right="566" w:firstLine="0"/>
        <w:rPr>
          <w:color w:val="000000" w:themeColor="text1"/>
          <w:sz w:val="16"/>
          <w:szCs w:val="16"/>
        </w:rPr>
      </w:pPr>
      <w:r w:rsidRPr="00905B70">
        <w:rPr>
          <w:rFonts w:cstheme="minorBidi"/>
          <w:color w:val="000000" w:themeColor="text1"/>
          <w:szCs w:val="22"/>
        </w:rPr>
        <w:tab/>
      </w:r>
      <w:r w:rsidRPr="00905B70">
        <w:rPr>
          <w:color w:val="000000" w:themeColor="text1"/>
          <w:sz w:val="16"/>
          <w:szCs w:val="16"/>
        </w:rPr>
        <w:t>*Médias seguidas de letras minúsculas igual na linha não diferem estatisticamente entre si, e média seguidas de letras e maiúsculas diferentes na coluna diferem estatisticamente entre si.</w:t>
      </w:r>
    </w:p>
    <w:p w14:paraId="630CE7B1" w14:textId="77777777" w:rsidR="00905B70" w:rsidRPr="00905B70" w:rsidRDefault="00905B70" w:rsidP="00905B70">
      <w:pPr>
        <w:autoSpaceDE/>
        <w:autoSpaceDN/>
        <w:adjustRightInd/>
        <w:spacing w:after="0" w:line="240" w:lineRule="auto"/>
        <w:ind w:left="142" w:right="140" w:firstLine="0"/>
        <w:rPr>
          <w:color w:val="000000" w:themeColor="text1"/>
          <w:sz w:val="16"/>
          <w:szCs w:val="16"/>
        </w:rPr>
      </w:pPr>
      <w:r w:rsidRPr="00905B70">
        <w:rPr>
          <w:color w:val="000000" w:themeColor="text1"/>
          <w:sz w:val="16"/>
          <w:szCs w:val="16"/>
        </w:rPr>
        <w:t xml:space="preserve">Momentos de coleta: </w:t>
      </w:r>
      <w:r w:rsidRPr="00905B70">
        <w:rPr>
          <w:rFonts w:eastAsia="Times New Roman"/>
          <w:color w:val="000000" w:themeColor="text1"/>
          <w:kern w:val="24"/>
          <w:sz w:val="16"/>
          <w:szCs w:val="16"/>
          <w:lang w:eastAsia="pt-BR"/>
        </w:rPr>
        <w:t>14 DAP</w:t>
      </w:r>
      <w:r w:rsidRPr="00905B70">
        <w:rPr>
          <w:rFonts w:eastAsia="Times New Roman"/>
          <w:color w:val="000000" w:themeColor="text1"/>
          <w:kern w:val="24"/>
          <w:position w:val="-7"/>
          <w:sz w:val="16"/>
          <w:szCs w:val="16"/>
          <w:vertAlign w:val="subscript"/>
          <w:lang w:eastAsia="pt-BR"/>
        </w:rPr>
        <w:t>0</w:t>
      </w:r>
      <w:r w:rsidRPr="00905B70">
        <w:rPr>
          <w:color w:val="000000" w:themeColor="text1"/>
          <w:sz w:val="16"/>
          <w:szCs w:val="16"/>
        </w:rPr>
        <w:t>- 14 dias após a detecção do fungo (</w:t>
      </w:r>
      <w:r w:rsidRPr="00905B70">
        <w:rPr>
          <w:rFonts w:eastAsia="Times New Roman"/>
          <w:color w:val="000000" w:themeColor="text1"/>
          <w:kern w:val="24"/>
          <w:sz w:val="16"/>
          <w:szCs w:val="16"/>
          <w:lang w:eastAsia="pt-BR"/>
        </w:rPr>
        <w:t>P</w:t>
      </w:r>
      <w:r w:rsidRPr="00905B70">
        <w:rPr>
          <w:rFonts w:eastAsia="Times New Roman"/>
          <w:color w:val="000000" w:themeColor="text1"/>
          <w:kern w:val="24"/>
          <w:position w:val="-7"/>
          <w:sz w:val="16"/>
          <w:szCs w:val="16"/>
          <w:vertAlign w:val="subscript"/>
          <w:lang w:eastAsia="pt-BR"/>
        </w:rPr>
        <w:t>0</w:t>
      </w:r>
      <w:r w:rsidRPr="00905B70">
        <w:rPr>
          <w:color w:val="000000" w:themeColor="text1"/>
          <w:sz w:val="16"/>
          <w:szCs w:val="16"/>
        </w:rPr>
        <w:t xml:space="preserve">); </w:t>
      </w:r>
      <w:r w:rsidRPr="00905B70">
        <w:rPr>
          <w:rFonts w:eastAsia="Times New Roman"/>
          <w:color w:val="000000" w:themeColor="text1"/>
          <w:kern w:val="24"/>
          <w:sz w:val="16"/>
          <w:szCs w:val="16"/>
          <w:lang w:eastAsia="pt-BR"/>
        </w:rPr>
        <w:t>28 DAP</w:t>
      </w:r>
      <w:r w:rsidRPr="00905B70">
        <w:rPr>
          <w:rFonts w:eastAsia="Times New Roman"/>
          <w:color w:val="000000" w:themeColor="text1"/>
          <w:kern w:val="24"/>
          <w:position w:val="-7"/>
          <w:sz w:val="16"/>
          <w:szCs w:val="16"/>
          <w:vertAlign w:val="subscript"/>
          <w:lang w:eastAsia="pt-BR"/>
        </w:rPr>
        <w:t>0</w:t>
      </w:r>
      <w:r w:rsidRPr="00905B70">
        <w:rPr>
          <w:color w:val="000000" w:themeColor="text1"/>
          <w:sz w:val="16"/>
          <w:szCs w:val="16"/>
        </w:rPr>
        <w:t>- 28 dias após a detecção do fungo (</w:t>
      </w:r>
      <w:r w:rsidRPr="00905B70">
        <w:rPr>
          <w:rFonts w:eastAsia="Times New Roman"/>
          <w:color w:val="000000" w:themeColor="text1"/>
          <w:kern w:val="24"/>
          <w:sz w:val="16"/>
          <w:szCs w:val="16"/>
          <w:lang w:eastAsia="pt-BR"/>
        </w:rPr>
        <w:t>P</w:t>
      </w:r>
      <w:r w:rsidRPr="00905B70">
        <w:rPr>
          <w:rFonts w:eastAsia="Times New Roman"/>
          <w:color w:val="000000" w:themeColor="text1"/>
          <w:kern w:val="24"/>
          <w:position w:val="-7"/>
          <w:sz w:val="16"/>
          <w:szCs w:val="16"/>
          <w:vertAlign w:val="subscript"/>
          <w:lang w:eastAsia="pt-BR"/>
        </w:rPr>
        <w:t>0</w:t>
      </w:r>
      <w:r w:rsidRPr="00905B70">
        <w:rPr>
          <w:color w:val="000000" w:themeColor="text1"/>
          <w:sz w:val="16"/>
          <w:szCs w:val="16"/>
        </w:rPr>
        <w:t xml:space="preserve">); </w:t>
      </w:r>
      <w:r w:rsidRPr="00905B70">
        <w:rPr>
          <w:rFonts w:eastAsia="Times New Roman"/>
          <w:color w:val="000000" w:themeColor="text1"/>
          <w:kern w:val="24"/>
          <w:sz w:val="16"/>
          <w:szCs w:val="16"/>
          <w:lang w:eastAsia="pt-BR"/>
        </w:rPr>
        <w:t>42 DAP</w:t>
      </w:r>
      <w:r w:rsidRPr="00905B70">
        <w:rPr>
          <w:rFonts w:eastAsia="Times New Roman"/>
          <w:color w:val="000000" w:themeColor="text1"/>
          <w:kern w:val="24"/>
          <w:position w:val="-7"/>
          <w:sz w:val="16"/>
          <w:szCs w:val="16"/>
          <w:vertAlign w:val="subscript"/>
          <w:lang w:eastAsia="pt-BR"/>
        </w:rPr>
        <w:t>0</w:t>
      </w:r>
      <w:r w:rsidRPr="00905B70">
        <w:rPr>
          <w:color w:val="000000" w:themeColor="text1"/>
          <w:sz w:val="16"/>
          <w:szCs w:val="16"/>
        </w:rPr>
        <w:t>- 42 dias após a detecção do fungo (</w:t>
      </w:r>
      <w:r w:rsidRPr="00905B70">
        <w:rPr>
          <w:rFonts w:eastAsia="Times New Roman"/>
          <w:color w:val="000000" w:themeColor="text1"/>
          <w:kern w:val="24"/>
          <w:sz w:val="16"/>
          <w:szCs w:val="16"/>
          <w:lang w:eastAsia="pt-BR"/>
        </w:rPr>
        <w:t>P</w:t>
      </w:r>
      <w:r w:rsidRPr="00905B70">
        <w:rPr>
          <w:rFonts w:eastAsia="Times New Roman"/>
          <w:color w:val="000000" w:themeColor="text1"/>
          <w:kern w:val="24"/>
          <w:position w:val="-7"/>
          <w:sz w:val="16"/>
          <w:szCs w:val="16"/>
          <w:vertAlign w:val="subscript"/>
          <w:lang w:eastAsia="pt-BR"/>
        </w:rPr>
        <w:t>0</w:t>
      </w:r>
      <w:r w:rsidRPr="00905B70">
        <w:rPr>
          <w:color w:val="000000" w:themeColor="text1"/>
          <w:sz w:val="16"/>
          <w:szCs w:val="16"/>
        </w:rPr>
        <w:t>). Tratamentos:</w:t>
      </w:r>
      <w:r w:rsidRPr="00905B70">
        <w:rPr>
          <w:color w:val="000000" w:themeColor="text1"/>
          <w:kern w:val="24"/>
        </w:rPr>
        <w:t xml:space="preserve"> </w:t>
      </w:r>
      <w:r w:rsidRPr="00905B70">
        <w:rPr>
          <w:color w:val="000000" w:themeColor="text1"/>
          <w:kern w:val="24"/>
          <w:sz w:val="16"/>
          <w:szCs w:val="16"/>
        </w:rPr>
        <w:t xml:space="preserve">T1) três aplicações de fluxapyroxada + piraclostrobina; T2) três aplicações de fluxapyroxada + piraclostrobina + mancozebe; </w:t>
      </w:r>
      <w:r w:rsidRPr="00905B70">
        <w:rPr>
          <w:kern w:val="24"/>
          <w:sz w:val="16"/>
          <w:szCs w:val="16"/>
        </w:rPr>
        <w:t xml:space="preserve">T3) </w:t>
      </w:r>
      <w:r w:rsidRPr="00905B70">
        <w:rPr>
          <w:color w:val="000000" w:themeColor="text1"/>
          <w:kern w:val="24"/>
          <w:sz w:val="16"/>
          <w:szCs w:val="16"/>
        </w:rPr>
        <w:t>três aplicações de fluxapyroxada + piraclostrobina + fenpropimorfo</w:t>
      </w:r>
      <w:r w:rsidRPr="00905B70">
        <w:rPr>
          <w:sz w:val="16"/>
          <w:szCs w:val="16"/>
        </w:rPr>
        <w:t>;</w:t>
      </w:r>
      <w:r w:rsidRPr="00905B70">
        <w:rPr>
          <w:kern w:val="24"/>
          <w:sz w:val="16"/>
          <w:szCs w:val="16"/>
        </w:rPr>
        <w:t xml:space="preserve"> T4) sem aplicação de fungicidas.</w:t>
      </w:r>
    </w:p>
    <w:p w14:paraId="4B5FD5BC" w14:textId="36976E54" w:rsidR="00076AB0" w:rsidRPr="00B7238F" w:rsidRDefault="00076AB0" w:rsidP="003F6D94">
      <w:pPr>
        <w:pStyle w:val="Default"/>
        <w:spacing w:line="360" w:lineRule="auto"/>
        <w:rPr>
          <w:color w:val="000000" w:themeColor="text1"/>
          <w:lang w:val="pt-BR"/>
        </w:rPr>
      </w:pPr>
    </w:p>
    <w:p w14:paraId="6A706EF8" w14:textId="76642733" w:rsidR="00076AB0" w:rsidRPr="00B7238F" w:rsidRDefault="00A310F8" w:rsidP="003F6D94">
      <w:pPr>
        <w:pStyle w:val="Default"/>
        <w:spacing w:line="360" w:lineRule="auto"/>
        <w:jc w:val="both"/>
        <w:rPr>
          <w:color w:val="000000" w:themeColor="text1"/>
          <w:lang w:val="pt-BR"/>
        </w:rPr>
      </w:pPr>
      <w:r w:rsidRPr="00B7238F">
        <w:rPr>
          <w:color w:val="000000" w:themeColor="text1"/>
          <w:lang w:val="pt-BR"/>
        </w:rPr>
        <w:tab/>
        <w:t>A testemunha sem aplicação de fungicidas (T1) apresentou o menor valor de frequência da mutação na média dos momentos, diferindo estatisticamente de todos os demais (Anexo</w:t>
      </w:r>
      <w:r w:rsidR="006762CE" w:rsidRPr="00B7238F">
        <w:rPr>
          <w:color w:val="000000" w:themeColor="text1"/>
          <w:lang w:val="pt-BR"/>
        </w:rPr>
        <w:t xml:space="preserve"> 3</w:t>
      </w:r>
      <w:r w:rsidRPr="00B7238F">
        <w:rPr>
          <w:color w:val="000000" w:themeColor="text1"/>
          <w:lang w:val="pt-BR"/>
        </w:rPr>
        <w:t>).</w:t>
      </w:r>
    </w:p>
    <w:p w14:paraId="122CAAC1" w14:textId="7730B634" w:rsidR="00076AB0" w:rsidRPr="00B7238F" w:rsidRDefault="00E804C4" w:rsidP="003F6D94">
      <w:pPr>
        <w:pStyle w:val="Default"/>
        <w:spacing w:line="360" w:lineRule="auto"/>
        <w:ind w:firstLine="708"/>
        <w:jc w:val="both"/>
        <w:rPr>
          <w:color w:val="000000" w:themeColor="text1"/>
          <w:lang w:val="pt-BR"/>
        </w:rPr>
      </w:pPr>
      <w:r w:rsidRPr="00B7238F">
        <w:rPr>
          <w:color w:val="000000" w:themeColor="text1"/>
          <w:lang w:val="pt-BR"/>
        </w:rPr>
        <w:t>A adição de mancozebe</w:t>
      </w:r>
      <w:r w:rsidR="008A4400" w:rsidRPr="00B7238F">
        <w:rPr>
          <w:color w:val="000000" w:themeColor="text1"/>
          <w:lang w:val="pt-BR"/>
        </w:rPr>
        <w:t xml:space="preserve"> a piraclostrobina + fluxapiroxada não reduziu a frequência da mutação I86F em populações de </w:t>
      </w:r>
      <w:r w:rsidR="008A4400" w:rsidRPr="00B7238F">
        <w:rPr>
          <w:i/>
          <w:color w:val="000000" w:themeColor="text1"/>
          <w:lang w:val="pt-BR"/>
        </w:rPr>
        <w:t>P. pachyrhizi</w:t>
      </w:r>
      <w:r w:rsidR="008A4400" w:rsidRPr="00B7238F">
        <w:rPr>
          <w:color w:val="000000" w:themeColor="text1"/>
          <w:lang w:val="pt-BR"/>
        </w:rPr>
        <w:t xml:space="preserve"> em nenhum dos momentos avaliados</w:t>
      </w:r>
      <w:r w:rsidR="00A310F8" w:rsidRPr="00B7238F">
        <w:rPr>
          <w:color w:val="000000" w:themeColor="text1"/>
          <w:lang w:val="pt-BR"/>
        </w:rPr>
        <w:t xml:space="preserve"> (Tabela 21)</w:t>
      </w:r>
      <w:r w:rsidR="008A4400" w:rsidRPr="00B7238F">
        <w:rPr>
          <w:color w:val="000000" w:themeColor="text1"/>
          <w:lang w:val="pt-BR"/>
        </w:rPr>
        <w:t>. A mistura de fenpropimorfo a piraclostrobina + fluxapiroxada reduziu a frequência da mutação I86F nas avaliações realizadas aos 28, 42 DAP</w:t>
      </w:r>
      <w:r w:rsidR="008A4400" w:rsidRPr="00B7238F">
        <w:rPr>
          <w:color w:val="000000" w:themeColor="text1"/>
          <w:vertAlign w:val="subscript"/>
          <w:lang w:val="pt-BR"/>
        </w:rPr>
        <w:t xml:space="preserve">0 </w:t>
      </w:r>
      <w:r w:rsidR="008A4400" w:rsidRPr="00B7238F">
        <w:rPr>
          <w:color w:val="000000" w:themeColor="text1"/>
          <w:lang w:val="pt-BR"/>
        </w:rPr>
        <w:t>e média dos momentos</w:t>
      </w:r>
      <w:r w:rsidR="00A310F8" w:rsidRPr="00B7238F">
        <w:rPr>
          <w:color w:val="000000" w:themeColor="text1"/>
          <w:lang w:val="pt-BR"/>
        </w:rPr>
        <w:t xml:space="preserve"> (Tabela 21).</w:t>
      </w:r>
    </w:p>
    <w:p w14:paraId="47E95428" w14:textId="1FFB9D8F" w:rsidR="00B66540" w:rsidRPr="00B7238F" w:rsidRDefault="00A310F8" w:rsidP="003F6D94">
      <w:pPr>
        <w:pStyle w:val="Default"/>
        <w:spacing w:line="360" w:lineRule="auto"/>
        <w:jc w:val="both"/>
        <w:rPr>
          <w:color w:val="000000" w:themeColor="text1"/>
          <w:lang w:val="pt-BR"/>
        </w:rPr>
      </w:pPr>
      <w:r w:rsidRPr="00B7238F">
        <w:rPr>
          <w:color w:val="000000" w:themeColor="text1"/>
          <w:lang w:val="pt-BR"/>
        </w:rPr>
        <w:tab/>
        <w:t>A mistura de piraclostrobina + fluxapiroxada + fenpropimorfo (T3) não diferiu estatisticamente da testemunha (T4) quanto a frequência da mutação, em avaliações realizadas aos 28 e 42 DAP</w:t>
      </w:r>
      <w:r w:rsidRPr="00B7238F">
        <w:rPr>
          <w:color w:val="000000" w:themeColor="text1"/>
          <w:vertAlign w:val="subscript"/>
          <w:lang w:val="pt-BR"/>
        </w:rPr>
        <w:t xml:space="preserve">0 </w:t>
      </w:r>
      <w:r w:rsidRPr="00B7238F">
        <w:rPr>
          <w:color w:val="000000" w:themeColor="text1"/>
          <w:lang w:val="pt-BR"/>
        </w:rPr>
        <w:t>(Tabela 21)</w:t>
      </w:r>
      <w:r w:rsidRPr="00B7238F">
        <w:rPr>
          <w:color w:val="000000" w:themeColor="text1"/>
          <w:vertAlign w:val="subscript"/>
          <w:lang w:val="pt-BR"/>
        </w:rPr>
        <w:t xml:space="preserve">. </w:t>
      </w:r>
      <w:r w:rsidRPr="00B7238F">
        <w:rPr>
          <w:color w:val="000000" w:themeColor="text1"/>
          <w:lang w:val="pt-BR"/>
        </w:rPr>
        <w:t xml:space="preserve"> </w:t>
      </w:r>
    </w:p>
    <w:p w14:paraId="02188B4D" w14:textId="77777777" w:rsidR="00A346CA" w:rsidRPr="00B7238F" w:rsidRDefault="00A346CA" w:rsidP="003F6D94">
      <w:pPr>
        <w:pStyle w:val="Default"/>
        <w:spacing w:line="360" w:lineRule="auto"/>
        <w:jc w:val="both"/>
        <w:rPr>
          <w:color w:val="000000" w:themeColor="text1"/>
          <w:lang w:val="pt-BR"/>
        </w:rPr>
      </w:pPr>
    </w:p>
    <w:p w14:paraId="203C58D0" w14:textId="421E79C2" w:rsidR="00D96246" w:rsidRDefault="00D96246" w:rsidP="003F6D94">
      <w:pPr>
        <w:pStyle w:val="Ttulo2"/>
        <w:spacing w:before="0" w:after="0" w:line="360" w:lineRule="auto"/>
      </w:pPr>
      <w:bookmarkStart w:id="305" w:name="_Toc22568290"/>
      <w:r>
        <w:t xml:space="preserve">7.5 </w:t>
      </w:r>
      <w:r w:rsidR="00076AB0" w:rsidRPr="00B7238F">
        <w:t>DISCUSSÃO</w:t>
      </w:r>
      <w:bookmarkEnd w:id="305"/>
    </w:p>
    <w:p w14:paraId="2631E1C4" w14:textId="77777777" w:rsidR="003F6D94" w:rsidRPr="003F6D94" w:rsidRDefault="003F6D94" w:rsidP="003F6D94">
      <w:pPr>
        <w:spacing w:after="0" w:line="360" w:lineRule="auto"/>
      </w:pPr>
    </w:p>
    <w:p w14:paraId="1D466782" w14:textId="5823BA4C" w:rsidR="002F659B" w:rsidRPr="00B7238F" w:rsidRDefault="002F659B" w:rsidP="003F6D94">
      <w:pPr>
        <w:spacing w:after="0" w:line="360" w:lineRule="auto"/>
      </w:pPr>
      <w:r w:rsidRPr="00B7238F">
        <w:t xml:space="preserve">O único artigo publicado sobre a mutação I86F em </w:t>
      </w:r>
      <w:r w:rsidRPr="00B7238F">
        <w:rPr>
          <w:i/>
        </w:rPr>
        <w:t xml:space="preserve">P. pachyrhizi </w:t>
      </w:r>
      <w:r w:rsidRPr="00B7238F">
        <w:t xml:space="preserve">é o </w:t>
      </w:r>
      <w:r w:rsidRPr="00B7238F">
        <w:rPr>
          <w:i/>
        </w:rPr>
        <w:t>first report</w:t>
      </w:r>
      <w:r w:rsidRPr="00B7238F">
        <w:t xml:space="preserve"> desenvolvido por Simões e colaboradores (2017). </w:t>
      </w:r>
      <w:r w:rsidR="00F279A9" w:rsidRPr="00B7238F">
        <w:t>N</w:t>
      </w:r>
      <w:r w:rsidRPr="00B7238F">
        <w:t xml:space="preserve">ão há na literatura nenhuma publicação avaliando estratégias de manejo de resistência deste patógeno a fungicidas </w:t>
      </w:r>
      <w:r w:rsidR="001721CC">
        <w:t>através de análises moleculares</w:t>
      </w:r>
      <w:r w:rsidRPr="00B7238F">
        <w:t xml:space="preserve">, especialmente em condições de campo. Bem como não há uma metodologia definida para avaliação de estratégias de manejo de resistência de </w:t>
      </w:r>
      <w:r w:rsidRPr="00B7238F">
        <w:rPr>
          <w:i/>
        </w:rPr>
        <w:t>P. pachyrhizi</w:t>
      </w:r>
      <w:r w:rsidRPr="00B7238F">
        <w:t xml:space="preserve"> a fungicidas, sendo o método utilizado neste trabalho inédito. Em virtude disto, serão utilizados um número limitado de artigos para discussão dos resultados obtidos nestes experimentos.</w:t>
      </w:r>
    </w:p>
    <w:p w14:paraId="0757510D" w14:textId="5C9520AC" w:rsidR="002F659B" w:rsidRPr="00B7238F" w:rsidRDefault="002F659B" w:rsidP="003F6D94">
      <w:pPr>
        <w:pStyle w:val="Default"/>
        <w:tabs>
          <w:tab w:val="left" w:pos="8222"/>
        </w:tabs>
        <w:spacing w:line="360" w:lineRule="auto"/>
        <w:ind w:firstLine="708"/>
        <w:jc w:val="both"/>
        <w:rPr>
          <w:color w:val="000000" w:themeColor="text1"/>
          <w:lang w:val="pt-BR"/>
        </w:rPr>
      </w:pPr>
      <w:r w:rsidRPr="00B7238F">
        <w:rPr>
          <w:color w:val="000000" w:themeColor="text1"/>
          <w:lang w:val="pt-BR"/>
        </w:rPr>
        <w:t xml:space="preserve">Nos resultados obtidos nos três experimentos foi observado maior frequência da mutação I86F nos programas de aplicações com fungicidas do grupo químico das carboxamidas, o que demonstra a possibilidade de avaliação de estratégias de manejo de resistência a fungicidas através desta metodologia. </w:t>
      </w:r>
      <w:r w:rsidR="00F279A9" w:rsidRPr="00B7238F">
        <w:rPr>
          <w:color w:val="000000" w:themeColor="text1"/>
          <w:lang w:val="pt-BR"/>
        </w:rPr>
        <w:t>E</w:t>
      </w:r>
      <w:r w:rsidRPr="00B7238F">
        <w:rPr>
          <w:color w:val="000000" w:themeColor="text1"/>
          <w:lang w:val="pt-BR"/>
        </w:rPr>
        <w:t xml:space="preserve">stes </w:t>
      </w:r>
      <w:r w:rsidR="00192054" w:rsidRPr="00B7238F">
        <w:rPr>
          <w:color w:val="000000" w:themeColor="text1"/>
          <w:lang w:val="pt-BR"/>
        </w:rPr>
        <w:t>dados evidenciam que</w:t>
      </w:r>
      <w:r w:rsidRPr="00B7238F">
        <w:rPr>
          <w:color w:val="000000" w:themeColor="text1"/>
          <w:lang w:val="pt-BR"/>
        </w:rPr>
        <w:t xml:space="preserve"> a </w:t>
      </w:r>
      <w:r w:rsidR="00192054" w:rsidRPr="00B7238F">
        <w:rPr>
          <w:color w:val="000000" w:themeColor="text1"/>
          <w:lang w:val="pt-BR"/>
        </w:rPr>
        <w:t xml:space="preserve">o uso de fungicidas do grupo químico das carboxamidas seleciona a mutação em populações de </w:t>
      </w:r>
      <w:r w:rsidR="00192054" w:rsidRPr="00B7238F">
        <w:rPr>
          <w:i/>
          <w:color w:val="000000" w:themeColor="text1"/>
          <w:lang w:val="pt-BR"/>
        </w:rPr>
        <w:t>P. pachyrhizi</w:t>
      </w:r>
      <w:r w:rsidR="00192054" w:rsidRPr="00B7238F">
        <w:rPr>
          <w:color w:val="000000" w:themeColor="text1"/>
          <w:lang w:val="pt-BR"/>
        </w:rPr>
        <w:t xml:space="preserve">, o que também foi observado por Simões e colaboradores </w:t>
      </w:r>
      <w:r w:rsidR="009929AC" w:rsidRPr="00B7238F">
        <w:rPr>
          <w:color w:val="000000" w:themeColor="text1"/>
          <w:lang w:val="pt-BR"/>
        </w:rPr>
        <w:t>(2017).</w:t>
      </w:r>
    </w:p>
    <w:p w14:paraId="71AA9BE9" w14:textId="6C79D165" w:rsidR="00E02310" w:rsidRPr="00B7238F" w:rsidRDefault="00E87AC5" w:rsidP="003F6D94">
      <w:pPr>
        <w:pStyle w:val="Default"/>
        <w:tabs>
          <w:tab w:val="left" w:pos="8222"/>
        </w:tabs>
        <w:spacing w:line="360" w:lineRule="auto"/>
        <w:ind w:firstLine="708"/>
        <w:jc w:val="both"/>
        <w:rPr>
          <w:color w:val="000000" w:themeColor="text1"/>
          <w:lang w:val="pt-BR"/>
        </w:rPr>
      </w:pPr>
      <w:r w:rsidRPr="004A5330">
        <w:rPr>
          <w:color w:val="000000" w:themeColor="text1"/>
          <w:lang w:val="pt-BR"/>
        </w:rPr>
        <w:t xml:space="preserve">A época de semeadura utlizada para realização dos experimentos foi atrasada em relação a época preferencial para a região, com o objetivo de avaliar as estratégias de manejo numa situação de maior densidade de inóculo de </w:t>
      </w:r>
      <w:r w:rsidRPr="004A5330">
        <w:rPr>
          <w:i/>
          <w:color w:val="000000" w:themeColor="text1"/>
          <w:lang w:val="pt-BR"/>
        </w:rPr>
        <w:t>P. pachyrhizi</w:t>
      </w:r>
      <w:r w:rsidRPr="004A5330">
        <w:rPr>
          <w:color w:val="000000" w:themeColor="text1"/>
          <w:lang w:val="pt-BR"/>
        </w:rPr>
        <w:t xml:space="preserve"> e risco de seleção de populações mutantes. Ao fazer uma análise de risco neste tipo de cenário, há uma tendência de que as estratégias que apresenta</w:t>
      </w:r>
      <w:r w:rsidR="006568B5" w:rsidRPr="004A5330">
        <w:rPr>
          <w:color w:val="000000" w:themeColor="text1"/>
          <w:lang w:val="pt-BR"/>
        </w:rPr>
        <w:t>m</w:t>
      </w:r>
      <w:r w:rsidRPr="004A5330">
        <w:rPr>
          <w:color w:val="000000" w:themeColor="text1"/>
          <w:lang w:val="pt-BR"/>
        </w:rPr>
        <w:t xml:space="preserve"> menores valores de frequência de mutação</w:t>
      </w:r>
      <w:r w:rsidR="006568B5" w:rsidRPr="004A5330">
        <w:rPr>
          <w:color w:val="000000" w:themeColor="text1"/>
          <w:lang w:val="pt-BR"/>
        </w:rPr>
        <w:t xml:space="preserve"> também possam ser recomendadas em ambientes com menor risco de seleção direcional.</w:t>
      </w:r>
    </w:p>
    <w:p w14:paraId="286F8D54" w14:textId="77777777" w:rsidR="001C6ED3" w:rsidRPr="00B7238F" w:rsidRDefault="001C6ED3" w:rsidP="003F6D94">
      <w:pPr>
        <w:spacing w:after="0" w:line="360" w:lineRule="auto"/>
      </w:pPr>
    </w:p>
    <w:p w14:paraId="187DBBA0" w14:textId="7D0DE48D" w:rsidR="004A5330" w:rsidRDefault="00D96246" w:rsidP="003F6D94">
      <w:pPr>
        <w:pStyle w:val="Ttulo3"/>
        <w:spacing w:before="0" w:after="0" w:line="360" w:lineRule="auto"/>
        <w:rPr>
          <w:i/>
          <w:iCs/>
        </w:rPr>
      </w:pPr>
      <w:bookmarkStart w:id="306" w:name="_Toc22568291"/>
      <w:r>
        <w:t>7</w:t>
      </w:r>
      <w:r w:rsidR="00EB76AC" w:rsidRPr="00B7238F">
        <w:t>.5.1 Efeito de programas de aplicações de fungicidas na ocorrência e frequência da mutação</w:t>
      </w:r>
      <w:r w:rsidR="00C50C96" w:rsidRPr="00B7238F">
        <w:t xml:space="preserve"> </w:t>
      </w:r>
      <w:r w:rsidR="00EB76AC" w:rsidRPr="00B7238F">
        <w:t xml:space="preserve">I86F em populações de </w:t>
      </w:r>
      <w:r w:rsidR="00EB76AC" w:rsidRPr="00B7238F">
        <w:rPr>
          <w:i/>
          <w:iCs/>
        </w:rPr>
        <w:t>Phakopsora pachyrhizi</w:t>
      </w:r>
      <w:bookmarkEnd w:id="284"/>
      <w:bookmarkEnd w:id="306"/>
    </w:p>
    <w:p w14:paraId="1905FABF" w14:textId="77777777" w:rsidR="004A5330" w:rsidRPr="004A5330" w:rsidRDefault="004A5330" w:rsidP="003F6D94">
      <w:pPr>
        <w:spacing w:after="0" w:line="360" w:lineRule="auto"/>
      </w:pPr>
    </w:p>
    <w:p w14:paraId="328C8C35" w14:textId="531AE33E" w:rsidR="00F9691A" w:rsidRPr="00F83496" w:rsidRDefault="000E3670" w:rsidP="003F6D94">
      <w:pPr>
        <w:pStyle w:val="Default"/>
        <w:spacing w:line="360" w:lineRule="auto"/>
        <w:jc w:val="both"/>
        <w:rPr>
          <w:color w:val="000000" w:themeColor="text1"/>
          <w:lang w:val="pt-BR"/>
        </w:rPr>
      </w:pPr>
      <w:r w:rsidRPr="00B7238F">
        <w:rPr>
          <w:color w:val="000000" w:themeColor="text1"/>
          <w:lang w:val="pt-BR"/>
        </w:rPr>
        <w:tab/>
      </w:r>
      <w:r w:rsidR="00CB2DA5" w:rsidRPr="00B7238F">
        <w:rPr>
          <w:color w:val="000000" w:themeColor="text1"/>
          <w:lang w:val="pt-BR"/>
        </w:rPr>
        <w:t xml:space="preserve">Com o objetivo de discutir o risco de resistência dos fungicidas testados, </w:t>
      </w:r>
      <w:r w:rsidR="00D747C0" w:rsidRPr="00B7238F">
        <w:rPr>
          <w:color w:val="000000" w:themeColor="text1"/>
          <w:lang w:val="pt-BR"/>
        </w:rPr>
        <w:t xml:space="preserve">foi verificado </w:t>
      </w:r>
      <w:r w:rsidR="00CB2DA5" w:rsidRPr="00B7238F">
        <w:rPr>
          <w:color w:val="000000" w:themeColor="text1"/>
          <w:lang w:val="pt-BR"/>
        </w:rPr>
        <w:t xml:space="preserve">que para </w:t>
      </w:r>
      <w:r w:rsidRPr="00B7238F">
        <w:rPr>
          <w:color w:val="000000" w:themeColor="text1"/>
          <w:lang w:val="pt-BR"/>
        </w:rPr>
        <w:t>o tratamento T7 o valor da mutação observado aos 42 DAP</w:t>
      </w:r>
      <w:r w:rsidRPr="00B7238F">
        <w:rPr>
          <w:color w:val="000000" w:themeColor="text1"/>
          <w:vertAlign w:val="subscript"/>
          <w:lang w:val="pt-BR"/>
        </w:rPr>
        <w:t>0</w:t>
      </w:r>
      <w:r w:rsidRPr="00B7238F">
        <w:rPr>
          <w:color w:val="000000" w:themeColor="text1"/>
          <w:lang w:val="pt-BR"/>
        </w:rPr>
        <w:t xml:space="preserve"> é 18,6 vezes maior que a frequência inicial</w:t>
      </w:r>
      <w:r w:rsidR="00CB2DA5" w:rsidRPr="00B7238F">
        <w:rPr>
          <w:color w:val="000000" w:themeColor="text1"/>
          <w:lang w:val="pt-BR"/>
        </w:rPr>
        <w:t>.</w:t>
      </w:r>
      <w:r w:rsidRPr="00B7238F">
        <w:rPr>
          <w:color w:val="000000" w:themeColor="text1"/>
          <w:lang w:val="pt-BR"/>
        </w:rPr>
        <w:t xml:space="preserve"> </w:t>
      </w:r>
      <w:r w:rsidR="00CB2DA5" w:rsidRPr="00B7238F">
        <w:rPr>
          <w:color w:val="000000" w:themeColor="text1"/>
          <w:lang w:val="pt-BR"/>
        </w:rPr>
        <w:t>S</w:t>
      </w:r>
      <w:r w:rsidRPr="00B7238F">
        <w:rPr>
          <w:color w:val="000000" w:themeColor="text1"/>
          <w:lang w:val="pt-BR"/>
        </w:rPr>
        <w:t xml:space="preserve">e considerarmos um período latente médio de dez dias para </w:t>
      </w:r>
      <w:r w:rsidRPr="00B7238F">
        <w:rPr>
          <w:i/>
          <w:color w:val="000000" w:themeColor="text1"/>
          <w:lang w:val="pt-BR"/>
        </w:rPr>
        <w:t>P. pachyrhizi</w:t>
      </w:r>
      <w:r w:rsidR="00CB2DA5" w:rsidRPr="00B7238F">
        <w:rPr>
          <w:i/>
          <w:color w:val="000000" w:themeColor="text1"/>
          <w:lang w:val="pt-BR"/>
        </w:rPr>
        <w:t>,</w:t>
      </w:r>
      <w:r w:rsidRPr="00B7238F">
        <w:rPr>
          <w:i/>
          <w:color w:val="000000" w:themeColor="text1"/>
          <w:lang w:val="pt-BR"/>
        </w:rPr>
        <w:t xml:space="preserve"> </w:t>
      </w:r>
      <w:r w:rsidRPr="00B7238F">
        <w:rPr>
          <w:color w:val="000000" w:themeColor="text1"/>
          <w:lang w:val="pt-BR"/>
        </w:rPr>
        <w:t xml:space="preserve">este resultado representa </w:t>
      </w:r>
      <w:r w:rsidR="00F9691A" w:rsidRPr="00B7238F">
        <w:rPr>
          <w:color w:val="000000" w:themeColor="text1"/>
          <w:lang w:val="pt-BR"/>
        </w:rPr>
        <w:t xml:space="preserve">um aumento de </w:t>
      </w:r>
      <w:r w:rsidR="00CD13B1" w:rsidRPr="00B7238F">
        <w:rPr>
          <w:color w:val="000000" w:themeColor="text1"/>
          <w:lang w:val="pt-BR"/>
        </w:rPr>
        <w:t>4,4</w:t>
      </w:r>
      <w:r w:rsidR="00F9691A" w:rsidRPr="00B7238F">
        <w:rPr>
          <w:color w:val="000000" w:themeColor="text1"/>
          <w:lang w:val="pt-BR"/>
        </w:rPr>
        <w:t xml:space="preserve"> vezes na frequência da mutação I86F em apenas um ciclo do patógeno. </w:t>
      </w:r>
      <w:r w:rsidR="00F83496">
        <w:rPr>
          <w:color w:val="000000" w:themeColor="text1"/>
          <w:lang w:val="pt-BR"/>
        </w:rPr>
        <w:t xml:space="preserve">Enquanto que para T4, </w:t>
      </w:r>
      <w:r w:rsidR="00F83496" w:rsidRPr="00B7238F">
        <w:rPr>
          <w:color w:val="000000" w:themeColor="text1"/>
          <w:lang w:val="pt-BR"/>
        </w:rPr>
        <w:t>aos 42 DAP</w:t>
      </w:r>
      <w:r w:rsidR="00F83496" w:rsidRPr="00B7238F">
        <w:rPr>
          <w:color w:val="000000" w:themeColor="text1"/>
          <w:vertAlign w:val="subscript"/>
          <w:lang w:val="pt-BR"/>
        </w:rPr>
        <w:t>0</w:t>
      </w:r>
      <w:r w:rsidR="00F83496" w:rsidRPr="00B7238F">
        <w:rPr>
          <w:color w:val="000000" w:themeColor="text1"/>
          <w:lang w:val="pt-BR"/>
        </w:rPr>
        <w:t xml:space="preserve"> </w:t>
      </w:r>
      <w:r w:rsidR="00F83496">
        <w:rPr>
          <w:color w:val="000000" w:themeColor="text1"/>
          <w:lang w:val="pt-BR"/>
        </w:rPr>
        <w:t xml:space="preserve">foi detectado frequência de mutação 13,4 vezes maior que o valor inicial, e aumento de 3,2 vezes por ciclo do fungo. </w:t>
      </w:r>
      <w:r w:rsidR="00F9691A" w:rsidRPr="00B7238F">
        <w:rPr>
          <w:color w:val="000000" w:themeColor="text1"/>
          <w:lang w:val="pt-BR"/>
        </w:rPr>
        <w:t>A observação desta</w:t>
      </w:r>
      <w:r w:rsidR="00F83496">
        <w:rPr>
          <w:color w:val="000000" w:themeColor="text1"/>
          <w:lang w:val="pt-BR"/>
        </w:rPr>
        <w:t>s</w:t>
      </w:r>
      <w:r w:rsidR="00F9691A" w:rsidRPr="00B7238F">
        <w:rPr>
          <w:color w:val="000000" w:themeColor="text1"/>
          <w:lang w:val="pt-BR"/>
        </w:rPr>
        <w:t xml:space="preserve"> taxa</w:t>
      </w:r>
      <w:r w:rsidR="00F83496">
        <w:rPr>
          <w:color w:val="000000" w:themeColor="text1"/>
          <w:lang w:val="pt-BR"/>
        </w:rPr>
        <w:t>s</w:t>
      </w:r>
      <w:r w:rsidR="00F9691A" w:rsidRPr="00B7238F">
        <w:rPr>
          <w:color w:val="000000" w:themeColor="text1"/>
          <w:lang w:val="pt-BR"/>
        </w:rPr>
        <w:t xml:space="preserve"> de seleção com a utilização de mistura de fungicida</w:t>
      </w:r>
      <w:r w:rsidR="00275AEB" w:rsidRPr="00B7238F">
        <w:rPr>
          <w:color w:val="000000" w:themeColor="text1"/>
          <w:lang w:val="pt-BR"/>
        </w:rPr>
        <w:t>s (carboxamida + estrobilurina)</w:t>
      </w:r>
      <w:r w:rsidR="00F9691A" w:rsidRPr="00B7238F">
        <w:rPr>
          <w:color w:val="000000" w:themeColor="text1"/>
          <w:lang w:val="pt-BR"/>
        </w:rPr>
        <w:t xml:space="preserve">, demonstra o risco de seleção de populações mutantes por este grupo de fungicidas. O fungo </w:t>
      </w:r>
      <w:r w:rsidR="00F9691A" w:rsidRPr="00B7238F">
        <w:rPr>
          <w:i/>
          <w:color w:val="000000" w:themeColor="text1"/>
          <w:lang w:val="pt-BR"/>
        </w:rPr>
        <w:t>P. pachyrhizi</w:t>
      </w:r>
      <w:r w:rsidR="00F9691A" w:rsidRPr="00B7238F">
        <w:rPr>
          <w:color w:val="000000" w:themeColor="text1"/>
          <w:lang w:val="pt-BR"/>
        </w:rPr>
        <w:t xml:space="preserve"> pode ser disseminado pelo vento a longas distância</w:t>
      </w:r>
      <w:r w:rsidR="00CD13B1" w:rsidRPr="00B7238F">
        <w:rPr>
          <w:color w:val="000000" w:themeColor="text1"/>
          <w:lang w:val="pt-BR"/>
        </w:rPr>
        <w:t>s</w:t>
      </w:r>
      <w:r w:rsidR="00F9691A" w:rsidRPr="00B7238F">
        <w:rPr>
          <w:color w:val="000000" w:themeColor="text1"/>
          <w:lang w:val="pt-BR"/>
        </w:rPr>
        <w:t>, o que faz com que isolados seleciona</w:t>
      </w:r>
      <w:r w:rsidR="00275AEB" w:rsidRPr="00B7238F">
        <w:rPr>
          <w:color w:val="000000" w:themeColor="text1"/>
          <w:lang w:val="pt-BR"/>
        </w:rPr>
        <w:t>dos</w:t>
      </w:r>
      <w:r w:rsidR="00F9691A" w:rsidRPr="00B7238F">
        <w:rPr>
          <w:color w:val="000000" w:themeColor="text1"/>
          <w:lang w:val="pt-BR"/>
        </w:rPr>
        <w:t xml:space="preserve"> numa lavoura possam ser introduzidos em lavouras distante</w:t>
      </w:r>
      <w:r w:rsidR="00CD13B1" w:rsidRPr="00B7238F">
        <w:rPr>
          <w:color w:val="000000" w:themeColor="text1"/>
          <w:lang w:val="pt-BR"/>
        </w:rPr>
        <w:t>s</w:t>
      </w:r>
      <w:r w:rsidR="00F9691A" w:rsidRPr="00B7238F">
        <w:rPr>
          <w:color w:val="000000" w:themeColor="text1"/>
          <w:lang w:val="pt-BR"/>
        </w:rPr>
        <w:t xml:space="preserve"> e continuar o seu processo de seleção. Desta forma</w:t>
      </w:r>
      <w:r w:rsidR="00D747C0" w:rsidRPr="00B7238F">
        <w:rPr>
          <w:color w:val="000000" w:themeColor="text1"/>
          <w:lang w:val="pt-BR"/>
        </w:rPr>
        <w:t>,</w:t>
      </w:r>
      <w:r w:rsidR="00F9691A" w:rsidRPr="00B7238F">
        <w:rPr>
          <w:color w:val="000000" w:themeColor="text1"/>
          <w:lang w:val="pt-BR"/>
        </w:rPr>
        <w:t xml:space="preserve"> por exemplo uma lavoura semeada no início da época ideal de semeadura onde foi realizada duas aplicações </w:t>
      </w:r>
      <w:r w:rsidR="00D747C0" w:rsidRPr="00B7238F">
        <w:rPr>
          <w:color w:val="000000" w:themeColor="text1"/>
          <w:lang w:val="pt-BR"/>
        </w:rPr>
        <w:t xml:space="preserve">com </w:t>
      </w:r>
      <w:r w:rsidR="00F9691A" w:rsidRPr="00B7238F">
        <w:rPr>
          <w:color w:val="000000" w:themeColor="text1"/>
          <w:lang w:val="pt-BR"/>
        </w:rPr>
        <w:t>carboxamidas, pode</w:t>
      </w:r>
      <w:r w:rsidR="00CD13B1" w:rsidRPr="00B7238F">
        <w:rPr>
          <w:color w:val="000000" w:themeColor="text1"/>
          <w:lang w:val="pt-BR"/>
        </w:rPr>
        <w:t>m</w:t>
      </w:r>
      <w:r w:rsidR="00F9691A" w:rsidRPr="00B7238F">
        <w:rPr>
          <w:color w:val="000000" w:themeColor="text1"/>
          <w:lang w:val="pt-BR"/>
        </w:rPr>
        <w:t xml:space="preserve"> selecionar isolados com maior frequência da mutação e estes serem disseminados até uma lavoura semeada no final da época de semeadura e serem expostos a mais</w:t>
      </w:r>
      <w:r w:rsidR="00275AEB" w:rsidRPr="00B7238F">
        <w:rPr>
          <w:color w:val="000000" w:themeColor="text1"/>
          <w:lang w:val="pt-BR"/>
        </w:rPr>
        <w:t xml:space="preserve"> aplicações de moléculas deste grupo, aumentando o período de exposição do patógeno a fungicidas e proporcionando continuidade  processo de seleção. Segundo B</w:t>
      </w:r>
      <w:r w:rsidR="00D747C0" w:rsidRPr="00B7238F">
        <w:rPr>
          <w:color w:val="000000" w:themeColor="text1"/>
          <w:lang w:val="pt-BR"/>
        </w:rPr>
        <w:t>osch</w:t>
      </w:r>
      <w:r w:rsidR="00275AEB" w:rsidRPr="00B7238F">
        <w:rPr>
          <w:color w:val="000000" w:themeColor="text1"/>
          <w:lang w:val="pt-BR"/>
        </w:rPr>
        <w:t xml:space="preserve"> e colaboradores (2014), o período de exposição e taxa de seleção são dois dos principais fatores que determinam o processo de seleção de isolados mutantes com menor sensibilidade a fungicidas</w:t>
      </w:r>
      <w:r w:rsidR="00CD13B1" w:rsidRPr="00B7238F">
        <w:rPr>
          <w:color w:val="000000" w:themeColor="text1"/>
          <w:lang w:val="pt-BR"/>
        </w:rPr>
        <w:t xml:space="preserve">. </w:t>
      </w:r>
      <w:r w:rsidR="008766DA" w:rsidRPr="00B7238F">
        <w:rPr>
          <w:color w:val="000000" w:themeColor="text1"/>
          <w:lang w:val="pt-BR"/>
        </w:rPr>
        <w:t xml:space="preserve">Avaliando a taxa de seleção para a mutação G143A em isolados de </w:t>
      </w:r>
      <w:r w:rsidR="008766DA" w:rsidRPr="00B7238F">
        <w:rPr>
          <w:i/>
          <w:color w:val="000000" w:themeColor="text1"/>
          <w:lang w:val="pt-BR"/>
        </w:rPr>
        <w:t>Blumeria graminis</w:t>
      </w:r>
      <w:r w:rsidR="008766DA" w:rsidRPr="00B7238F">
        <w:rPr>
          <w:color w:val="000000" w:themeColor="text1"/>
          <w:lang w:val="pt-BR"/>
        </w:rPr>
        <w:t xml:space="preserve"> f. sp. </w:t>
      </w:r>
      <w:r w:rsidR="008766DA" w:rsidRPr="00B7238F">
        <w:rPr>
          <w:i/>
          <w:color w:val="000000" w:themeColor="text1"/>
          <w:lang w:val="pt-BR"/>
        </w:rPr>
        <w:t>hordei</w:t>
      </w:r>
      <w:r w:rsidR="008766DA" w:rsidRPr="00B7238F">
        <w:rPr>
          <w:color w:val="000000" w:themeColor="text1"/>
          <w:lang w:val="pt-BR"/>
        </w:rPr>
        <w:t xml:space="preserve"> por diferentes doses e números de aplicações de azoxistrobina, em cin</w:t>
      </w:r>
      <w:r w:rsidR="00F00D2D" w:rsidRPr="00B7238F">
        <w:rPr>
          <w:color w:val="000000" w:themeColor="text1"/>
          <w:lang w:val="pt-BR"/>
        </w:rPr>
        <w:t>co ambientes Hobbelen e colaboradores (2011)</w:t>
      </w:r>
      <w:r w:rsidR="00D747C0" w:rsidRPr="00B7238F">
        <w:rPr>
          <w:color w:val="000000" w:themeColor="text1"/>
          <w:lang w:val="pt-BR"/>
        </w:rPr>
        <w:t>, no Reino Unido,</w:t>
      </w:r>
      <w:r w:rsidR="00F00D2D" w:rsidRPr="00B7238F">
        <w:rPr>
          <w:color w:val="000000" w:themeColor="text1"/>
          <w:lang w:val="pt-BR"/>
        </w:rPr>
        <w:t xml:space="preserve"> observaram em dois destes ambientes taxa de seleção entre 15 e 20 durante o ciclo da cultura para três aplicações de azoxistrobina (250 g.i.a.ha</w:t>
      </w:r>
      <w:r w:rsidR="00F00D2D" w:rsidRPr="00B7238F">
        <w:rPr>
          <w:color w:val="000000" w:themeColor="text1"/>
          <w:vertAlign w:val="superscript"/>
          <w:lang w:val="pt-BR"/>
        </w:rPr>
        <w:t>-1</w:t>
      </w:r>
      <w:r w:rsidR="00F00D2D" w:rsidRPr="00B7238F">
        <w:rPr>
          <w:color w:val="000000" w:themeColor="text1"/>
          <w:lang w:val="pt-BR"/>
        </w:rPr>
        <w:t>).</w:t>
      </w:r>
      <w:r w:rsidR="00E96401" w:rsidRPr="00B7238F">
        <w:rPr>
          <w:color w:val="000000" w:themeColor="text1"/>
          <w:lang w:val="pt-BR"/>
        </w:rPr>
        <w:t xml:space="preserve"> Porém</w:t>
      </w:r>
      <w:r w:rsidR="005C32BC" w:rsidRPr="00B7238F">
        <w:rPr>
          <w:color w:val="000000" w:themeColor="text1"/>
          <w:lang w:val="pt-BR"/>
        </w:rPr>
        <w:t>,</w:t>
      </w:r>
      <w:r w:rsidR="00E96401" w:rsidRPr="00B7238F">
        <w:rPr>
          <w:color w:val="000000" w:themeColor="text1"/>
          <w:lang w:val="pt-BR"/>
        </w:rPr>
        <w:t xml:space="preserve"> quando utilizado três pulverizações de azoxistrobina (83,3 g.i.a.ha</w:t>
      </w:r>
      <w:r w:rsidR="00E96401" w:rsidRPr="00B7238F">
        <w:rPr>
          <w:color w:val="000000" w:themeColor="text1"/>
          <w:vertAlign w:val="superscript"/>
          <w:lang w:val="pt-BR"/>
        </w:rPr>
        <w:t>-1</w:t>
      </w:r>
      <w:r w:rsidR="00E96401" w:rsidRPr="00B7238F">
        <w:rPr>
          <w:color w:val="000000" w:themeColor="text1"/>
          <w:lang w:val="pt-BR"/>
        </w:rPr>
        <w:t xml:space="preserve">), o que representa uma dose mais próxima da </w:t>
      </w:r>
      <w:r w:rsidR="004A5330">
        <w:rPr>
          <w:color w:val="000000" w:themeColor="text1"/>
          <w:lang w:val="pt-BR"/>
        </w:rPr>
        <w:t xml:space="preserve">recomendada </w:t>
      </w:r>
      <w:r w:rsidR="00E96401" w:rsidRPr="00B7238F">
        <w:rPr>
          <w:color w:val="000000" w:themeColor="text1"/>
          <w:lang w:val="pt-BR"/>
        </w:rPr>
        <w:t>a nível de campo</w:t>
      </w:r>
      <w:r w:rsidR="00D747C0" w:rsidRPr="00B7238F">
        <w:rPr>
          <w:color w:val="000000" w:themeColor="text1"/>
          <w:lang w:val="pt-BR"/>
        </w:rPr>
        <w:t>,</w:t>
      </w:r>
      <w:r w:rsidR="00E96401" w:rsidRPr="00B7238F">
        <w:rPr>
          <w:color w:val="000000" w:themeColor="text1"/>
          <w:lang w:val="pt-BR"/>
        </w:rPr>
        <w:t xml:space="preserve"> os maiores valores de taxa de seleção observado</w:t>
      </w:r>
      <w:r w:rsidR="00D747C0" w:rsidRPr="00B7238F">
        <w:rPr>
          <w:color w:val="000000" w:themeColor="text1"/>
          <w:lang w:val="pt-BR"/>
        </w:rPr>
        <w:t>s</w:t>
      </w:r>
      <w:r w:rsidR="00E96401" w:rsidRPr="00B7238F">
        <w:rPr>
          <w:color w:val="000000" w:themeColor="text1"/>
          <w:lang w:val="pt-BR"/>
        </w:rPr>
        <w:t xml:space="preserve"> </w:t>
      </w:r>
      <w:r w:rsidR="003A354E" w:rsidRPr="00B7238F">
        <w:rPr>
          <w:color w:val="000000" w:themeColor="text1"/>
          <w:lang w:val="pt-BR"/>
        </w:rPr>
        <w:t xml:space="preserve">ficaram entre 5 e 10 para um ciclo da cultura. Ao comparar estes valores com os obtidos para três aplicações de azoxistrobina + benzovindiflupir (T7) neste trabalho, fica evidente o maior risco de resistência para benzovindiflupir sobre populações de </w:t>
      </w:r>
      <w:r w:rsidR="003A354E" w:rsidRPr="00B7238F">
        <w:rPr>
          <w:i/>
          <w:color w:val="000000" w:themeColor="text1"/>
          <w:lang w:val="pt-BR"/>
        </w:rPr>
        <w:t>P. pachyrhizi</w:t>
      </w:r>
      <w:r w:rsidR="003A354E" w:rsidRPr="00B7238F">
        <w:rPr>
          <w:color w:val="000000" w:themeColor="text1"/>
          <w:lang w:val="pt-BR"/>
        </w:rPr>
        <w:t xml:space="preserve">. </w:t>
      </w:r>
      <w:r w:rsidR="003A354E" w:rsidRPr="00F83496">
        <w:rPr>
          <w:color w:val="000000" w:themeColor="text1"/>
          <w:lang w:val="pt-BR"/>
        </w:rPr>
        <w:t xml:space="preserve">Isto porque o maior valor de taxa de seleção (18,6) foi observado utilizando mistura de ingredientes ativos com dois mecanismos de ação, utilizados em dose de campo, e durante um período que representa aproximadamente um terço do ciclo da cultura. Tudo isto pode explicar o porque de em apenas três anos após o registro das carboxamidas para o controle da FAS, </w:t>
      </w:r>
      <w:r w:rsidR="00CB2DA5" w:rsidRPr="00F83496">
        <w:rPr>
          <w:color w:val="000000" w:themeColor="text1"/>
          <w:lang w:val="pt-BR"/>
        </w:rPr>
        <w:t>ter ocorrido o primeiro relato da mutação I86F.</w:t>
      </w:r>
    </w:p>
    <w:p w14:paraId="7C4D18AE" w14:textId="67B8F737" w:rsidR="00E87AC5" w:rsidRPr="00B7238F" w:rsidRDefault="00E87AC5" w:rsidP="003F6D94">
      <w:pPr>
        <w:pStyle w:val="Default"/>
        <w:spacing w:line="360" w:lineRule="auto"/>
        <w:jc w:val="both"/>
        <w:rPr>
          <w:color w:val="000000" w:themeColor="text1"/>
          <w:lang w:val="pt-BR"/>
        </w:rPr>
      </w:pPr>
      <w:r w:rsidRPr="00F83496">
        <w:rPr>
          <w:color w:val="000000" w:themeColor="text1"/>
          <w:lang w:val="pt-BR"/>
        </w:rPr>
        <w:tab/>
      </w:r>
      <w:r w:rsidR="00C803E5" w:rsidRPr="00F83496">
        <w:rPr>
          <w:color w:val="000000" w:themeColor="text1"/>
          <w:lang w:val="pt-BR"/>
        </w:rPr>
        <w:t>As moléculas com maior fungitoxicidade a patógenos durante seu desenvolvimento, tendem a apresentarem maior risco de resistência (taxa de seleção), e com isto devem ser utilizadas visando reduzir risco de redução de sensibilidade dos patógenos alvo. Ao ser observado maior</w:t>
      </w:r>
      <w:r w:rsidR="00D747C0" w:rsidRPr="00F83496">
        <w:rPr>
          <w:color w:val="000000" w:themeColor="text1"/>
          <w:lang w:val="pt-BR"/>
        </w:rPr>
        <w:t>es</w:t>
      </w:r>
      <w:r w:rsidR="00C803E5" w:rsidRPr="00F83496">
        <w:rPr>
          <w:color w:val="000000" w:themeColor="text1"/>
          <w:lang w:val="pt-BR"/>
        </w:rPr>
        <w:t xml:space="preserve"> valores de frequência de mutação para um determinado fungicida, há necessidade de recomendação de um posicionamento mais técnico</w:t>
      </w:r>
      <w:r w:rsidR="00DB3E24" w:rsidRPr="00F83496">
        <w:rPr>
          <w:color w:val="000000" w:themeColor="text1"/>
          <w:lang w:val="pt-BR"/>
        </w:rPr>
        <w:t>,</w:t>
      </w:r>
      <w:r w:rsidR="00C803E5" w:rsidRPr="00F83496">
        <w:rPr>
          <w:color w:val="000000" w:themeColor="text1"/>
          <w:lang w:val="pt-BR"/>
        </w:rPr>
        <w:t xml:space="preserve"> para preservar a vida útil da molécula</w:t>
      </w:r>
      <w:r w:rsidR="00DB3E24" w:rsidRPr="00F83496">
        <w:rPr>
          <w:color w:val="000000" w:themeColor="text1"/>
          <w:lang w:val="pt-BR"/>
        </w:rPr>
        <w:t>.</w:t>
      </w:r>
      <w:r w:rsidR="00C803E5" w:rsidRPr="00F83496">
        <w:rPr>
          <w:color w:val="000000" w:themeColor="text1"/>
          <w:lang w:val="pt-BR"/>
        </w:rPr>
        <w:t xml:space="preserve"> </w:t>
      </w:r>
      <w:r w:rsidR="00DB3E24" w:rsidRPr="00F83496">
        <w:rPr>
          <w:color w:val="000000" w:themeColor="text1"/>
          <w:lang w:val="pt-BR"/>
        </w:rPr>
        <w:t>C</w:t>
      </w:r>
      <w:r w:rsidR="00C803E5" w:rsidRPr="00F83496">
        <w:rPr>
          <w:color w:val="000000" w:themeColor="text1"/>
          <w:lang w:val="pt-BR"/>
        </w:rPr>
        <w:t>ontudo</w:t>
      </w:r>
      <w:r w:rsidR="00DB3E24" w:rsidRPr="00F83496">
        <w:rPr>
          <w:color w:val="000000" w:themeColor="text1"/>
          <w:lang w:val="pt-BR"/>
        </w:rPr>
        <w:t>,</w:t>
      </w:r>
      <w:r w:rsidR="00C803E5" w:rsidRPr="00F83496">
        <w:rPr>
          <w:color w:val="000000" w:themeColor="text1"/>
          <w:lang w:val="pt-BR"/>
        </w:rPr>
        <w:t xml:space="preserve"> não </w:t>
      </w:r>
      <w:r w:rsidR="00DB3E24" w:rsidRPr="00F83496">
        <w:rPr>
          <w:color w:val="000000" w:themeColor="text1"/>
          <w:lang w:val="pt-BR"/>
        </w:rPr>
        <w:t>se recomenda</w:t>
      </w:r>
      <w:r w:rsidR="00C803E5" w:rsidRPr="00F83496">
        <w:rPr>
          <w:color w:val="000000" w:themeColor="text1"/>
          <w:lang w:val="pt-BR"/>
        </w:rPr>
        <w:t xml:space="preserve"> descarta</w:t>
      </w:r>
      <w:r w:rsidR="00DB3E24" w:rsidRPr="00F83496">
        <w:rPr>
          <w:color w:val="000000" w:themeColor="text1"/>
          <w:lang w:val="pt-BR"/>
        </w:rPr>
        <w:t>r a mesma</w:t>
      </w:r>
      <w:r w:rsidR="00C803E5" w:rsidRPr="00F83496">
        <w:rPr>
          <w:color w:val="000000" w:themeColor="text1"/>
          <w:lang w:val="pt-BR"/>
        </w:rPr>
        <w:t xml:space="preserve"> dos programas de aplicações</w:t>
      </w:r>
      <w:r w:rsidR="00D747C0" w:rsidRPr="00F83496">
        <w:rPr>
          <w:color w:val="000000" w:themeColor="text1"/>
          <w:lang w:val="pt-BR"/>
        </w:rPr>
        <w:t>,</w:t>
      </w:r>
      <w:r w:rsidR="00C803E5" w:rsidRPr="00F83496">
        <w:rPr>
          <w:color w:val="000000" w:themeColor="text1"/>
          <w:lang w:val="pt-BR"/>
        </w:rPr>
        <w:t xml:space="preserve"> pois quanto me</w:t>
      </w:r>
      <w:r w:rsidR="00DB3E24" w:rsidRPr="00F83496">
        <w:rPr>
          <w:color w:val="000000" w:themeColor="text1"/>
          <w:lang w:val="pt-BR"/>
        </w:rPr>
        <w:t>nor for</w:t>
      </w:r>
      <w:r w:rsidR="00C803E5" w:rsidRPr="00F83496">
        <w:rPr>
          <w:color w:val="000000" w:themeColor="text1"/>
          <w:lang w:val="pt-BR"/>
        </w:rPr>
        <w:t xml:space="preserve"> </w:t>
      </w:r>
      <w:r w:rsidR="00DB3E24" w:rsidRPr="00F83496">
        <w:rPr>
          <w:color w:val="000000" w:themeColor="text1"/>
          <w:lang w:val="pt-BR"/>
        </w:rPr>
        <w:t>a diversidade de mecanismos de ação e/ou ingredientes ativos</w:t>
      </w:r>
      <w:r w:rsidR="00C803E5" w:rsidRPr="00F83496">
        <w:rPr>
          <w:color w:val="000000" w:themeColor="text1"/>
          <w:lang w:val="pt-BR"/>
        </w:rPr>
        <w:t xml:space="preserve"> </w:t>
      </w:r>
      <w:r w:rsidR="00DB3E24" w:rsidRPr="00F83496">
        <w:rPr>
          <w:color w:val="000000" w:themeColor="text1"/>
          <w:lang w:val="pt-BR"/>
        </w:rPr>
        <w:t>que comp</w:t>
      </w:r>
      <w:r w:rsidR="00D747C0" w:rsidRPr="00F83496">
        <w:rPr>
          <w:color w:val="000000" w:themeColor="text1"/>
          <w:lang w:val="pt-BR"/>
        </w:rPr>
        <w:t>õ</w:t>
      </w:r>
      <w:r w:rsidR="00DB3E24" w:rsidRPr="00F83496">
        <w:rPr>
          <w:color w:val="000000" w:themeColor="text1"/>
          <w:lang w:val="pt-BR"/>
        </w:rPr>
        <w:t>em a recomendação de fungicidas, poderá ocorrer mais rapidamente a redução de eficiência de controle</w:t>
      </w:r>
      <w:r w:rsidR="005C32BC" w:rsidRPr="00F83496">
        <w:rPr>
          <w:color w:val="000000" w:themeColor="text1"/>
          <w:lang w:val="pt-BR"/>
        </w:rPr>
        <w:t xml:space="preserve"> químico</w:t>
      </w:r>
      <w:r w:rsidR="00DB3E24" w:rsidRPr="00F83496">
        <w:rPr>
          <w:color w:val="000000" w:themeColor="text1"/>
          <w:lang w:val="pt-BR"/>
        </w:rPr>
        <w:t xml:space="preserve"> em condições de campo.</w:t>
      </w:r>
    </w:p>
    <w:p w14:paraId="7EB4F18A" w14:textId="6228C0C5" w:rsidR="000126F2" w:rsidRDefault="00611569" w:rsidP="003F6D94">
      <w:pPr>
        <w:pStyle w:val="Default"/>
        <w:spacing w:line="360" w:lineRule="auto"/>
        <w:ind w:firstLine="708"/>
        <w:jc w:val="both"/>
        <w:rPr>
          <w:color w:val="000000" w:themeColor="text1"/>
          <w:lang w:val="pt-BR"/>
        </w:rPr>
      </w:pPr>
      <w:r w:rsidRPr="00B7238F">
        <w:rPr>
          <w:color w:val="000000" w:themeColor="text1"/>
          <w:lang w:val="pt-BR"/>
        </w:rPr>
        <w:t xml:space="preserve">A observação de menores valores de frequência da mutação I86F em populações de </w:t>
      </w:r>
      <w:r w:rsidRPr="00B7238F">
        <w:rPr>
          <w:i/>
          <w:color w:val="000000" w:themeColor="text1"/>
          <w:lang w:val="pt-BR"/>
        </w:rPr>
        <w:t xml:space="preserve">P. pachyrhizi </w:t>
      </w:r>
      <w:r w:rsidRPr="00B7238F">
        <w:rPr>
          <w:color w:val="000000" w:themeColor="text1"/>
          <w:lang w:val="pt-BR"/>
        </w:rPr>
        <w:t xml:space="preserve">para aplicação de piraclostrobina + fluxapyroxada em relação a azoxistrobina + benzovindiflupir, pode ser explicada pelos dados detectados por Simões et al. (2017), os quais encontraram maiores valores de frequência da mutação para folíolos destacados inoculados com o patógeno e tratados com benzovindiflupir em relação a fluxapyroxada. </w:t>
      </w:r>
      <w:r w:rsidR="00537689" w:rsidRPr="00B7238F">
        <w:rPr>
          <w:color w:val="000000" w:themeColor="text1"/>
          <w:lang w:val="pt-BR"/>
        </w:rPr>
        <w:t>A mistura de azoxistrobina ou piraclostrobina a fungicidas do grupo químico das carboxamidas pode não estar proporcionando</w:t>
      </w:r>
      <w:r w:rsidR="0062454C" w:rsidRPr="00B7238F">
        <w:rPr>
          <w:color w:val="000000" w:themeColor="text1"/>
          <w:lang w:val="pt-BR"/>
        </w:rPr>
        <w:t xml:space="preserve"> redução da frequência da mutação I86F</w:t>
      </w:r>
      <w:r w:rsidR="00537689" w:rsidRPr="00B7238F">
        <w:rPr>
          <w:color w:val="000000" w:themeColor="text1"/>
          <w:lang w:val="pt-BR"/>
        </w:rPr>
        <w:t xml:space="preserve">, em virtude de estes compostos </w:t>
      </w:r>
      <w:r w:rsidR="00562D60" w:rsidRPr="00B7238F">
        <w:rPr>
          <w:color w:val="000000" w:themeColor="text1"/>
          <w:lang w:val="pt-BR"/>
        </w:rPr>
        <w:t>apresentarem</w:t>
      </w:r>
      <w:r w:rsidR="0062454C" w:rsidRPr="00B7238F">
        <w:rPr>
          <w:color w:val="000000" w:themeColor="text1"/>
          <w:lang w:val="pt-BR"/>
        </w:rPr>
        <w:t xml:space="preserve"> controle da FAS da soja inferior a 20 % quando pulverizados isolados (REIS, CARREGAL &amp; ZANATTA, 2019).</w:t>
      </w:r>
      <w:r w:rsidR="00562D60" w:rsidRPr="00B7238F">
        <w:rPr>
          <w:color w:val="000000" w:themeColor="text1"/>
          <w:lang w:val="pt-BR"/>
        </w:rPr>
        <w:t xml:space="preserve"> </w:t>
      </w:r>
      <w:r w:rsidR="0062454C" w:rsidRPr="00B7238F">
        <w:rPr>
          <w:color w:val="000000" w:themeColor="text1"/>
          <w:lang w:val="pt-BR"/>
        </w:rPr>
        <w:t xml:space="preserve">As estrobilurinas azoxistrobina e piraclostrobina apresentam menor fungitoxicidade em isolados de </w:t>
      </w:r>
      <w:r w:rsidR="0062454C" w:rsidRPr="00B7238F">
        <w:rPr>
          <w:i/>
          <w:color w:val="000000" w:themeColor="text1"/>
          <w:lang w:val="pt-BR"/>
        </w:rPr>
        <w:t xml:space="preserve">P. pachyrhizi </w:t>
      </w:r>
      <w:r w:rsidR="0062454C" w:rsidRPr="00B7238F">
        <w:rPr>
          <w:color w:val="000000" w:themeColor="text1"/>
          <w:lang w:val="pt-BR"/>
        </w:rPr>
        <w:t>com presença das mutações F129L e G137R, as quais são as principais mutações encontradas no patógeno no Brasil causando alterações no citocromo b (SCHIMITZ et. al., 2013</w:t>
      </w:r>
      <w:r w:rsidR="00B5586F" w:rsidRPr="00B7238F">
        <w:rPr>
          <w:color w:val="000000" w:themeColor="text1"/>
          <w:lang w:val="pt-BR"/>
        </w:rPr>
        <w:t>; KLOSOWSKI</w:t>
      </w:r>
      <w:r w:rsidR="009C4BA5" w:rsidRPr="00B7238F">
        <w:rPr>
          <w:color w:val="000000" w:themeColor="text1"/>
          <w:lang w:val="pt-BR"/>
        </w:rPr>
        <w:t xml:space="preserve"> et al., 2016b</w:t>
      </w:r>
      <w:r w:rsidR="0062454C" w:rsidRPr="00B7238F">
        <w:rPr>
          <w:color w:val="000000" w:themeColor="text1"/>
          <w:lang w:val="pt-BR"/>
        </w:rPr>
        <w:t>)</w:t>
      </w:r>
      <w:r w:rsidR="00562D60" w:rsidRPr="00B7238F">
        <w:rPr>
          <w:color w:val="000000" w:themeColor="text1"/>
          <w:lang w:val="pt-BR"/>
        </w:rPr>
        <w:t>.</w:t>
      </w:r>
    </w:p>
    <w:p w14:paraId="5078289F" w14:textId="4422E521" w:rsidR="00F83496" w:rsidRPr="00B7238F" w:rsidRDefault="00F83496" w:rsidP="003F6D94">
      <w:pPr>
        <w:pStyle w:val="Default"/>
        <w:spacing w:line="360" w:lineRule="auto"/>
        <w:ind w:firstLine="708"/>
        <w:jc w:val="both"/>
        <w:rPr>
          <w:color w:val="000000" w:themeColor="text1"/>
          <w:lang w:val="pt-BR"/>
        </w:rPr>
      </w:pPr>
      <w:r>
        <w:rPr>
          <w:color w:val="000000" w:themeColor="text1"/>
          <w:lang w:val="pt-BR"/>
        </w:rPr>
        <w:t>O tempo para registro de um novo fungicida no Brasil é de aproximadamente dez anos, o que pode ocasionar a redução da sensibilidade de componentes definidos para mistura</w:t>
      </w:r>
      <w:r w:rsidR="001533EC">
        <w:rPr>
          <w:color w:val="000000" w:themeColor="text1"/>
          <w:lang w:val="pt-BR"/>
        </w:rPr>
        <w:t xml:space="preserve"> entre o desenvolvimento e o registro de um fungicida. E consequentemente resultar que no momento do registro alguns ingredientes ativos possam estar formulados em mistura com fungicidas ineficientes no controle do patógeno alvo, e proporcionar maior exposição de novas moléculas.</w:t>
      </w:r>
    </w:p>
    <w:p w14:paraId="7EEC61D1" w14:textId="288591FF" w:rsidR="000126F2" w:rsidRPr="00B7238F" w:rsidRDefault="005D2DD6" w:rsidP="003F6D94">
      <w:pPr>
        <w:pStyle w:val="Default"/>
        <w:spacing w:line="360" w:lineRule="auto"/>
        <w:ind w:firstLine="708"/>
        <w:jc w:val="both"/>
        <w:rPr>
          <w:color w:val="000000" w:themeColor="text1"/>
          <w:lang w:val="pt-BR"/>
        </w:rPr>
      </w:pPr>
      <w:r w:rsidRPr="00B7238F">
        <w:rPr>
          <w:color w:val="000000" w:themeColor="text1"/>
          <w:lang w:val="pt-BR"/>
        </w:rPr>
        <w:t>O aumento do número de aplicações de fungicidas resulta no aumento da taxa de seleção e frequência de mutações relacionadas a redução de sensibilidade de fungos a fungicidas (HOBBEL</w:t>
      </w:r>
      <w:r w:rsidR="006D0239" w:rsidRPr="00B7238F">
        <w:rPr>
          <w:color w:val="000000" w:themeColor="text1"/>
          <w:lang w:val="pt-BR"/>
        </w:rPr>
        <w:t xml:space="preserve">EN et al., 2011; </w:t>
      </w:r>
      <w:r w:rsidRPr="00B7238F">
        <w:rPr>
          <w:color w:val="000000" w:themeColor="text1"/>
          <w:lang w:val="pt-BR"/>
        </w:rPr>
        <w:t>BOSCH et al., 2014)</w:t>
      </w:r>
      <w:r w:rsidR="006D0239" w:rsidRPr="00B7238F">
        <w:rPr>
          <w:color w:val="000000" w:themeColor="text1"/>
          <w:lang w:val="pt-BR"/>
        </w:rPr>
        <w:t>, contudo neste presente estudo duas aplicações de azoxistrobina + benzovindiflupir ou piraclostrobina + fluxapyroxada não diferiram quanto a frequência da mutação I86F em comparação a uma e três aplicações dos mesmos fungicidas.</w:t>
      </w:r>
      <w:r w:rsidR="00610AC2">
        <w:rPr>
          <w:color w:val="000000" w:themeColor="text1"/>
          <w:lang w:val="pt-BR"/>
        </w:rPr>
        <w:t xml:space="preserve"> Porém uma aplicação de azoxistrobina + benzovindiflupir apresentou menor valor de frequência de mutação em relação a três aplicações deste fungicida, sendo a mesma tendência observada para pulverizações de piraclostrobina + fluxapyroxada. </w:t>
      </w:r>
    </w:p>
    <w:p w14:paraId="559D2FF4" w14:textId="47E47E8F" w:rsidR="00076AB0" w:rsidRDefault="00076AB0" w:rsidP="003F6D94">
      <w:pPr>
        <w:pStyle w:val="Default"/>
        <w:spacing w:line="360" w:lineRule="auto"/>
        <w:rPr>
          <w:color w:val="000000" w:themeColor="text1"/>
          <w:lang w:val="pt-BR"/>
        </w:rPr>
      </w:pPr>
    </w:p>
    <w:p w14:paraId="23D81369" w14:textId="77777777" w:rsidR="003F6D94" w:rsidRPr="00B7238F" w:rsidRDefault="003F6D94" w:rsidP="003F6D94">
      <w:pPr>
        <w:pStyle w:val="Default"/>
        <w:spacing w:line="360" w:lineRule="auto"/>
        <w:rPr>
          <w:color w:val="000000" w:themeColor="text1"/>
          <w:lang w:val="pt-BR"/>
        </w:rPr>
      </w:pPr>
    </w:p>
    <w:p w14:paraId="2647D0BB" w14:textId="2C1F4DAF" w:rsidR="00076AB0" w:rsidRPr="00B7238F" w:rsidRDefault="00076AB0" w:rsidP="003F6D94">
      <w:pPr>
        <w:pStyle w:val="Default"/>
        <w:spacing w:line="360" w:lineRule="auto"/>
        <w:rPr>
          <w:color w:val="000000" w:themeColor="text1"/>
          <w:lang w:val="pt-BR"/>
        </w:rPr>
      </w:pPr>
    </w:p>
    <w:p w14:paraId="1D9A2734" w14:textId="5F4C7D85" w:rsidR="00562D60" w:rsidRPr="00B7238F" w:rsidRDefault="00D96246" w:rsidP="003F6D94">
      <w:pPr>
        <w:pStyle w:val="Ttulo3"/>
        <w:spacing w:before="0" w:after="0" w:line="360" w:lineRule="auto"/>
        <w:rPr>
          <w:rFonts w:eastAsiaTheme="minorEastAsia"/>
        </w:rPr>
      </w:pPr>
      <w:bookmarkStart w:id="307" w:name="_Toc22568292"/>
      <w:r>
        <w:rPr>
          <w:rFonts w:eastAsiaTheme="minorEastAsia"/>
        </w:rPr>
        <w:t xml:space="preserve">7.5.2 </w:t>
      </w:r>
      <w:r w:rsidR="00562D60" w:rsidRPr="00B7238F">
        <w:rPr>
          <w:rFonts w:eastAsiaTheme="minorEastAsia"/>
        </w:rPr>
        <w:t xml:space="preserve">Ocorrência e frequência da mutação I86F em populações de </w:t>
      </w:r>
      <w:r w:rsidR="00562D60" w:rsidRPr="00B7238F">
        <w:rPr>
          <w:rFonts w:eastAsiaTheme="minorEastAsia"/>
          <w:i/>
          <w:iCs/>
        </w:rPr>
        <w:t xml:space="preserve">Phakopsora pachyrhizi </w:t>
      </w:r>
      <w:r w:rsidR="00562D60" w:rsidRPr="00B7238F">
        <w:rPr>
          <w:rFonts w:eastAsiaTheme="minorEastAsia"/>
        </w:rPr>
        <w:t>em</w:t>
      </w:r>
      <w:r w:rsidR="00562D60" w:rsidRPr="00B7238F">
        <w:rPr>
          <w:rFonts w:eastAsiaTheme="minorEastAsia"/>
          <w:i/>
          <w:iCs/>
        </w:rPr>
        <w:t xml:space="preserve"> </w:t>
      </w:r>
      <w:r w:rsidR="00562D60" w:rsidRPr="00B7238F">
        <w:rPr>
          <w:rFonts w:eastAsiaTheme="minorEastAsia"/>
        </w:rPr>
        <w:t>cultivares de soja com presença e ausência d</w:t>
      </w:r>
      <w:r w:rsidR="000309E7">
        <w:rPr>
          <w:rFonts w:eastAsiaTheme="minorEastAsia"/>
        </w:rPr>
        <w:t>a tecnologia Inox</w:t>
      </w:r>
      <w:bookmarkEnd w:id="307"/>
    </w:p>
    <w:p w14:paraId="4DAC8E35" w14:textId="6FD87087" w:rsidR="00076AB0" w:rsidRPr="00B7238F" w:rsidRDefault="00076AB0" w:rsidP="003F6D94">
      <w:pPr>
        <w:pStyle w:val="Default"/>
        <w:spacing w:line="360" w:lineRule="auto"/>
        <w:rPr>
          <w:color w:val="000000" w:themeColor="text1"/>
          <w:lang w:val="pt-BR"/>
        </w:rPr>
      </w:pPr>
    </w:p>
    <w:p w14:paraId="5D61CCBF" w14:textId="425DF288" w:rsidR="00076AB0" w:rsidRPr="00B7238F" w:rsidRDefault="00023F7E" w:rsidP="003F6D94">
      <w:pPr>
        <w:pStyle w:val="Default"/>
        <w:spacing w:line="360" w:lineRule="auto"/>
        <w:ind w:firstLine="708"/>
        <w:jc w:val="both"/>
        <w:rPr>
          <w:color w:val="000000" w:themeColor="text1"/>
          <w:lang w:val="pt-BR"/>
        </w:rPr>
      </w:pPr>
      <w:r w:rsidRPr="00B7238F">
        <w:rPr>
          <w:color w:val="000000" w:themeColor="text1"/>
          <w:lang w:val="pt-BR"/>
        </w:rPr>
        <w:t xml:space="preserve">Os valores </w:t>
      </w:r>
      <w:r w:rsidR="00484E75" w:rsidRPr="00B7238F">
        <w:rPr>
          <w:color w:val="000000" w:themeColor="text1"/>
          <w:lang w:val="pt-BR"/>
        </w:rPr>
        <w:t xml:space="preserve">observados </w:t>
      </w:r>
      <w:r w:rsidRPr="00B7238F">
        <w:rPr>
          <w:color w:val="000000" w:themeColor="text1"/>
          <w:lang w:val="pt-BR"/>
        </w:rPr>
        <w:t>de frequência da mutação I86</w:t>
      </w:r>
      <w:r w:rsidR="00484E75" w:rsidRPr="00B7238F">
        <w:rPr>
          <w:color w:val="000000" w:themeColor="text1"/>
          <w:lang w:val="pt-BR"/>
        </w:rPr>
        <w:t xml:space="preserve">F em populações de </w:t>
      </w:r>
      <w:r w:rsidR="00484E75" w:rsidRPr="00B7238F">
        <w:rPr>
          <w:i/>
          <w:color w:val="000000" w:themeColor="text1"/>
          <w:lang w:val="pt-BR"/>
        </w:rPr>
        <w:t>P. pachyrhizi</w:t>
      </w:r>
      <w:r w:rsidR="00484E75" w:rsidRPr="00B7238F">
        <w:rPr>
          <w:color w:val="000000" w:themeColor="text1"/>
          <w:lang w:val="pt-BR"/>
        </w:rPr>
        <w:t xml:space="preserve"> foram menores na cultivar com presença d</w:t>
      </w:r>
      <w:r w:rsidR="000309E7">
        <w:rPr>
          <w:color w:val="000000" w:themeColor="text1"/>
          <w:lang w:val="pt-BR"/>
        </w:rPr>
        <w:t>a tecnologia Inox</w:t>
      </w:r>
      <w:r w:rsidR="00484E75" w:rsidRPr="00B7238F">
        <w:rPr>
          <w:color w:val="000000" w:themeColor="text1"/>
          <w:lang w:val="pt-BR"/>
        </w:rPr>
        <w:t>, sendo esta a primeira informação que demonstra a nível molecular a importância da utilização de genes de resistência a patógenos como uma ferramenta para manejar a redução de sensibilidade d</w:t>
      </w:r>
      <w:r w:rsidR="00DE2AEF">
        <w:rPr>
          <w:color w:val="000000" w:themeColor="text1"/>
          <w:lang w:val="pt-BR"/>
        </w:rPr>
        <w:t>o</w:t>
      </w:r>
      <w:r w:rsidR="00484E75" w:rsidRPr="00B7238F">
        <w:rPr>
          <w:color w:val="000000" w:themeColor="text1"/>
          <w:lang w:val="pt-BR"/>
        </w:rPr>
        <w:t xml:space="preserve"> fungo a fungicidas.</w:t>
      </w:r>
    </w:p>
    <w:p w14:paraId="3E500FC3" w14:textId="273E9A1D" w:rsidR="00076AB0" w:rsidRDefault="00484E75" w:rsidP="003F6D94">
      <w:pPr>
        <w:pStyle w:val="Default"/>
        <w:spacing w:line="360" w:lineRule="auto"/>
        <w:ind w:firstLine="708"/>
        <w:jc w:val="both"/>
        <w:rPr>
          <w:color w:val="000000" w:themeColor="text1"/>
          <w:lang w:val="pt-BR"/>
        </w:rPr>
      </w:pPr>
      <w:r w:rsidRPr="00B7238F">
        <w:rPr>
          <w:color w:val="000000" w:themeColor="text1"/>
          <w:lang w:val="pt-BR"/>
        </w:rPr>
        <w:t>As diferenças de frequência da mutação entre os fungicidas utilizados e número de aplicações detectadas neste experimento, seguem a mesma lógica do estudo</w:t>
      </w:r>
      <w:r w:rsidR="007402A7">
        <w:rPr>
          <w:color w:val="000000" w:themeColor="text1"/>
          <w:lang w:val="pt-BR"/>
        </w:rPr>
        <w:t xml:space="preserve"> </w:t>
      </w:r>
      <w:r w:rsidRPr="00B7238F">
        <w:rPr>
          <w:color w:val="000000" w:themeColor="text1"/>
          <w:lang w:val="pt-BR"/>
        </w:rPr>
        <w:t>anterior portanto já foram discutidas no item acima.</w:t>
      </w:r>
    </w:p>
    <w:p w14:paraId="1E96DEB6" w14:textId="5B5DCA7F" w:rsidR="00076AB0" w:rsidRDefault="00610AC2" w:rsidP="003F6D94">
      <w:pPr>
        <w:pStyle w:val="Default"/>
        <w:spacing w:line="360" w:lineRule="auto"/>
        <w:ind w:firstLine="708"/>
        <w:jc w:val="both"/>
        <w:rPr>
          <w:color w:val="000000" w:themeColor="text1"/>
          <w:lang w:val="pt-BR"/>
        </w:rPr>
      </w:pPr>
      <w:r>
        <w:rPr>
          <w:color w:val="000000" w:themeColor="text1"/>
          <w:lang w:val="pt-BR"/>
        </w:rPr>
        <w:t xml:space="preserve">Na próxima década inúmeros eventos biotecnológicos relacionados a genes de resitência a </w:t>
      </w:r>
      <w:r w:rsidRPr="00C3487C">
        <w:rPr>
          <w:i/>
          <w:color w:val="000000" w:themeColor="text1"/>
          <w:lang w:val="pt-BR"/>
        </w:rPr>
        <w:t>P. pachyrhizi</w:t>
      </w:r>
      <w:r>
        <w:rPr>
          <w:color w:val="000000" w:themeColor="text1"/>
          <w:lang w:val="pt-BR"/>
        </w:rPr>
        <w:t xml:space="preserve"> </w:t>
      </w:r>
      <w:r w:rsidR="00C3487C">
        <w:rPr>
          <w:color w:val="000000" w:themeColor="text1"/>
          <w:lang w:val="pt-BR"/>
        </w:rPr>
        <w:t>serão inseridos em genótipos de soja e receberão registro para comercialização no Brasil, podendo esta tese ser usada como base para futuros estudos da utilização destas novas tecnologias no manejo de resistência d</w:t>
      </w:r>
      <w:r w:rsidR="00DE2AEF">
        <w:rPr>
          <w:color w:val="000000" w:themeColor="text1"/>
          <w:lang w:val="pt-BR"/>
        </w:rPr>
        <w:t>a FAS</w:t>
      </w:r>
      <w:r w:rsidR="00C3487C">
        <w:rPr>
          <w:color w:val="000000" w:themeColor="text1"/>
          <w:lang w:val="pt-BR"/>
        </w:rPr>
        <w:t xml:space="preserve"> a fungicidas. Caso estes dados sejam verificados também para outros eventos biotecnológicos, e a utilização dos mesmos aumentem em escala poderemos reduzir a taxa de seleção aos principais fungicidas recomendados sem alterar o número de pulverizações.</w:t>
      </w:r>
    </w:p>
    <w:p w14:paraId="384B12C3" w14:textId="225AB64C" w:rsidR="00C3487C" w:rsidRDefault="00C3487C" w:rsidP="003F6D94">
      <w:pPr>
        <w:pStyle w:val="Default"/>
        <w:spacing w:line="360" w:lineRule="auto"/>
        <w:ind w:firstLine="708"/>
        <w:jc w:val="both"/>
        <w:rPr>
          <w:color w:val="000000" w:themeColor="text1"/>
          <w:lang w:val="pt-BR"/>
        </w:rPr>
      </w:pPr>
      <w:r>
        <w:rPr>
          <w:color w:val="000000" w:themeColor="text1"/>
          <w:lang w:val="pt-BR"/>
        </w:rPr>
        <w:t>Quando compara</w:t>
      </w:r>
      <w:r w:rsidR="00DE2AEF">
        <w:rPr>
          <w:color w:val="000000" w:themeColor="text1"/>
          <w:lang w:val="pt-BR"/>
        </w:rPr>
        <w:t>do</w:t>
      </w:r>
      <w:r>
        <w:rPr>
          <w:color w:val="000000" w:themeColor="text1"/>
          <w:lang w:val="pt-BR"/>
        </w:rPr>
        <w:t xml:space="preserve"> a utilização de genes de resistência a mistura de fungicidas, a utilização de resistência genética </w:t>
      </w:r>
      <w:r w:rsidR="00DE2AEF">
        <w:rPr>
          <w:color w:val="000000" w:themeColor="text1"/>
          <w:lang w:val="pt-BR"/>
        </w:rPr>
        <w:t>apresenta a vantagem de estar expressa em todas as folhas durante o ciclo da soja. Enquanto que a mistura de fungicidas é limita pela dificuldade de deposição de fungicida em toda a planta, bem como pela persistência limitada dos fungicidas em camadas de folhas onde não é possível reaplicar o fungicida.</w:t>
      </w:r>
    </w:p>
    <w:p w14:paraId="5B183925" w14:textId="77777777" w:rsidR="00C3487C" w:rsidRPr="00B7238F" w:rsidRDefault="00C3487C" w:rsidP="003F6D94">
      <w:pPr>
        <w:pStyle w:val="Default"/>
        <w:spacing w:line="360" w:lineRule="auto"/>
        <w:ind w:firstLine="708"/>
        <w:jc w:val="both"/>
        <w:rPr>
          <w:color w:val="000000" w:themeColor="text1"/>
          <w:lang w:val="pt-BR"/>
        </w:rPr>
      </w:pPr>
    </w:p>
    <w:p w14:paraId="3D81161D" w14:textId="71CCCB50" w:rsidR="00484E75" w:rsidRPr="00B7238F" w:rsidRDefault="00D96246" w:rsidP="003F6D94">
      <w:pPr>
        <w:pStyle w:val="Ttulo3"/>
        <w:spacing w:before="0" w:after="0" w:line="360" w:lineRule="auto"/>
        <w:rPr>
          <w:rFonts w:eastAsiaTheme="minorEastAsia"/>
        </w:rPr>
      </w:pPr>
      <w:bookmarkStart w:id="308" w:name="_Toc22568293"/>
      <w:r>
        <w:rPr>
          <w:rFonts w:eastAsiaTheme="minorEastAsia"/>
        </w:rPr>
        <w:t>7.</w:t>
      </w:r>
      <w:r w:rsidR="00E378E5">
        <w:rPr>
          <w:rFonts w:eastAsiaTheme="minorEastAsia"/>
        </w:rPr>
        <w:t xml:space="preserve">5.3 </w:t>
      </w:r>
      <w:r w:rsidR="00484E75" w:rsidRPr="00B7238F">
        <w:rPr>
          <w:rFonts w:eastAsiaTheme="minorEastAsia"/>
        </w:rPr>
        <w:t xml:space="preserve">Efeito da adição de fungicidas a carboxamidas na ocorrência e frequência da mutação I86F em populações de </w:t>
      </w:r>
      <w:r w:rsidR="00484E75" w:rsidRPr="00292357">
        <w:rPr>
          <w:rFonts w:eastAsiaTheme="minorEastAsia"/>
          <w:i/>
        </w:rPr>
        <w:t>Phakopsora pachyrhizi</w:t>
      </w:r>
      <w:bookmarkEnd w:id="308"/>
      <w:r w:rsidR="00484E75" w:rsidRPr="00292357">
        <w:rPr>
          <w:rFonts w:eastAsiaTheme="minorEastAsia"/>
          <w:i/>
        </w:rPr>
        <w:t xml:space="preserve"> </w:t>
      </w:r>
    </w:p>
    <w:p w14:paraId="2C2609B8" w14:textId="77777777" w:rsidR="00906741" w:rsidRPr="00B7238F" w:rsidRDefault="00906741" w:rsidP="003F6D94">
      <w:pPr>
        <w:pStyle w:val="Default"/>
        <w:spacing w:line="360" w:lineRule="auto"/>
        <w:jc w:val="both"/>
        <w:rPr>
          <w:color w:val="000000" w:themeColor="text1"/>
          <w:highlight w:val="yellow"/>
          <w:lang w:val="pt-BR"/>
        </w:rPr>
      </w:pPr>
    </w:p>
    <w:p w14:paraId="7ACD25FF" w14:textId="23464929" w:rsidR="008957A9" w:rsidRPr="00B7238F" w:rsidRDefault="002C52FA" w:rsidP="003F6D94">
      <w:pPr>
        <w:pStyle w:val="Default"/>
        <w:spacing w:line="360" w:lineRule="auto"/>
        <w:ind w:firstLine="708"/>
        <w:jc w:val="both"/>
        <w:rPr>
          <w:color w:val="000000" w:themeColor="text1"/>
          <w:lang w:val="pt-BR"/>
        </w:rPr>
      </w:pPr>
      <w:r w:rsidRPr="00B7238F">
        <w:rPr>
          <w:color w:val="000000" w:themeColor="text1"/>
          <w:lang w:val="pt-BR"/>
        </w:rPr>
        <w:t xml:space="preserve">Dados experimentais sobre o efeito de rotação e misturas de ingredientes ativo no manejo de resistência são limitados (BRENT and HOLLOMON, 2007). </w:t>
      </w:r>
      <w:r w:rsidR="006C1946" w:rsidRPr="00B7238F">
        <w:rPr>
          <w:color w:val="000000" w:themeColor="text1"/>
          <w:lang w:val="pt-BR"/>
        </w:rPr>
        <w:t>Em ampla revisão bibliográfica sobre resistência de fungos a fungicidas B</w:t>
      </w:r>
      <w:r w:rsidR="008957A9" w:rsidRPr="00B7238F">
        <w:rPr>
          <w:color w:val="000000" w:themeColor="text1"/>
          <w:lang w:val="pt-BR"/>
        </w:rPr>
        <w:t>osch</w:t>
      </w:r>
      <w:r w:rsidR="006C1946" w:rsidRPr="00B7238F">
        <w:rPr>
          <w:color w:val="000000" w:themeColor="text1"/>
          <w:lang w:val="pt-BR"/>
        </w:rPr>
        <w:t xml:space="preserve"> et al. (2014), concluem que mistura</w:t>
      </w:r>
      <w:r w:rsidR="009D2CD3" w:rsidRPr="00B7238F">
        <w:rPr>
          <w:color w:val="000000" w:themeColor="text1"/>
          <w:lang w:val="pt-BR"/>
        </w:rPr>
        <w:t>r</w:t>
      </w:r>
      <w:r w:rsidR="006C1946" w:rsidRPr="00B7238F">
        <w:rPr>
          <w:color w:val="000000" w:themeColor="text1"/>
          <w:lang w:val="pt-BR"/>
        </w:rPr>
        <w:t xml:space="preserve"> fungicidas multisítios e reduzir a dose do fungicida em risco é uma estratégia eficiente para manejo de resistência. Porém não foi citado nenhum trabalho com avaliações moleculares de mutações e/ou avaliações de sensibilidade após a utilização desta estratégia, sendo as afirmações embasadas em experimentos que avaliam eficiência de controle de patógeno</w:t>
      </w:r>
      <w:r w:rsidR="000E20B0" w:rsidRPr="00B7238F">
        <w:rPr>
          <w:color w:val="000000" w:themeColor="text1"/>
          <w:lang w:val="pt-BR"/>
        </w:rPr>
        <w:t>s.</w:t>
      </w:r>
      <w:r w:rsidR="00B721E6" w:rsidRPr="00B7238F">
        <w:rPr>
          <w:color w:val="000000" w:themeColor="text1"/>
          <w:lang w:val="pt-BR"/>
        </w:rPr>
        <w:t xml:space="preserve"> Entretanto foi observado que em estufas e/ou casas de vegetação, quando era adicionado mancozebe a fungicidas sítios especítificos como oxadixyl e cimoxanil a eficiência de controle era mantida tanto em isolados de </w:t>
      </w:r>
      <w:r w:rsidR="00B721E6" w:rsidRPr="00B7238F">
        <w:rPr>
          <w:i/>
          <w:color w:val="000000" w:themeColor="text1"/>
          <w:lang w:val="pt-BR"/>
        </w:rPr>
        <w:t>Phytophthora infestans</w:t>
      </w:r>
      <w:r w:rsidR="00B721E6" w:rsidRPr="00B7238F">
        <w:rPr>
          <w:color w:val="000000" w:themeColor="text1"/>
          <w:lang w:val="pt-BR"/>
        </w:rPr>
        <w:t xml:space="preserve"> resistentes como suscetíveis (SAMOUCHA &amp; GISI, 1987). </w:t>
      </w:r>
      <w:r w:rsidR="008957A9" w:rsidRPr="00B7238F">
        <w:rPr>
          <w:color w:val="000000" w:themeColor="text1"/>
          <w:lang w:val="pt-BR"/>
        </w:rPr>
        <w:t xml:space="preserve">Através de modelagem matemática Hobbelen et al. (2011 b), observou redução da taxa de seleção e aumento da vida de fungicidas inibidores da quinona externa para adição de clorotalonil, avaliando o manejo de </w:t>
      </w:r>
      <w:r w:rsidR="008957A9" w:rsidRPr="00B7238F">
        <w:rPr>
          <w:i/>
          <w:color w:val="000000" w:themeColor="text1"/>
          <w:lang w:val="pt-BR"/>
        </w:rPr>
        <w:t>Mycosphaerella graminicola.</w:t>
      </w:r>
    </w:p>
    <w:p w14:paraId="24497C0C" w14:textId="77777777" w:rsidR="003244B9" w:rsidRDefault="009D2CD3" w:rsidP="003F6D94">
      <w:pPr>
        <w:pStyle w:val="Default"/>
        <w:spacing w:line="360" w:lineRule="auto"/>
        <w:ind w:firstLine="708"/>
        <w:jc w:val="both"/>
        <w:rPr>
          <w:color w:val="000000" w:themeColor="text1"/>
          <w:lang w:val="pt-BR"/>
        </w:rPr>
      </w:pPr>
      <w:r w:rsidRPr="00B7238F">
        <w:rPr>
          <w:color w:val="000000" w:themeColor="text1"/>
          <w:lang w:val="pt-BR"/>
        </w:rPr>
        <w:t xml:space="preserve">Neste experimento a adição de mancozebe a piraclostrobina + fluxapyroxada não reduziu a frequência da mutação I86F em populações de </w:t>
      </w:r>
      <w:r w:rsidRPr="00B7238F">
        <w:rPr>
          <w:i/>
          <w:color w:val="000000" w:themeColor="text1"/>
          <w:lang w:val="pt-BR"/>
        </w:rPr>
        <w:t>P. pachyrhizi</w:t>
      </w:r>
      <w:r w:rsidRPr="00B7238F">
        <w:rPr>
          <w:color w:val="000000" w:themeColor="text1"/>
          <w:lang w:val="pt-BR"/>
        </w:rPr>
        <w:t>, porém estes dados foram coletadas em condições de campo onde há possbilidade de lavagem e em soja semeada após a época recomendada. Estes fatores podem reduzir a dose de produto nas folhas de soja, bem como possibilitar que infecções ocorram entre as aplicações sendo que mancozebe não apresenta eficiência de controle curativo. Entre a primeira e a terceira aplicação de fungicida choveu 66,4 mm, distribuídos em nove chuvas</w:t>
      </w:r>
      <w:r w:rsidR="006B7748" w:rsidRPr="00B7238F">
        <w:rPr>
          <w:color w:val="000000" w:themeColor="text1"/>
          <w:lang w:val="pt-BR"/>
        </w:rPr>
        <w:t xml:space="preserve"> segundo dados da estação meteorológica da UDESC/CAV.</w:t>
      </w:r>
      <w:r w:rsidR="00583868">
        <w:rPr>
          <w:color w:val="000000" w:themeColor="text1"/>
          <w:lang w:val="pt-BR"/>
        </w:rPr>
        <w:t xml:space="preserve"> </w:t>
      </w:r>
    </w:p>
    <w:p w14:paraId="57C062B0" w14:textId="18CAEB2B" w:rsidR="002C52FA" w:rsidRPr="00B7238F" w:rsidRDefault="00583868" w:rsidP="003F6D94">
      <w:pPr>
        <w:pStyle w:val="Default"/>
        <w:spacing w:line="360" w:lineRule="auto"/>
        <w:ind w:firstLine="708"/>
        <w:jc w:val="both"/>
        <w:rPr>
          <w:color w:val="000000" w:themeColor="text1"/>
          <w:lang w:val="pt-BR"/>
        </w:rPr>
      </w:pPr>
      <w:r>
        <w:rPr>
          <w:color w:val="000000" w:themeColor="text1"/>
          <w:lang w:val="pt-BR"/>
        </w:rPr>
        <w:t xml:space="preserve">A recomendação </w:t>
      </w:r>
      <w:r w:rsidR="003244B9">
        <w:rPr>
          <w:color w:val="000000" w:themeColor="text1"/>
          <w:lang w:val="pt-BR"/>
        </w:rPr>
        <w:t>da adição de</w:t>
      </w:r>
      <w:r>
        <w:rPr>
          <w:color w:val="000000" w:themeColor="text1"/>
          <w:lang w:val="pt-BR"/>
        </w:rPr>
        <w:t xml:space="preserve"> fungicidas protetores</w:t>
      </w:r>
      <w:r w:rsidR="003244B9">
        <w:rPr>
          <w:color w:val="000000" w:themeColor="text1"/>
          <w:lang w:val="pt-BR"/>
        </w:rPr>
        <w:t xml:space="preserve"> a ingredientes ativos com mecanismos de ação sítios específicos</w:t>
      </w:r>
      <w:r>
        <w:rPr>
          <w:color w:val="000000" w:themeColor="text1"/>
          <w:lang w:val="pt-BR"/>
        </w:rPr>
        <w:t xml:space="preserve"> visando o manejo de resistência de </w:t>
      </w:r>
      <w:r w:rsidRPr="003244B9">
        <w:rPr>
          <w:i/>
          <w:color w:val="000000" w:themeColor="text1"/>
          <w:lang w:val="pt-BR"/>
        </w:rPr>
        <w:t xml:space="preserve">P. pachyrhizi </w:t>
      </w:r>
      <w:r w:rsidR="003244B9">
        <w:rPr>
          <w:color w:val="000000" w:themeColor="text1"/>
          <w:lang w:val="pt-BR"/>
        </w:rPr>
        <w:t xml:space="preserve">a fungicidas tem sido realizada em todo o Brasil, embasada principal em observações de aumento de eficiência de controle da FAS. Esta tese demonstra a necessidade da realização de mais experimentos avaliando o efeito desta estratégia na redução da sensibilidade do fungo a fungicidas. </w:t>
      </w:r>
    </w:p>
    <w:p w14:paraId="179AD4F0" w14:textId="22FAA670" w:rsidR="00484E75" w:rsidRPr="00B7238F" w:rsidRDefault="006B7748" w:rsidP="003F6D94">
      <w:pPr>
        <w:spacing w:after="0" w:line="360" w:lineRule="auto"/>
      </w:pPr>
      <w:r w:rsidRPr="00B7238F">
        <w:t xml:space="preserve">Entretanto a adição de fenpropimorfo a piraclostrobina + fluxapyroxada reduziu a frequência da mutação, o que pode estar associado a mobilidade deste fungicida e seu potencial de controle curativo. No capítulo 5, foi obervado que a adição de ciproconazole + difenoconazole a azoxistrobina + benzovindiflupir aumentou a eficiência de controle após a infecção de </w:t>
      </w:r>
      <w:r w:rsidRPr="00B7238F">
        <w:rPr>
          <w:i/>
        </w:rPr>
        <w:t xml:space="preserve">P. pachyrhizi, </w:t>
      </w:r>
      <w:r w:rsidRPr="00B7238F">
        <w:t>enquanto mancozebe somente proporcionou controle preventivamente. O experimento foi realizado em condições de maior densidade de inóculo do fungo que o cultivo de soja na época recomendada. Esta maior densidade de inóculo, hospedeiro suscetível, emissão de um novo trifólio aproximadamente entre cinco e sete dias sem a presença de fungicida, pode ocasionar infecções entre as pulverizações e fazer com que haja necessidade de controle curativo pela mistura pulverizada neste cenário.</w:t>
      </w:r>
    </w:p>
    <w:p w14:paraId="3E1C1009" w14:textId="77777777" w:rsidR="006B7748" w:rsidRPr="00B7238F" w:rsidRDefault="006B7748" w:rsidP="003F6D94">
      <w:pPr>
        <w:spacing w:after="0" w:line="360" w:lineRule="auto"/>
      </w:pPr>
    </w:p>
    <w:p w14:paraId="7BB128B5" w14:textId="73997654" w:rsidR="008957A9" w:rsidRPr="00B7238F" w:rsidRDefault="008957A9" w:rsidP="003F6D94">
      <w:pPr>
        <w:spacing w:after="0" w:line="360" w:lineRule="auto"/>
      </w:pPr>
    </w:p>
    <w:p w14:paraId="615D74B7" w14:textId="59538897" w:rsidR="00971D9C" w:rsidRPr="00B7238F" w:rsidRDefault="00971D9C" w:rsidP="003F6D94">
      <w:pPr>
        <w:spacing w:after="0" w:line="360" w:lineRule="auto"/>
      </w:pPr>
    </w:p>
    <w:p w14:paraId="74ABE936" w14:textId="336D665B" w:rsidR="003F6D94" w:rsidRDefault="003F6D94">
      <w:pPr>
        <w:autoSpaceDE/>
        <w:autoSpaceDN/>
        <w:adjustRightInd/>
        <w:ind w:firstLine="0"/>
        <w:jc w:val="left"/>
      </w:pPr>
      <w:r>
        <w:br w:type="page"/>
      </w:r>
    </w:p>
    <w:p w14:paraId="4812CBC0" w14:textId="37F35036" w:rsidR="00E378E5" w:rsidRDefault="00E378E5" w:rsidP="003F6D94">
      <w:pPr>
        <w:pStyle w:val="Ttulo2"/>
        <w:spacing w:before="0" w:after="0" w:line="360" w:lineRule="auto"/>
      </w:pPr>
      <w:bookmarkStart w:id="309" w:name="_Toc22568294"/>
      <w:r>
        <w:t xml:space="preserve">7.6 </w:t>
      </w:r>
      <w:r w:rsidR="00076AB0" w:rsidRPr="00B7238F">
        <w:t>CONCLUSÕES</w:t>
      </w:r>
      <w:bookmarkEnd w:id="309"/>
      <w:r w:rsidR="00076AB0" w:rsidRPr="00B7238F">
        <w:t xml:space="preserve"> </w:t>
      </w:r>
    </w:p>
    <w:p w14:paraId="14AFFF2F" w14:textId="77777777" w:rsidR="00E378E5" w:rsidRDefault="00E378E5" w:rsidP="003F6D94">
      <w:pPr>
        <w:spacing w:after="0" w:line="360" w:lineRule="auto"/>
      </w:pPr>
    </w:p>
    <w:p w14:paraId="6DD59B43" w14:textId="141F6D47" w:rsidR="00043073" w:rsidRPr="00B7238F" w:rsidRDefault="00043073" w:rsidP="003F6D94">
      <w:pPr>
        <w:spacing w:after="0" w:line="360" w:lineRule="auto"/>
      </w:pPr>
      <w:r w:rsidRPr="00B7238F">
        <w:t xml:space="preserve">A metodologia utilizada pode servir para futuras avaliações de estratégias de manejo de resistência de </w:t>
      </w:r>
      <w:r w:rsidRPr="00B7238F">
        <w:rPr>
          <w:i/>
        </w:rPr>
        <w:t>P. pachyrhizi</w:t>
      </w:r>
      <w:r w:rsidRPr="00B7238F">
        <w:t xml:space="preserve"> a fungicidas.</w:t>
      </w:r>
    </w:p>
    <w:p w14:paraId="7F569FCF" w14:textId="09F3ECF1" w:rsidR="00043073" w:rsidRPr="00B7238F" w:rsidRDefault="00043073" w:rsidP="003F6D94">
      <w:pPr>
        <w:spacing w:after="0" w:line="360" w:lineRule="auto"/>
      </w:pPr>
      <w:r w:rsidRPr="00B7238F">
        <w:t>Os menores valores de frequência da mutação I86F são observados no momento da detecção dos primeiros sintomas</w:t>
      </w:r>
    </w:p>
    <w:p w14:paraId="393DD0CB" w14:textId="603C080A" w:rsidR="00043073" w:rsidRPr="00B7238F" w:rsidRDefault="00043073" w:rsidP="003F6D94">
      <w:pPr>
        <w:spacing w:after="0" w:line="360" w:lineRule="auto"/>
      </w:pPr>
      <w:r w:rsidRPr="00B7238F">
        <w:t xml:space="preserve">A porcentagem de frequência da mutação I86F em populações de </w:t>
      </w:r>
      <w:r w:rsidRPr="00B7238F">
        <w:rPr>
          <w:i/>
          <w:iCs/>
        </w:rPr>
        <w:t>P. pachyrhizi</w:t>
      </w:r>
      <w:r w:rsidRPr="00B7238F">
        <w:t xml:space="preserve"> aumenta durante o ciclo da cultura da soja.</w:t>
      </w:r>
    </w:p>
    <w:p w14:paraId="137FDAAF" w14:textId="05B8D8BF" w:rsidR="00043073" w:rsidRPr="00B7238F" w:rsidRDefault="00043073" w:rsidP="003F6D94">
      <w:pPr>
        <w:spacing w:after="0" w:line="360" w:lineRule="auto"/>
      </w:pPr>
      <w:r w:rsidRPr="00B7238F">
        <w:t>Os menores valores de frequência da mutação I86F são observados em tratamentos sem a utilização de fungicidas do grupo químico das carboxamidas.</w:t>
      </w:r>
    </w:p>
    <w:p w14:paraId="19811E37" w14:textId="0EAB5DB0" w:rsidR="00043073" w:rsidRPr="00B7238F" w:rsidRDefault="00043073" w:rsidP="003F6D94">
      <w:pPr>
        <w:spacing w:after="0" w:line="360" w:lineRule="auto"/>
      </w:pPr>
      <w:r w:rsidRPr="00B7238F">
        <w:t xml:space="preserve">A utilização de cultivares de soja com </w:t>
      </w:r>
      <w:r w:rsidR="000309E7">
        <w:t>a tecnologia Inox</w:t>
      </w:r>
      <w:r w:rsidRPr="00B7238F">
        <w:t xml:space="preserve"> reduz a frequência da mutação I86F em populações de </w:t>
      </w:r>
      <w:r w:rsidRPr="00B7238F">
        <w:rPr>
          <w:i/>
        </w:rPr>
        <w:t>P. pachyrhizi</w:t>
      </w:r>
      <w:r w:rsidRPr="00B7238F">
        <w:t>.</w:t>
      </w:r>
    </w:p>
    <w:p w14:paraId="02AB4788" w14:textId="62E67288" w:rsidR="00043073" w:rsidRPr="00B7238F" w:rsidRDefault="00043073" w:rsidP="003F6D94">
      <w:pPr>
        <w:spacing w:after="0" w:line="360" w:lineRule="auto"/>
      </w:pPr>
      <w:r w:rsidRPr="00B7238F">
        <w:t>A adição de fenpropimorfo a piraclostrobina + fluxapyroxada reduz a frequência da mutação I86F.</w:t>
      </w:r>
    </w:p>
    <w:p w14:paraId="3DC4AAB7" w14:textId="0FC8F250" w:rsidR="00043073" w:rsidRPr="00B7238F" w:rsidRDefault="00043073" w:rsidP="003F6D94">
      <w:pPr>
        <w:spacing w:after="0" w:line="360" w:lineRule="auto"/>
      </w:pPr>
      <w:r w:rsidRPr="00B7238F">
        <w:t>Há necessidade d</w:t>
      </w:r>
      <w:r w:rsidR="0087621A" w:rsidRPr="00B7238F">
        <w:t>a</w:t>
      </w:r>
      <w:r w:rsidRPr="00B7238F">
        <w:t xml:space="preserve"> realização de mais experimentos avaliando estratégias de manejo de resistência de </w:t>
      </w:r>
      <w:r w:rsidRPr="00B7238F">
        <w:rPr>
          <w:i/>
        </w:rPr>
        <w:t>P. pachyrhizi</w:t>
      </w:r>
      <w:r w:rsidRPr="00B7238F">
        <w:t xml:space="preserve"> a fungicidas, para fornecer embasamento para as recomendações de </w:t>
      </w:r>
      <w:r w:rsidR="0087621A" w:rsidRPr="00B7238F">
        <w:t>controle químico</w:t>
      </w:r>
      <w:r w:rsidRPr="00B7238F">
        <w:t xml:space="preserve"> visando </w:t>
      </w:r>
      <w:r w:rsidR="0087621A" w:rsidRPr="00B7238F">
        <w:t>aumentar a vida útil dos principais ingredientes ativos utilizados no controle da ferrugem asiática da soja.</w:t>
      </w:r>
      <w:r w:rsidRPr="00B7238F">
        <w:t xml:space="preserve"> </w:t>
      </w:r>
    </w:p>
    <w:p w14:paraId="7A3C88BC" w14:textId="77777777" w:rsidR="00043073" w:rsidRPr="00B7238F" w:rsidRDefault="00043073" w:rsidP="003F6D94">
      <w:pPr>
        <w:spacing w:after="0" w:line="360" w:lineRule="auto"/>
      </w:pPr>
    </w:p>
    <w:p w14:paraId="50642001" w14:textId="2C2CB9AE" w:rsidR="00076AB0" w:rsidRPr="00B7238F" w:rsidRDefault="00076AB0" w:rsidP="00BC068B">
      <w:pPr>
        <w:rPr>
          <w:color w:val="000000" w:themeColor="text1"/>
        </w:rPr>
      </w:pPr>
    </w:p>
    <w:p w14:paraId="4FB8C5EA" w14:textId="2104CFC1" w:rsidR="003F6D94" w:rsidRDefault="003F6D94">
      <w:pPr>
        <w:autoSpaceDE/>
        <w:autoSpaceDN/>
        <w:adjustRightInd/>
        <w:ind w:firstLine="0"/>
        <w:jc w:val="left"/>
        <w:rPr>
          <w:color w:val="000000" w:themeColor="text1"/>
        </w:rPr>
      </w:pPr>
      <w:r>
        <w:rPr>
          <w:color w:val="000000" w:themeColor="text1"/>
        </w:rPr>
        <w:br w:type="page"/>
      </w:r>
    </w:p>
    <w:p w14:paraId="617D8133" w14:textId="7CD5DD73" w:rsidR="00076AB0" w:rsidRPr="00B7238F" w:rsidRDefault="00076AB0" w:rsidP="00F855A7">
      <w:pPr>
        <w:pStyle w:val="Ttulo1"/>
        <w:jc w:val="center"/>
      </w:pPr>
      <w:bookmarkStart w:id="310" w:name="_Toc22568295"/>
      <w:r w:rsidRPr="00B7238F">
        <w:t>REFERÊNCIAS</w:t>
      </w:r>
      <w:bookmarkEnd w:id="310"/>
    </w:p>
    <w:p w14:paraId="791F44F2" w14:textId="77777777" w:rsidR="000D1C44" w:rsidRPr="00B7238F" w:rsidRDefault="000D1C44" w:rsidP="00A53823">
      <w:pPr>
        <w:jc w:val="left"/>
      </w:pPr>
    </w:p>
    <w:p w14:paraId="2F3E3947" w14:textId="77777777" w:rsidR="00495E2C" w:rsidRPr="003B016F" w:rsidRDefault="00495E2C" w:rsidP="003F6D94">
      <w:pPr>
        <w:spacing w:after="0" w:line="240" w:lineRule="auto"/>
        <w:ind w:firstLine="0"/>
        <w:jc w:val="left"/>
        <w:rPr>
          <w:shd w:val="clear" w:color="auto" w:fill="FFFFFF"/>
        </w:rPr>
      </w:pPr>
      <w:r w:rsidRPr="003B016F">
        <w:rPr>
          <w:shd w:val="clear" w:color="auto" w:fill="FFFFFF"/>
        </w:rPr>
        <w:t>AGROFIT. </w:t>
      </w:r>
      <w:r w:rsidRPr="003B016F">
        <w:rPr>
          <w:rStyle w:val="nlmarticle-title"/>
          <w:b/>
          <w:shd w:val="clear" w:color="auto" w:fill="FFFFFF"/>
        </w:rPr>
        <w:t xml:space="preserve">Sistema de Agrotóxicos Fitossanitários. </w:t>
      </w:r>
      <w:r w:rsidRPr="003B016F">
        <w:rPr>
          <w:rStyle w:val="nlmarticle-title"/>
          <w:shd w:val="clear" w:color="auto" w:fill="FFFFFF"/>
        </w:rPr>
        <w:t>Ministério da Agricultura, Pecuária e Abastecimento - Coordenação Geral de Agrotóxicos e Afins/DFIA/ DAS.</w:t>
      </w:r>
      <w:r w:rsidRPr="003B016F">
        <w:rPr>
          <w:shd w:val="clear" w:color="auto" w:fill="FFFFFF"/>
        </w:rPr>
        <w:t xml:space="preserve"> &lt;</w:t>
      </w:r>
      <w:hyperlink r:id="rId16" w:tgtFrame="_blank" w:history="1">
        <w:r w:rsidRPr="003B016F">
          <w:rPr>
            <w:rStyle w:val="Hyperlink"/>
            <w:rFonts w:eastAsiaTheme="majorEastAsia"/>
            <w:color w:val="auto"/>
            <w:u w:val="none"/>
            <w:shd w:val="clear" w:color="auto" w:fill="FFFFFF"/>
          </w:rPr>
          <w:t>http://agrofit.agricultura.gov.br/agrofit_cons/principal_agrofit_cons</w:t>
        </w:r>
      </w:hyperlink>
      <w:r w:rsidRPr="003B016F">
        <w:rPr>
          <w:shd w:val="clear" w:color="auto" w:fill="FFFFFF"/>
        </w:rPr>
        <w:t xml:space="preserve">&gt;. </w:t>
      </w:r>
      <w:r w:rsidRPr="003B016F">
        <w:t>Acesso em: 20/06/2019</w:t>
      </w:r>
      <w:r w:rsidRPr="003B016F">
        <w:rPr>
          <w:shd w:val="clear" w:color="auto" w:fill="FFFFFF"/>
        </w:rPr>
        <w:t>.</w:t>
      </w:r>
    </w:p>
    <w:p w14:paraId="67996E0F" w14:textId="7D3CBAA3" w:rsidR="001045CD" w:rsidRDefault="001045CD" w:rsidP="003F6D94">
      <w:pPr>
        <w:spacing w:after="0" w:line="240" w:lineRule="auto"/>
        <w:ind w:firstLine="0"/>
        <w:jc w:val="left"/>
      </w:pPr>
    </w:p>
    <w:p w14:paraId="1DD0E8F1" w14:textId="77777777" w:rsidR="003F6D94" w:rsidRDefault="003F6D94" w:rsidP="003F6D94">
      <w:pPr>
        <w:spacing w:after="0" w:line="240" w:lineRule="auto"/>
        <w:ind w:firstLine="0"/>
        <w:jc w:val="left"/>
      </w:pPr>
    </w:p>
    <w:p w14:paraId="7AB5EA5A" w14:textId="7BB4F149" w:rsidR="00495E2C" w:rsidRPr="003B016F" w:rsidRDefault="00495E2C" w:rsidP="003F6D94">
      <w:pPr>
        <w:spacing w:after="0" w:line="240" w:lineRule="auto"/>
        <w:ind w:firstLine="0"/>
        <w:jc w:val="left"/>
        <w:rPr>
          <w:lang w:val="en-US"/>
        </w:rPr>
      </w:pPr>
      <w:r w:rsidRPr="001E6F8C">
        <w:t xml:space="preserve">AKAMATSU H, YAMANAKA N, YAMAOKA Y, SOARES RM, MOREL W, IVANCOVICH AJG, BOGADO AN, KATO M, YORINORI JT, SUENAGA K. Pathogenic diversity of soybean rust in Argentina, Brazil, and Paraguay. </w:t>
      </w:r>
      <w:r w:rsidRPr="003B016F">
        <w:rPr>
          <w:b/>
          <w:lang w:val="en-US"/>
        </w:rPr>
        <w:t>J Gen Plant Pathol</w:t>
      </w:r>
      <w:r w:rsidRPr="003B016F">
        <w:rPr>
          <w:lang w:val="en-US"/>
        </w:rPr>
        <w:t>.</w:t>
      </w:r>
      <w:r w:rsidR="00120603">
        <w:rPr>
          <w:lang w:val="en-US"/>
        </w:rPr>
        <w:t xml:space="preserve"> </w:t>
      </w:r>
      <w:r w:rsidRPr="003B016F">
        <w:rPr>
          <w:lang w:val="en-US"/>
        </w:rPr>
        <w:t>v.79, p.28–40. 2013.</w:t>
      </w:r>
    </w:p>
    <w:p w14:paraId="61BA24B8" w14:textId="7285246A" w:rsidR="001045CD" w:rsidRDefault="001045CD" w:rsidP="003F6D94">
      <w:pPr>
        <w:spacing w:after="0" w:line="240" w:lineRule="auto"/>
        <w:ind w:firstLine="0"/>
        <w:jc w:val="left"/>
        <w:rPr>
          <w:lang w:val="en-US"/>
        </w:rPr>
      </w:pPr>
    </w:p>
    <w:p w14:paraId="78D2DF8E" w14:textId="77777777" w:rsidR="003F6D94" w:rsidRDefault="003F6D94" w:rsidP="003F6D94">
      <w:pPr>
        <w:spacing w:after="0" w:line="240" w:lineRule="auto"/>
        <w:ind w:firstLine="0"/>
        <w:jc w:val="left"/>
        <w:rPr>
          <w:lang w:val="en-US"/>
        </w:rPr>
      </w:pPr>
    </w:p>
    <w:p w14:paraId="1F3A55EE" w14:textId="04202F10" w:rsidR="00495E2C" w:rsidRPr="003B016F" w:rsidRDefault="00495E2C" w:rsidP="003F6D94">
      <w:pPr>
        <w:spacing w:after="0" w:line="240" w:lineRule="auto"/>
        <w:ind w:firstLine="0"/>
        <w:jc w:val="left"/>
      </w:pPr>
      <w:r w:rsidRPr="003B016F">
        <w:rPr>
          <w:lang w:val="en-US"/>
        </w:rPr>
        <w:t xml:space="preserve">ALEXOPOLUS, C. J.; MIMS, C. W. BLACKWELL, M. </w:t>
      </w:r>
      <w:r w:rsidRPr="003B016F">
        <w:rPr>
          <w:b/>
          <w:iCs/>
          <w:lang w:val="en-US"/>
        </w:rPr>
        <w:t>Introductory mycology</w:t>
      </w:r>
      <w:r w:rsidRPr="003B016F">
        <w:rPr>
          <w:lang w:val="en-US"/>
        </w:rPr>
        <w:t xml:space="preserve">. </w:t>
      </w:r>
      <w:r w:rsidRPr="003B016F">
        <w:t>New York: John Willey &amp; Sons, 1996.</w:t>
      </w:r>
    </w:p>
    <w:p w14:paraId="7F222E04" w14:textId="4CD73DE6" w:rsidR="001045CD" w:rsidRDefault="001045CD" w:rsidP="003F6D94">
      <w:pPr>
        <w:spacing w:after="0" w:line="240" w:lineRule="auto"/>
        <w:ind w:firstLine="0"/>
        <w:jc w:val="left"/>
      </w:pPr>
    </w:p>
    <w:p w14:paraId="786E8F5F" w14:textId="77777777" w:rsidR="003F6D94" w:rsidRDefault="003F6D94" w:rsidP="003F6D94">
      <w:pPr>
        <w:spacing w:after="0" w:line="240" w:lineRule="auto"/>
        <w:ind w:firstLine="0"/>
        <w:jc w:val="left"/>
      </w:pPr>
    </w:p>
    <w:p w14:paraId="2A776ADA" w14:textId="3D1F919E" w:rsidR="00495E2C" w:rsidRPr="003B016F" w:rsidRDefault="00495E2C" w:rsidP="003F6D94">
      <w:pPr>
        <w:spacing w:after="0" w:line="240" w:lineRule="auto"/>
        <w:ind w:firstLine="0"/>
        <w:jc w:val="left"/>
        <w:rPr>
          <w:lang w:val="en-US"/>
        </w:rPr>
      </w:pPr>
      <w:r w:rsidRPr="003B016F">
        <w:t>ALVES, M. C.; POZZA, E. A.; FERREIRA, J. B.; ARAÚJO, D. V.; COSTA, J. C. B.; DEUNER, C. C.; MUNIZ, M. F. S.; ZAMBENEDETTI, E. B.; MACHADO, J. C. Intensidade da ferrugem asiática (</w:t>
      </w:r>
      <w:r w:rsidRPr="003B016F">
        <w:rPr>
          <w:i/>
          <w:iCs/>
        </w:rPr>
        <w:t xml:space="preserve">Phakopsora pachyrhizi </w:t>
      </w:r>
      <w:r w:rsidRPr="003B016F">
        <w:t>H. Sydow &amp; P. Sydow) da soja [</w:t>
      </w:r>
      <w:r w:rsidRPr="003B016F">
        <w:rPr>
          <w:i/>
          <w:iCs/>
        </w:rPr>
        <w:t xml:space="preserve">Glycine max </w:t>
      </w:r>
      <w:r w:rsidRPr="003B016F">
        <w:t xml:space="preserve">(L.) Merr.] nas cultivares conquista, savana e suprema sob diferentes temperaturas e períodos de molhamento foliar. </w:t>
      </w:r>
      <w:r w:rsidRPr="003B016F">
        <w:rPr>
          <w:b/>
          <w:i/>
          <w:iCs/>
          <w:lang w:val="en-US"/>
        </w:rPr>
        <w:t>Summa</w:t>
      </w:r>
      <w:r w:rsidRPr="003B016F">
        <w:rPr>
          <w:b/>
          <w:lang w:val="en-US"/>
        </w:rPr>
        <w:t xml:space="preserve"> </w:t>
      </w:r>
      <w:r w:rsidRPr="003B016F">
        <w:rPr>
          <w:b/>
          <w:i/>
          <w:iCs/>
          <w:lang w:val="en-US"/>
        </w:rPr>
        <w:t>Phytopathologica</w:t>
      </w:r>
      <w:r w:rsidRPr="003B016F">
        <w:rPr>
          <w:lang w:val="en-US"/>
        </w:rPr>
        <w:t>, v. 33, n. 3, p. 239-244, 2007.</w:t>
      </w:r>
    </w:p>
    <w:p w14:paraId="51EF44EB" w14:textId="447F2227" w:rsidR="001045CD" w:rsidRDefault="001045CD" w:rsidP="003F6D94">
      <w:pPr>
        <w:spacing w:after="0" w:line="240" w:lineRule="auto"/>
        <w:ind w:firstLine="0"/>
        <w:jc w:val="left"/>
        <w:rPr>
          <w:lang w:val="en-US"/>
        </w:rPr>
      </w:pPr>
    </w:p>
    <w:p w14:paraId="5C4E08B5" w14:textId="77777777" w:rsidR="003F6D94" w:rsidRDefault="003F6D94" w:rsidP="003F6D94">
      <w:pPr>
        <w:spacing w:after="0" w:line="240" w:lineRule="auto"/>
        <w:ind w:firstLine="0"/>
        <w:jc w:val="left"/>
        <w:rPr>
          <w:lang w:val="en-US"/>
        </w:rPr>
      </w:pPr>
    </w:p>
    <w:p w14:paraId="4335A07F" w14:textId="2BAE7BB3" w:rsidR="007868A4" w:rsidRPr="001E6F8C" w:rsidRDefault="00495E2C" w:rsidP="003F6D94">
      <w:pPr>
        <w:spacing w:after="0" w:line="240" w:lineRule="auto"/>
        <w:ind w:firstLine="0"/>
        <w:jc w:val="left"/>
      </w:pPr>
      <w:r w:rsidRPr="003B016F">
        <w:rPr>
          <w:lang w:val="en-US"/>
        </w:rPr>
        <w:t xml:space="preserve">ANDERSON, S.J.; STONE, C.L.; POSADA-BUITRAGO, M.L.; BOORE, J.L.; NEELAM, B.A.; STEPHENS, R.M.; LUSTER, D.G.; FREDERICK, R.D.; PEDLEY, K.F. Development of simple sequence repeat markers for the soybean rust fungus, Phakopsora pachyrhizi. </w:t>
      </w:r>
      <w:r w:rsidRPr="003B016F">
        <w:rPr>
          <w:b/>
          <w:lang w:val="en-US"/>
        </w:rPr>
        <w:t>Molecular Ecology Resources</w:t>
      </w:r>
      <w:r w:rsidRPr="003B016F">
        <w:rPr>
          <w:lang w:val="en-US"/>
        </w:rPr>
        <w:t xml:space="preserve">, v.8, p.1310-1312, 2008.ANGELOTTI, F.; REGINA, C.; BUFFARA, S.; VIEIRA, R.A.; VIDA, J.B. Protective, curative and eradicative activities of fungicides against grapevine rust. </w:t>
      </w:r>
      <w:r w:rsidRPr="003B016F">
        <w:rPr>
          <w:b/>
        </w:rPr>
        <w:t>Ciência Rural</w:t>
      </w:r>
      <w:r w:rsidRPr="003B016F">
        <w:t>. v. 44, p. 1367–70. 2014.</w:t>
      </w:r>
    </w:p>
    <w:p w14:paraId="3D016FED" w14:textId="38B10017" w:rsidR="001045CD" w:rsidRDefault="001045CD" w:rsidP="003F6D94">
      <w:pPr>
        <w:spacing w:after="0" w:line="240" w:lineRule="auto"/>
        <w:ind w:firstLine="0"/>
        <w:jc w:val="left"/>
      </w:pPr>
    </w:p>
    <w:p w14:paraId="795D4140" w14:textId="77777777" w:rsidR="003F6D94" w:rsidRDefault="003F6D94" w:rsidP="003F6D94">
      <w:pPr>
        <w:spacing w:after="0" w:line="240" w:lineRule="auto"/>
        <w:ind w:firstLine="0"/>
        <w:jc w:val="left"/>
      </w:pPr>
    </w:p>
    <w:p w14:paraId="4B5BAD18" w14:textId="5FCC55B8" w:rsidR="00495E2C" w:rsidRPr="003B016F" w:rsidRDefault="00495E2C" w:rsidP="003F6D94">
      <w:pPr>
        <w:spacing w:after="0" w:line="240" w:lineRule="auto"/>
        <w:ind w:firstLine="0"/>
        <w:jc w:val="left"/>
      </w:pPr>
      <w:r w:rsidRPr="003B016F">
        <w:t xml:space="preserve">BALLARDIN, R.S.; DALLAGNOL, L.J.; DIDONÉ, H.T.; NAVARINI, L. Influência do Fósforo e do Potássio na Ferrugem asiática da Soja Phakopsora pachyrhizi. </w:t>
      </w:r>
      <w:r w:rsidRPr="003B016F">
        <w:rPr>
          <w:b/>
        </w:rPr>
        <w:t>Fitopatologia Brasileira</w:t>
      </w:r>
      <w:r w:rsidRPr="003B016F">
        <w:t>, v.31, p.462-467, 2006.</w:t>
      </w:r>
    </w:p>
    <w:p w14:paraId="6E78C64F" w14:textId="099D3EB9" w:rsidR="001045CD" w:rsidRDefault="001045CD" w:rsidP="003F6D94">
      <w:pPr>
        <w:spacing w:after="0" w:line="240" w:lineRule="auto"/>
        <w:ind w:firstLine="0"/>
        <w:jc w:val="left"/>
      </w:pPr>
    </w:p>
    <w:p w14:paraId="707BE618" w14:textId="77777777" w:rsidR="003F6D94" w:rsidRDefault="003F6D94" w:rsidP="003F6D94">
      <w:pPr>
        <w:spacing w:after="0" w:line="240" w:lineRule="auto"/>
        <w:ind w:firstLine="0"/>
        <w:jc w:val="left"/>
      </w:pPr>
    </w:p>
    <w:p w14:paraId="170C529B" w14:textId="7B2FA924" w:rsidR="00495E2C" w:rsidRPr="003B016F" w:rsidRDefault="00495E2C" w:rsidP="003F6D94">
      <w:pPr>
        <w:spacing w:after="0" w:line="240" w:lineRule="auto"/>
        <w:ind w:firstLine="0"/>
        <w:jc w:val="left"/>
        <w:rPr>
          <w:lang w:val="en-US"/>
        </w:rPr>
      </w:pPr>
      <w:r w:rsidRPr="003B016F">
        <w:t xml:space="preserve">BLOOM, A.J. Nutrição Mineral. In: Taiz, L. &amp; Zeiger, E. (Eds.) </w:t>
      </w:r>
      <w:r w:rsidRPr="003B016F">
        <w:rPr>
          <w:lang w:val="en-US"/>
        </w:rPr>
        <w:t xml:space="preserve">In: Taiz, L. &amp; Zeiger, E. (Eds.) </w:t>
      </w:r>
      <w:r w:rsidRPr="00803907">
        <w:rPr>
          <w:b/>
          <w:lang w:val="en-US"/>
        </w:rPr>
        <w:t>Fisiologia Vegetal</w:t>
      </w:r>
      <w:r w:rsidRPr="003B016F">
        <w:rPr>
          <w:lang w:val="en-US"/>
        </w:rPr>
        <w:t>. 3º ed, 2004. p. 96-103.</w:t>
      </w:r>
    </w:p>
    <w:p w14:paraId="3F2C5B04" w14:textId="5C370AF9" w:rsidR="001045CD" w:rsidRDefault="001045CD" w:rsidP="003F6D94">
      <w:pPr>
        <w:spacing w:after="0" w:line="240" w:lineRule="auto"/>
        <w:ind w:firstLine="0"/>
        <w:jc w:val="left"/>
        <w:rPr>
          <w:lang w:val="en-US"/>
        </w:rPr>
      </w:pPr>
    </w:p>
    <w:p w14:paraId="46ACCDCB" w14:textId="77777777" w:rsidR="003F6D94" w:rsidRDefault="003F6D94" w:rsidP="003F6D94">
      <w:pPr>
        <w:spacing w:after="0" w:line="240" w:lineRule="auto"/>
        <w:ind w:firstLine="0"/>
        <w:jc w:val="left"/>
        <w:rPr>
          <w:lang w:val="en-US"/>
        </w:rPr>
      </w:pPr>
    </w:p>
    <w:p w14:paraId="2AD054E0" w14:textId="2A5CA4D5" w:rsidR="00495E2C" w:rsidRPr="003B016F" w:rsidRDefault="00495E2C" w:rsidP="003F6D94">
      <w:pPr>
        <w:spacing w:after="0" w:line="240" w:lineRule="auto"/>
        <w:ind w:firstLine="0"/>
        <w:jc w:val="left"/>
        <w:rPr>
          <w:lang w:val="en-US"/>
        </w:rPr>
      </w:pPr>
      <w:r w:rsidRPr="003B016F">
        <w:rPr>
          <w:lang w:val="en-US"/>
        </w:rPr>
        <w:t xml:space="preserve">BLUM, M. M. C.; REIS, E. M.; VIEIRA, F.T.; CARLINI, R. In vitro effect of substrate, temperature and photoperiod on </w:t>
      </w:r>
      <w:r w:rsidRPr="004B0A23">
        <w:rPr>
          <w:i/>
          <w:lang w:val="en-US"/>
        </w:rPr>
        <w:t xml:space="preserve">Phakopsora pachyrhizi </w:t>
      </w:r>
      <w:r w:rsidRPr="003B016F">
        <w:rPr>
          <w:lang w:val="en-US"/>
        </w:rPr>
        <w:t xml:space="preserve">urediniospore germination and germ tube growth. </w:t>
      </w:r>
      <w:r w:rsidRPr="003B016F">
        <w:rPr>
          <w:rStyle w:val="Forte"/>
          <w:lang w:val="en-US"/>
        </w:rPr>
        <w:t>Summa Phytopathologica</w:t>
      </w:r>
      <w:r w:rsidRPr="003B016F">
        <w:rPr>
          <w:lang w:val="en-US"/>
        </w:rPr>
        <w:t>, Botucatu, v. 41, n. 2, p. 101-106, 2015.</w:t>
      </w:r>
    </w:p>
    <w:p w14:paraId="74339C20" w14:textId="23AC87EA" w:rsidR="00495E2C" w:rsidRPr="003B016F" w:rsidRDefault="00495E2C" w:rsidP="003F6D94">
      <w:pPr>
        <w:spacing w:after="0" w:line="240" w:lineRule="auto"/>
        <w:ind w:firstLine="0"/>
        <w:jc w:val="left"/>
        <w:rPr>
          <w:lang w:val="en-US"/>
        </w:rPr>
      </w:pPr>
      <w:r w:rsidRPr="003B016F">
        <w:rPr>
          <w:lang w:val="en-US"/>
        </w:rPr>
        <w:t xml:space="preserve">BONDE, M. R., NESTER, S. E., AND BERNER, D. K. Effects of daily temperature highs on development of </w:t>
      </w:r>
      <w:r w:rsidRPr="004B0A23">
        <w:rPr>
          <w:i/>
          <w:lang w:val="en-US"/>
        </w:rPr>
        <w:t xml:space="preserve">Phakopsora pachyrhizi </w:t>
      </w:r>
      <w:r w:rsidRPr="003B016F">
        <w:rPr>
          <w:lang w:val="en-US"/>
        </w:rPr>
        <w:t xml:space="preserve">on soybean. </w:t>
      </w:r>
      <w:r w:rsidRPr="003B016F">
        <w:rPr>
          <w:b/>
          <w:lang w:val="en-US"/>
        </w:rPr>
        <w:t xml:space="preserve">Phytopathology </w:t>
      </w:r>
      <w:r w:rsidRPr="003B016F">
        <w:rPr>
          <w:lang w:val="en-US"/>
        </w:rPr>
        <w:t>102:761-768. 2012.</w:t>
      </w:r>
    </w:p>
    <w:p w14:paraId="63AF426B" w14:textId="77777777" w:rsidR="001045CD" w:rsidRDefault="001045CD" w:rsidP="003F6D94">
      <w:pPr>
        <w:spacing w:after="0" w:line="240" w:lineRule="auto"/>
        <w:ind w:firstLine="0"/>
        <w:jc w:val="left"/>
        <w:rPr>
          <w:lang w:val="en-US"/>
        </w:rPr>
      </w:pPr>
    </w:p>
    <w:p w14:paraId="7AF97D98" w14:textId="1095F39B" w:rsidR="00495E2C" w:rsidRPr="003B016F" w:rsidRDefault="00495E2C" w:rsidP="003F6D94">
      <w:pPr>
        <w:spacing w:after="0" w:line="240" w:lineRule="auto"/>
        <w:ind w:firstLine="0"/>
        <w:jc w:val="left"/>
        <w:rPr>
          <w:lang w:val="en-US"/>
        </w:rPr>
      </w:pPr>
      <w:r w:rsidRPr="003B016F">
        <w:rPr>
          <w:lang w:val="en-US"/>
        </w:rPr>
        <w:t xml:space="preserve">BONDE, M. R.; BERNER, D. K.; NESTER, S. E.; FREDERICK, R. D. Effects of temperature on urediniospore germination, germ tube growth, and initiation of infection in soybean by </w:t>
      </w:r>
      <w:r w:rsidRPr="003B016F">
        <w:rPr>
          <w:i/>
          <w:iCs/>
          <w:lang w:val="en-US"/>
        </w:rPr>
        <w:t xml:space="preserve">Phakopsora </w:t>
      </w:r>
      <w:r w:rsidRPr="003B016F">
        <w:rPr>
          <w:lang w:val="en-US"/>
        </w:rPr>
        <w:t xml:space="preserve">isolates. </w:t>
      </w:r>
      <w:r w:rsidRPr="003B016F">
        <w:rPr>
          <w:b/>
          <w:i/>
          <w:iCs/>
          <w:lang w:val="en-US"/>
        </w:rPr>
        <w:t>Phytopathology</w:t>
      </w:r>
      <w:r w:rsidRPr="003B016F">
        <w:rPr>
          <w:lang w:val="en-US"/>
        </w:rPr>
        <w:t>, v. 97, n. 8, p. 997-1003, 2007.</w:t>
      </w:r>
    </w:p>
    <w:p w14:paraId="2963ABCB" w14:textId="6E5FCEB1" w:rsidR="001045CD" w:rsidRDefault="001045CD" w:rsidP="003F6D94">
      <w:pPr>
        <w:spacing w:after="0" w:line="240" w:lineRule="auto"/>
        <w:ind w:firstLine="0"/>
        <w:jc w:val="left"/>
        <w:rPr>
          <w:lang w:val="en-US"/>
        </w:rPr>
      </w:pPr>
    </w:p>
    <w:p w14:paraId="6C89565B" w14:textId="77777777" w:rsidR="003F6D94" w:rsidRDefault="003F6D94" w:rsidP="003F6D94">
      <w:pPr>
        <w:spacing w:after="0" w:line="240" w:lineRule="auto"/>
        <w:ind w:firstLine="0"/>
        <w:jc w:val="left"/>
        <w:rPr>
          <w:lang w:val="en-US"/>
        </w:rPr>
      </w:pPr>
    </w:p>
    <w:p w14:paraId="4784FFFC" w14:textId="5593FD27" w:rsidR="00495E2C" w:rsidRPr="003B016F" w:rsidRDefault="00495E2C" w:rsidP="003F6D94">
      <w:pPr>
        <w:spacing w:after="0" w:line="240" w:lineRule="auto"/>
        <w:ind w:firstLine="0"/>
        <w:jc w:val="left"/>
        <w:rPr>
          <w:lang w:val="en-US"/>
        </w:rPr>
      </w:pPr>
      <w:r w:rsidRPr="003B016F">
        <w:rPr>
          <w:lang w:val="en-US"/>
        </w:rPr>
        <w:t xml:space="preserve">BONDE, M. R.; NESTER, S. E.; BERNER, D. K.; FREDERICK, R. D; MOORE, W. F.; LITTLE, S.  Comparative Susceptibilities of Legume Species to Infection by Phakopsora pachyrhizi. </w:t>
      </w:r>
      <w:r w:rsidRPr="003B016F">
        <w:rPr>
          <w:b/>
          <w:lang w:val="en-US"/>
        </w:rPr>
        <w:t>Plant Disease</w:t>
      </w:r>
      <w:r w:rsidRPr="003B016F">
        <w:rPr>
          <w:lang w:val="en-US"/>
        </w:rPr>
        <w:t>, Saint Paul, v. 92, n.1, p. 30-36. 2008.</w:t>
      </w:r>
    </w:p>
    <w:p w14:paraId="645B8646" w14:textId="6BC2DD36" w:rsidR="00E1380F" w:rsidRDefault="00E1380F" w:rsidP="003F6D94">
      <w:pPr>
        <w:spacing w:after="0" w:line="240" w:lineRule="auto"/>
        <w:ind w:firstLine="0"/>
        <w:jc w:val="left"/>
        <w:rPr>
          <w:lang w:val="en-US"/>
        </w:rPr>
      </w:pPr>
    </w:p>
    <w:p w14:paraId="2DAD6012" w14:textId="77777777" w:rsidR="003F6D94" w:rsidRDefault="003F6D94" w:rsidP="003F6D94">
      <w:pPr>
        <w:spacing w:after="0" w:line="240" w:lineRule="auto"/>
        <w:ind w:firstLine="0"/>
        <w:jc w:val="left"/>
        <w:rPr>
          <w:lang w:val="en-US"/>
        </w:rPr>
      </w:pPr>
    </w:p>
    <w:p w14:paraId="165CA015" w14:textId="6F4B6B54" w:rsidR="00495E2C" w:rsidRDefault="00495E2C" w:rsidP="003F6D94">
      <w:pPr>
        <w:spacing w:after="0" w:line="240" w:lineRule="auto"/>
        <w:ind w:firstLine="0"/>
        <w:jc w:val="left"/>
        <w:rPr>
          <w:lang w:val="en-US"/>
        </w:rPr>
      </w:pPr>
      <w:r w:rsidRPr="003B016F">
        <w:rPr>
          <w:lang w:val="en-US"/>
        </w:rPr>
        <w:t xml:space="preserve">BONDE, M. R.; NESTER, S. E.; BERNER. Effects of Frequency of “Extreme” Temperature Highs on Development of Soybean Rust. </w:t>
      </w:r>
      <w:r w:rsidRPr="003B016F">
        <w:rPr>
          <w:b/>
          <w:lang w:val="en-US"/>
        </w:rPr>
        <w:t>Phytopathology</w:t>
      </w:r>
      <w:r w:rsidRPr="003B016F">
        <w:rPr>
          <w:lang w:val="en-US"/>
        </w:rPr>
        <w:t>, Saint Paul, v. 103, n.7, p. 708-716, 2013.</w:t>
      </w:r>
    </w:p>
    <w:p w14:paraId="3B6158B9" w14:textId="77777777" w:rsidR="003F6D94" w:rsidRDefault="003F6D94" w:rsidP="003F6D94">
      <w:pPr>
        <w:spacing w:after="0" w:line="240" w:lineRule="auto"/>
        <w:ind w:firstLine="0"/>
        <w:jc w:val="left"/>
        <w:rPr>
          <w:lang w:val="en-US"/>
        </w:rPr>
      </w:pPr>
    </w:p>
    <w:p w14:paraId="46679EA3" w14:textId="77777777" w:rsidR="00E1380F" w:rsidRPr="003B016F" w:rsidRDefault="00E1380F" w:rsidP="003F6D94">
      <w:pPr>
        <w:spacing w:after="0" w:line="240" w:lineRule="auto"/>
        <w:ind w:firstLine="0"/>
        <w:jc w:val="left"/>
        <w:rPr>
          <w:lang w:val="en-US"/>
        </w:rPr>
      </w:pPr>
    </w:p>
    <w:p w14:paraId="1C8E9F37" w14:textId="77777777" w:rsidR="00495E2C" w:rsidRPr="003B016F" w:rsidRDefault="00495E2C" w:rsidP="003F6D94">
      <w:pPr>
        <w:spacing w:after="0" w:line="240" w:lineRule="auto"/>
        <w:ind w:firstLine="0"/>
        <w:jc w:val="left"/>
        <w:rPr>
          <w:lang w:val="en-US"/>
        </w:rPr>
      </w:pPr>
      <w:r w:rsidRPr="003B016F">
        <w:rPr>
          <w:lang w:val="en-US"/>
        </w:rPr>
        <w:t xml:space="preserve">BONDE, M.R.; NESTER, S.E.; AUSTIN, C.N.; STONE, C.L.; FREDERICK, R.D.; HARTMAN, G.L.; MILES, M.R. Evaluation of virulence of </w:t>
      </w:r>
      <w:r w:rsidRPr="004B0A23">
        <w:rPr>
          <w:i/>
          <w:lang w:val="en-US"/>
        </w:rPr>
        <w:t xml:space="preserve">Phakopsora pachyrhizi </w:t>
      </w:r>
      <w:r w:rsidRPr="003B016F">
        <w:rPr>
          <w:lang w:val="en-US"/>
        </w:rPr>
        <w:t xml:space="preserve">and P. meibomiae isolates. </w:t>
      </w:r>
      <w:r w:rsidRPr="003B016F">
        <w:rPr>
          <w:b/>
          <w:lang w:val="en-US"/>
        </w:rPr>
        <w:t>Plant Disease</w:t>
      </w:r>
      <w:r w:rsidRPr="003B016F">
        <w:rPr>
          <w:lang w:val="en-US"/>
        </w:rPr>
        <w:t>, Saint Paul, v.90, p.708-716, 2006.</w:t>
      </w:r>
    </w:p>
    <w:p w14:paraId="288C6A9D" w14:textId="20957791" w:rsidR="00E1380F" w:rsidRDefault="00E1380F" w:rsidP="003F6D94">
      <w:pPr>
        <w:spacing w:after="0" w:line="240" w:lineRule="auto"/>
        <w:ind w:firstLine="0"/>
        <w:jc w:val="left"/>
        <w:rPr>
          <w:lang w:val="en-US"/>
        </w:rPr>
      </w:pPr>
    </w:p>
    <w:p w14:paraId="2118BEA8" w14:textId="77777777" w:rsidR="003F6D94" w:rsidRDefault="003F6D94" w:rsidP="003F6D94">
      <w:pPr>
        <w:spacing w:after="0" w:line="240" w:lineRule="auto"/>
        <w:ind w:firstLine="0"/>
        <w:jc w:val="left"/>
        <w:rPr>
          <w:lang w:val="en-US"/>
        </w:rPr>
      </w:pPr>
    </w:p>
    <w:p w14:paraId="65C6BF35" w14:textId="4D5709B9" w:rsidR="00495E2C" w:rsidRDefault="00495E2C" w:rsidP="003F6D94">
      <w:pPr>
        <w:spacing w:after="0" w:line="240" w:lineRule="auto"/>
        <w:ind w:firstLine="0"/>
        <w:jc w:val="left"/>
        <w:rPr>
          <w:lang w:val="en-US"/>
        </w:rPr>
      </w:pPr>
      <w:r w:rsidRPr="003B016F">
        <w:rPr>
          <w:lang w:val="en-US"/>
        </w:rPr>
        <w:t xml:space="preserve">BOSCH, F. van den; and GILLIGAN, C. A. 2008. Models of fungicide resistance dynamics. </w:t>
      </w:r>
      <w:r w:rsidRPr="003B016F">
        <w:rPr>
          <w:b/>
          <w:lang w:val="en-US"/>
        </w:rPr>
        <w:t>Annual Review of Phytopathology</w:t>
      </w:r>
      <w:r w:rsidRPr="003B016F">
        <w:rPr>
          <w:lang w:val="en-US"/>
        </w:rPr>
        <w:t>. v.46, p.123–147.</w:t>
      </w:r>
    </w:p>
    <w:p w14:paraId="1F1CDE1E" w14:textId="77777777" w:rsidR="003F6D94" w:rsidRPr="003B016F" w:rsidRDefault="003F6D94" w:rsidP="003F6D94">
      <w:pPr>
        <w:spacing w:after="0" w:line="240" w:lineRule="auto"/>
        <w:ind w:firstLine="0"/>
        <w:jc w:val="left"/>
        <w:rPr>
          <w:lang w:val="en-US"/>
        </w:rPr>
      </w:pPr>
    </w:p>
    <w:p w14:paraId="0613776E" w14:textId="77777777" w:rsidR="00E1380F" w:rsidRDefault="00E1380F" w:rsidP="003F6D94">
      <w:pPr>
        <w:spacing w:after="0" w:line="240" w:lineRule="auto"/>
        <w:ind w:firstLine="0"/>
        <w:jc w:val="left"/>
        <w:rPr>
          <w:lang w:val="en-US"/>
        </w:rPr>
      </w:pPr>
    </w:p>
    <w:p w14:paraId="31AEA844" w14:textId="4EB4B869" w:rsidR="00495E2C" w:rsidRPr="003B016F" w:rsidRDefault="00495E2C" w:rsidP="003F6D94">
      <w:pPr>
        <w:spacing w:after="0" w:line="240" w:lineRule="auto"/>
        <w:ind w:firstLine="0"/>
        <w:jc w:val="left"/>
        <w:rPr>
          <w:lang w:val="en-US"/>
        </w:rPr>
      </w:pPr>
      <w:r w:rsidRPr="003B016F">
        <w:rPr>
          <w:lang w:val="en-US"/>
        </w:rPr>
        <w:t xml:space="preserve">BOSCH; F, Van </w:t>
      </w:r>
      <w:r w:rsidR="00A542D3" w:rsidRPr="003B016F">
        <w:rPr>
          <w:lang w:val="en-US"/>
        </w:rPr>
        <w:t>Den;</w:t>
      </w:r>
      <w:r w:rsidRPr="003B016F">
        <w:rPr>
          <w:lang w:val="en-US"/>
        </w:rPr>
        <w:t xml:space="preserve"> OLIVER, R.; BERG, F. Van Den; PAVELEY, N. Governing principles can guide fungicide resistance management tactics. </w:t>
      </w:r>
      <w:r w:rsidRPr="003B016F">
        <w:rPr>
          <w:b/>
          <w:lang w:val="en-US"/>
        </w:rPr>
        <w:t>Annu. Rev. Phytopathol</w:t>
      </w:r>
      <w:r w:rsidRPr="003B016F">
        <w:rPr>
          <w:lang w:val="en-US"/>
        </w:rPr>
        <w:t>., v. 52, p.175–195, 2014.</w:t>
      </w:r>
    </w:p>
    <w:p w14:paraId="34F511F5" w14:textId="3181EB8F" w:rsidR="00E1380F" w:rsidRDefault="00E1380F" w:rsidP="003F6D94">
      <w:pPr>
        <w:spacing w:after="0" w:line="240" w:lineRule="auto"/>
        <w:ind w:firstLine="0"/>
        <w:jc w:val="left"/>
        <w:rPr>
          <w:lang w:val="en-US"/>
        </w:rPr>
      </w:pPr>
    </w:p>
    <w:p w14:paraId="60368B70" w14:textId="77777777" w:rsidR="003F6D94" w:rsidRDefault="003F6D94" w:rsidP="003F6D94">
      <w:pPr>
        <w:spacing w:after="0" w:line="240" w:lineRule="auto"/>
        <w:ind w:firstLine="0"/>
        <w:jc w:val="left"/>
        <w:rPr>
          <w:lang w:val="en-US"/>
        </w:rPr>
      </w:pPr>
    </w:p>
    <w:p w14:paraId="2682DA12" w14:textId="27903443" w:rsidR="00495E2C" w:rsidRDefault="00495E2C" w:rsidP="003F6D94">
      <w:pPr>
        <w:spacing w:after="0" w:line="240" w:lineRule="auto"/>
        <w:ind w:firstLine="0"/>
        <w:jc w:val="left"/>
      </w:pPr>
      <w:r w:rsidRPr="003B016F">
        <w:rPr>
          <w:lang w:val="en-US"/>
        </w:rPr>
        <w:t xml:space="preserve">BRENT, K. J., AND D. W. HOLLOMAN. 2007. Fungicide resistance in crop pathogens: how can it be managed? FRAC Monograph 1 2nd ed., Fungicide Resistance Action Committee, CropLife International, Brussels, Belgium. </w:t>
      </w:r>
      <w:r w:rsidRPr="003B016F">
        <w:t>(http://www.frac.info/publication/anhang/FRAC_ Mono1_2007_100dpi.pdf)</w:t>
      </w:r>
    </w:p>
    <w:p w14:paraId="6231A962" w14:textId="77777777" w:rsidR="003F6D94" w:rsidRPr="003B016F" w:rsidRDefault="003F6D94" w:rsidP="003F6D94">
      <w:pPr>
        <w:spacing w:after="0" w:line="240" w:lineRule="auto"/>
        <w:ind w:firstLine="0"/>
        <w:jc w:val="left"/>
      </w:pPr>
    </w:p>
    <w:p w14:paraId="081B7DEE" w14:textId="77777777" w:rsidR="00E1380F" w:rsidRPr="001E6F8C" w:rsidRDefault="00E1380F" w:rsidP="003F6D94">
      <w:pPr>
        <w:spacing w:after="0" w:line="240" w:lineRule="auto"/>
        <w:ind w:firstLine="0"/>
        <w:jc w:val="left"/>
      </w:pPr>
    </w:p>
    <w:p w14:paraId="3B07AE9F" w14:textId="6B9B5182" w:rsidR="00495E2C" w:rsidRDefault="00495E2C" w:rsidP="003F6D94">
      <w:pPr>
        <w:spacing w:after="0" w:line="240" w:lineRule="auto"/>
        <w:ind w:firstLine="0"/>
        <w:jc w:val="left"/>
        <w:rPr>
          <w:lang w:val="en-US"/>
        </w:rPr>
      </w:pPr>
      <w:r w:rsidRPr="003B016F">
        <w:rPr>
          <w:lang w:val="en-US"/>
        </w:rPr>
        <w:t>BROMFIELD, K. R. AND C. Y. YANG. 1976. Soybean rust: Summary of available knowledge. In: R. M. Goodman, ed. Expanding the Use of Soybeans, p.161-164. INTSOY Series No. 10. Univ. of Illinois, Urbana-Champaign.</w:t>
      </w:r>
    </w:p>
    <w:p w14:paraId="4092CC7B" w14:textId="77777777" w:rsidR="003F6D94" w:rsidRPr="003B016F" w:rsidRDefault="003F6D94" w:rsidP="003F6D94">
      <w:pPr>
        <w:spacing w:after="0" w:line="240" w:lineRule="auto"/>
        <w:ind w:firstLine="0"/>
        <w:jc w:val="left"/>
        <w:rPr>
          <w:lang w:val="en-US"/>
        </w:rPr>
      </w:pPr>
    </w:p>
    <w:p w14:paraId="15381952" w14:textId="77777777" w:rsidR="00E1380F" w:rsidRDefault="00E1380F" w:rsidP="003F6D94">
      <w:pPr>
        <w:spacing w:after="0" w:line="240" w:lineRule="auto"/>
        <w:ind w:firstLine="0"/>
        <w:jc w:val="left"/>
        <w:rPr>
          <w:lang w:val="en-US"/>
        </w:rPr>
      </w:pPr>
    </w:p>
    <w:p w14:paraId="3C0A8601" w14:textId="5ABB6605" w:rsidR="00495E2C" w:rsidRDefault="00495E2C" w:rsidP="003F6D94">
      <w:pPr>
        <w:spacing w:after="0" w:line="240" w:lineRule="auto"/>
        <w:ind w:firstLine="0"/>
        <w:jc w:val="left"/>
        <w:rPr>
          <w:lang w:val="en-US"/>
        </w:rPr>
      </w:pPr>
      <w:r w:rsidRPr="003B016F">
        <w:rPr>
          <w:lang w:val="en-US"/>
        </w:rPr>
        <w:t xml:space="preserve">BROMFIELD, K. R. and HARTWIG, E. E. Resistance to soybean rust and mode of inheritance. </w:t>
      </w:r>
      <w:r w:rsidRPr="003B016F">
        <w:rPr>
          <w:b/>
          <w:lang w:val="en-US"/>
        </w:rPr>
        <w:t>Crop. Sci.</w:t>
      </w:r>
      <w:r w:rsidRPr="003B016F">
        <w:rPr>
          <w:lang w:val="en-US"/>
        </w:rPr>
        <w:t xml:space="preserve"> v. 20, p. 254–255, 1980.</w:t>
      </w:r>
    </w:p>
    <w:p w14:paraId="6245B7C3" w14:textId="77777777" w:rsidR="003F6D94" w:rsidRPr="003B016F" w:rsidRDefault="003F6D94" w:rsidP="003F6D94">
      <w:pPr>
        <w:spacing w:after="0" w:line="240" w:lineRule="auto"/>
        <w:ind w:firstLine="0"/>
        <w:jc w:val="left"/>
        <w:rPr>
          <w:lang w:val="en-US"/>
        </w:rPr>
      </w:pPr>
    </w:p>
    <w:p w14:paraId="3350CC6D" w14:textId="77777777" w:rsidR="00E1380F" w:rsidRDefault="00E1380F" w:rsidP="003F6D94">
      <w:pPr>
        <w:spacing w:after="0" w:line="240" w:lineRule="auto"/>
        <w:ind w:firstLine="0"/>
        <w:jc w:val="left"/>
        <w:rPr>
          <w:lang w:val="en-US"/>
        </w:rPr>
      </w:pPr>
    </w:p>
    <w:p w14:paraId="3C55BCB9" w14:textId="17A86C56" w:rsidR="00495E2C" w:rsidRPr="003B016F" w:rsidRDefault="00495E2C" w:rsidP="003F6D94">
      <w:pPr>
        <w:spacing w:after="0" w:line="240" w:lineRule="auto"/>
        <w:ind w:firstLine="0"/>
        <w:jc w:val="left"/>
        <w:rPr>
          <w:lang w:val="en-US"/>
        </w:rPr>
      </w:pPr>
      <w:r w:rsidRPr="003B016F">
        <w:rPr>
          <w:lang w:val="en-US"/>
        </w:rPr>
        <w:t xml:space="preserve">BROMFIELD, K. R. </w:t>
      </w:r>
      <w:r w:rsidRPr="003B016F">
        <w:rPr>
          <w:i/>
          <w:iCs/>
          <w:lang w:val="en-US"/>
        </w:rPr>
        <w:t>Soybean rust</w:t>
      </w:r>
      <w:r w:rsidRPr="003B016F">
        <w:rPr>
          <w:lang w:val="en-US"/>
        </w:rPr>
        <w:t>. Monograph n. 11. American Phytopathological Society. St. Paul, Minnesota, 63 p., 1984.</w:t>
      </w:r>
    </w:p>
    <w:p w14:paraId="08E769F9" w14:textId="27A7ADE6" w:rsidR="00E1380F" w:rsidRDefault="00E1380F" w:rsidP="003F6D94">
      <w:pPr>
        <w:spacing w:after="0" w:line="240" w:lineRule="auto"/>
        <w:ind w:firstLine="0"/>
        <w:jc w:val="left"/>
        <w:rPr>
          <w:lang w:val="en-US"/>
        </w:rPr>
      </w:pPr>
    </w:p>
    <w:p w14:paraId="66C72645" w14:textId="77777777" w:rsidR="003F6D94" w:rsidRDefault="003F6D94" w:rsidP="003F6D94">
      <w:pPr>
        <w:spacing w:after="0" w:line="240" w:lineRule="auto"/>
        <w:ind w:firstLine="0"/>
        <w:jc w:val="left"/>
        <w:rPr>
          <w:lang w:val="en-US"/>
        </w:rPr>
      </w:pPr>
    </w:p>
    <w:p w14:paraId="6DC62083" w14:textId="27EB4CA0" w:rsidR="00495E2C" w:rsidRPr="003B016F" w:rsidRDefault="00495E2C" w:rsidP="003F6D94">
      <w:pPr>
        <w:spacing w:after="0" w:line="240" w:lineRule="auto"/>
        <w:ind w:firstLine="0"/>
        <w:jc w:val="left"/>
        <w:rPr>
          <w:lang w:val="en-US"/>
        </w:rPr>
      </w:pPr>
      <w:r w:rsidRPr="003B016F">
        <w:rPr>
          <w:lang w:val="en-US"/>
        </w:rPr>
        <w:t xml:space="preserve">CALDWELL, P., and M. LAING.  Soybean Rust – A New Disease on the Move. Southern African Society for Plant Pathology.  Stellenbosch South Africa, 2001.  </w:t>
      </w:r>
      <w:hyperlink r:id="rId17" w:history="1">
        <w:r w:rsidRPr="003B016F">
          <w:rPr>
            <w:rStyle w:val="Hyperlink"/>
            <w:rFonts w:eastAsiaTheme="majorEastAsia"/>
            <w:color w:val="auto"/>
            <w:u w:val="none"/>
            <w:lang w:val="en-US"/>
          </w:rPr>
          <w:t>http://www.saspp.org/archived_articles/FeatureMarch.php</w:t>
        </w:r>
      </w:hyperlink>
    </w:p>
    <w:p w14:paraId="177CB98F" w14:textId="01141D7B" w:rsidR="00E1380F" w:rsidRDefault="00E1380F" w:rsidP="003F6D94">
      <w:pPr>
        <w:spacing w:after="0" w:line="240" w:lineRule="auto"/>
        <w:ind w:firstLine="0"/>
        <w:jc w:val="left"/>
        <w:rPr>
          <w:lang w:val="en-US"/>
        </w:rPr>
      </w:pPr>
    </w:p>
    <w:p w14:paraId="7BBBA72F" w14:textId="77777777" w:rsidR="003F6D94" w:rsidRDefault="003F6D94" w:rsidP="003F6D94">
      <w:pPr>
        <w:spacing w:after="0" w:line="240" w:lineRule="auto"/>
        <w:ind w:firstLine="0"/>
        <w:jc w:val="left"/>
        <w:rPr>
          <w:lang w:val="en-US"/>
        </w:rPr>
      </w:pPr>
    </w:p>
    <w:p w14:paraId="219137B9" w14:textId="6909BC6B" w:rsidR="00495E2C" w:rsidRDefault="00495E2C" w:rsidP="003F6D94">
      <w:pPr>
        <w:spacing w:after="0" w:line="240" w:lineRule="auto"/>
        <w:ind w:firstLine="0"/>
        <w:jc w:val="left"/>
        <w:rPr>
          <w:lang w:val="en-US"/>
        </w:rPr>
      </w:pPr>
      <w:r w:rsidRPr="003B016F">
        <w:rPr>
          <w:lang w:val="en-US"/>
        </w:rPr>
        <w:t xml:space="preserve">CARMONA, M.A.; GALLY, M.E.; LOPEZ, S.E. Asian soybean rust: incidence, severity, and morphological characterization of </w:t>
      </w:r>
      <w:r w:rsidRPr="004B0A23">
        <w:rPr>
          <w:i/>
          <w:lang w:val="en-US"/>
        </w:rPr>
        <w:t xml:space="preserve">Phakopsora pachyrhizi </w:t>
      </w:r>
      <w:r w:rsidRPr="003B016F">
        <w:rPr>
          <w:lang w:val="en-US"/>
        </w:rPr>
        <w:t xml:space="preserve">(uredinia and telia) in Argentinia. </w:t>
      </w:r>
      <w:r w:rsidRPr="003B016F">
        <w:rPr>
          <w:b/>
          <w:lang w:val="en-US"/>
        </w:rPr>
        <w:t xml:space="preserve">Plant Disease, </w:t>
      </w:r>
      <w:r w:rsidRPr="003B016F">
        <w:rPr>
          <w:lang w:val="en-US"/>
        </w:rPr>
        <w:t>v.89, p.109, 2005.</w:t>
      </w:r>
    </w:p>
    <w:p w14:paraId="358E547A" w14:textId="77777777" w:rsidR="003F6D94" w:rsidRPr="003B016F" w:rsidRDefault="003F6D94" w:rsidP="003F6D94">
      <w:pPr>
        <w:spacing w:after="0" w:line="240" w:lineRule="auto"/>
        <w:ind w:firstLine="0"/>
        <w:jc w:val="left"/>
        <w:rPr>
          <w:lang w:val="en-US"/>
        </w:rPr>
      </w:pPr>
    </w:p>
    <w:p w14:paraId="136FCAD5" w14:textId="77777777" w:rsidR="00E1380F" w:rsidRDefault="00E1380F" w:rsidP="003F6D94">
      <w:pPr>
        <w:spacing w:after="0" w:line="240" w:lineRule="auto"/>
        <w:ind w:firstLine="0"/>
        <w:jc w:val="left"/>
        <w:rPr>
          <w:lang w:val="en-US"/>
        </w:rPr>
      </w:pPr>
    </w:p>
    <w:p w14:paraId="150FB8A2" w14:textId="26E75334" w:rsidR="00495E2C" w:rsidRPr="003B016F" w:rsidRDefault="00495E2C" w:rsidP="003F6D94">
      <w:pPr>
        <w:spacing w:after="0" w:line="240" w:lineRule="auto"/>
        <w:ind w:firstLine="0"/>
        <w:jc w:val="left"/>
        <w:rPr>
          <w:lang w:val="en-US"/>
        </w:rPr>
      </w:pPr>
      <w:r w:rsidRPr="003B016F">
        <w:rPr>
          <w:lang w:val="en-US"/>
        </w:rPr>
        <w:t xml:space="preserve">CASEY, P.S. The epidemiology of soybean rust: </w:t>
      </w:r>
      <w:r w:rsidRPr="004B0A23">
        <w:rPr>
          <w:i/>
          <w:lang w:val="en-US"/>
        </w:rPr>
        <w:t xml:space="preserve">Phakopsora pachyrhizi </w:t>
      </w:r>
      <w:r w:rsidRPr="003B016F">
        <w:rPr>
          <w:lang w:val="en-US"/>
        </w:rPr>
        <w:t xml:space="preserve">Syd. </w:t>
      </w:r>
      <w:r w:rsidRPr="003B016F">
        <w:rPr>
          <w:b/>
          <w:lang w:val="en-US"/>
        </w:rPr>
        <w:t>Soybean Rust Newsletter</w:t>
      </w:r>
      <w:r w:rsidRPr="003B016F">
        <w:rPr>
          <w:lang w:val="en-US"/>
        </w:rPr>
        <w:t>, v.4, p.3-5, 1981.</w:t>
      </w:r>
    </w:p>
    <w:p w14:paraId="1E3C9B03" w14:textId="304B8C9C" w:rsidR="00E1380F" w:rsidRDefault="00E1380F" w:rsidP="003F6D94">
      <w:pPr>
        <w:spacing w:after="0" w:line="240" w:lineRule="auto"/>
        <w:ind w:firstLine="0"/>
        <w:jc w:val="left"/>
        <w:rPr>
          <w:lang w:val="en-US"/>
        </w:rPr>
      </w:pPr>
    </w:p>
    <w:p w14:paraId="5D5E10AA" w14:textId="77777777" w:rsidR="003F6D94" w:rsidRDefault="003F6D94" w:rsidP="003F6D94">
      <w:pPr>
        <w:spacing w:after="0" w:line="240" w:lineRule="auto"/>
        <w:ind w:firstLine="0"/>
        <w:jc w:val="left"/>
        <w:rPr>
          <w:lang w:val="en-US"/>
        </w:rPr>
      </w:pPr>
    </w:p>
    <w:p w14:paraId="630FB873" w14:textId="42C51828" w:rsidR="00495E2C" w:rsidRPr="003B016F" w:rsidRDefault="00495E2C" w:rsidP="003F6D94">
      <w:pPr>
        <w:spacing w:after="0" w:line="240" w:lineRule="auto"/>
        <w:ind w:firstLine="0"/>
        <w:jc w:val="left"/>
      </w:pPr>
      <w:r w:rsidRPr="003B016F">
        <w:rPr>
          <w:lang w:val="en-US"/>
        </w:rPr>
        <w:t xml:space="preserve">CHENG, Y. W., AND K. L. CHAN. The breeding of rust resistant soybean Tainung 3. </w:t>
      </w:r>
      <w:r w:rsidRPr="003B016F">
        <w:rPr>
          <w:b/>
        </w:rPr>
        <w:t>J. Taiwan Agr. Res.</w:t>
      </w:r>
      <w:r w:rsidRPr="003B016F">
        <w:t xml:space="preserve"> v.17, p.30-34, 1968.</w:t>
      </w:r>
    </w:p>
    <w:p w14:paraId="06E7C6F1" w14:textId="7CB23B59" w:rsidR="00E1380F" w:rsidRDefault="00E1380F" w:rsidP="003F6D94">
      <w:pPr>
        <w:spacing w:after="0" w:line="240" w:lineRule="auto"/>
        <w:ind w:firstLine="0"/>
        <w:jc w:val="left"/>
      </w:pPr>
    </w:p>
    <w:p w14:paraId="5C9BAD42" w14:textId="77777777" w:rsidR="003F6D94" w:rsidRDefault="003F6D94" w:rsidP="003F6D94">
      <w:pPr>
        <w:spacing w:after="0" w:line="240" w:lineRule="auto"/>
        <w:ind w:firstLine="0"/>
        <w:jc w:val="left"/>
      </w:pPr>
    </w:p>
    <w:p w14:paraId="19E34F98" w14:textId="16138BD2" w:rsidR="00495E2C" w:rsidRPr="003B016F" w:rsidRDefault="00495E2C" w:rsidP="003F6D94">
      <w:pPr>
        <w:spacing w:after="0" w:line="240" w:lineRule="auto"/>
        <w:ind w:firstLine="0"/>
        <w:jc w:val="left"/>
      </w:pPr>
      <w:r w:rsidRPr="003B016F">
        <w:t xml:space="preserve">CONAB. Companhia Nacional de Abastecimento. </w:t>
      </w:r>
      <w:r w:rsidRPr="003B016F">
        <w:rPr>
          <w:b/>
          <w:bCs/>
        </w:rPr>
        <w:t>Acompanhamento da safra brasileira: grãos (safra 2018/20119)</w:t>
      </w:r>
      <w:r w:rsidRPr="003B016F">
        <w:t>. Brasília: CONAB, 2019. 154p. Disponível em:&lt;http://www.conab.gov.br/OlalaCMS/uploads/arquivos/15_09_11_10_42_03_boletim_graos_junho_2019.pdf&gt;. Acesso em: 26/06/2019.</w:t>
      </w:r>
    </w:p>
    <w:p w14:paraId="7E73DBA6" w14:textId="5B52946B" w:rsidR="00E1380F" w:rsidRDefault="00E1380F" w:rsidP="003F6D94">
      <w:pPr>
        <w:spacing w:after="0" w:line="240" w:lineRule="auto"/>
        <w:ind w:firstLine="0"/>
        <w:jc w:val="left"/>
        <w:rPr>
          <w:b/>
        </w:rPr>
      </w:pPr>
    </w:p>
    <w:p w14:paraId="0A14A5BD" w14:textId="77777777" w:rsidR="003F6D94" w:rsidRDefault="003F6D94" w:rsidP="003F6D94">
      <w:pPr>
        <w:spacing w:after="0" w:line="240" w:lineRule="auto"/>
        <w:ind w:firstLine="0"/>
        <w:jc w:val="left"/>
        <w:rPr>
          <w:b/>
        </w:rPr>
      </w:pPr>
    </w:p>
    <w:p w14:paraId="530F3F06" w14:textId="04C7C241" w:rsidR="00495E2C" w:rsidRPr="003B016F" w:rsidRDefault="00495E2C" w:rsidP="003F6D94">
      <w:pPr>
        <w:spacing w:after="0" w:line="240" w:lineRule="auto"/>
        <w:ind w:firstLine="0"/>
        <w:jc w:val="left"/>
      </w:pPr>
      <w:r w:rsidRPr="00920AD9">
        <w:rPr>
          <w:b/>
        </w:rPr>
        <w:t>CONSÓRCIO ANTIFERRUGEM SAFRA</w:t>
      </w:r>
      <w:r w:rsidRPr="003B016F">
        <w:t xml:space="preserve"> 2008/2009, 2009, Londrina. Resumos. Londrina: Embrapa Soja, 2009. p.93-101. (Embrapa Soja. Documentos 315). </w:t>
      </w:r>
    </w:p>
    <w:p w14:paraId="4FE7E775" w14:textId="55270778" w:rsidR="00E1380F" w:rsidRDefault="00E1380F" w:rsidP="003F6D94">
      <w:pPr>
        <w:spacing w:after="0" w:line="240" w:lineRule="auto"/>
        <w:ind w:firstLine="0"/>
        <w:jc w:val="left"/>
      </w:pPr>
    </w:p>
    <w:p w14:paraId="55566F31" w14:textId="77777777" w:rsidR="003F6D94" w:rsidRDefault="003F6D94" w:rsidP="003F6D94">
      <w:pPr>
        <w:spacing w:after="0" w:line="240" w:lineRule="auto"/>
        <w:ind w:firstLine="0"/>
        <w:jc w:val="left"/>
      </w:pPr>
    </w:p>
    <w:p w14:paraId="637B6463" w14:textId="6FF49A84" w:rsidR="00495E2C" w:rsidRDefault="00495E2C" w:rsidP="003F6D94">
      <w:pPr>
        <w:spacing w:after="0" w:line="240" w:lineRule="auto"/>
        <w:ind w:firstLine="0"/>
        <w:jc w:val="left"/>
        <w:rPr>
          <w:lang w:val="en-US"/>
        </w:rPr>
      </w:pPr>
      <w:r w:rsidRPr="001E6F8C">
        <w:t xml:space="preserve">COOLS, H.J.; BAYON, C.; ATKINS, S.; LUCAS, J.A.; FRAAIJE, B.A. Overexpression of the sterol 14a-demethylase gene (MgCYP51) in </w:t>
      </w:r>
      <w:r w:rsidRPr="001E6F8C">
        <w:rPr>
          <w:i/>
        </w:rPr>
        <w:t>Mycosphaerella graminicola</w:t>
      </w:r>
      <w:r w:rsidRPr="001E6F8C">
        <w:t xml:space="preserve"> isolates confers a novel azole fungicide sensitivity phenotype. </w:t>
      </w:r>
      <w:r w:rsidRPr="003B016F">
        <w:rPr>
          <w:b/>
          <w:lang w:val="en-US"/>
        </w:rPr>
        <w:t xml:space="preserve">Pest Management Science. </w:t>
      </w:r>
      <w:r w:rsidRPr="003B016F">
        <w:rPr>
          <w:lang w:val="en-US"/>
        </w:rPr>
        <w:t>v. 68, 1034–40, 2012.</w:t>
      </w:r>
    </w:p>
    <w:p w14:paraId="15D8B37D" w14:textId="77777777" w:rsidR="003F6D94" w:rsidRPr="003B016F" w:rsidRDefault="003F6D94" w:rsidP="003F6D94">
      <w:pPr>
        <w:spacing w:after="0" w:line="240" w:lineRule="auto"/>
        <w:ind w:firstLine="0"/>
        <w:jc w:val="left"/>
        <w:rPr>
          <w:shd w:val="clear" w:color="auto" w:fill="FFFFFF"/>
          <w:lang w:val="en-US"/>
        </w:rPr>
      </w:pPr>
    </w:p>
    <w:p w14:paraId="41802F76" w14:textId="77777777" w:rsidR="00E1380F" w:rsidRDefault="00E1380F" w:rsidP="003F6D94">
      <w:pPr>
        <w:spacing w:after="0" w:line="240" w:lineRule="auto"/>
        <w:ind w:firstLine="0"/>
        <w:jc w:val="left"/>
        <w:rPr>
          <w:shd w:val="clear" w:color="auto" w:fill="FFFFFF"/>
          <w:lang w:val="en-US"/>
        </w:rPr>
      </w:pPr>
    </w:p>
    <w:p w14:paraId="0FC71D48" w14:textId="0EA74148" w:rsidR="00495E2C" w:rsidRPr="003B016F" w:rsidRDefault="00495E2C" w:rsidP="003F6D94">
      <w:pPr>
        <w:spacing w:after="0" w:line="240" w:lineRule="auto"/>
        <w:ind w:firstLine="0"/>
        <w:jc w:val="left"/>
        <w:rPr>
          <w:shd w:val="clear" w:color="auto" w:fill="FFFFFF"/>
          <w:lang w:val="en-US"/>
        </w:rPr>
      </w:pPr>
      <w:r w:rsidRPr="003B016F">
        <w:rPr>
          <w:shd w:val="clear" w:color="auto" w:fill="FFFFFF"/>
          <w:lang w:val="en-US"/>
        </w:rPr>
        <w:t>DALLA LANA, F.; ZIEGELMANN, PATRICIA K. ; MAIA, A. de H. N. ;</w:t>
      </w:r>
      <w:r w:rsidRPr="003B016F">
        <w:rPr>
          <w:rStyle w:val="apple-converted-space"/>
          <w:shd w:val="clear" w:color="auto" w:fill="FFFFFF"/>
          <w:lang w:val="en-US"/>
        </w:rPr>
        <w:t> </w:t>
      </w:r>
      <w:hyperlink r:id="rId18" w:tgtFrame="_blank" w:tooltip="Clique para visualizar o currículo" w:history="1">
        <w:r w:rsidRPr="003B016F">
          <w:rPr>
            <w:rStyle w:val="Hyperlink"/>
            <w:rFonts w:eastAsiaTheme="majorEastAsia"/>
            <w:bCs/>
            <w:color w:val="auto"/>
            <w:u w:val="none"/>
            <w:bdr w:val="none" w:sz="0" w:space="0" w:color="auto" w:frame="1"/>
            <w:lang w:val="en-US"/>
          </w:rPr>
          <w:t>GODOY, C. V.</w:t>
        </w:r>
      </w:hyperlink>
      <w:r w:rsidRPr="003B016F">
        <w:rPr>
          <w:shd w:val="clear" w:color="auto" w:fill="FFFFFF"/>
          <w:lang w:val="en-US"/>
        </w:rPr>
        <w:t>;</w:t>
      </w:r>
      <w:r w:rsidRPr="003B016F">
        <w:rPr>
          <w:rStyle w:val="apple-converted-space"/>
          <w:shd w:val="clear" w:color="auto" w:fill="FFFFFF"/>
          <w:lang w:val="en-US"/>
        </w:rPr>
        <w:t xml:space="preserve"> </w:t>
      </w:r>
      <w:r w:rsidRPr="003B016F">
        <w:rPr>
          <w:bdr w:val="none" w:sz="0" w:space="0" w:color="auto" w:frame="1"/>
          <w:shd w:val="clear" w:color="auto" w:fill="FFFFFF"/>
          <w:lang w:val="en-US"/>
        </w:rPr>
        <w:t>DEL PONTE, E. M.</w:t>
      </w:r>
      <w:r w:rsidRPr="003B016F">
        <w:rPr>
          <w:shd w:val="clear" w:color="auto" w:fill="FFFFFF"/>
          <w:lang w:val="en-US"/>
        </w:rPr>
        <w:t xml:space="preserve"> Meta-Analysis of the Relationship Between Crop Yield and Soybean Rust Severity. </w:t>
      </w:r>
      <w:r w:rsidRPr="003B016F">
        <w:rPr>
          <w:b/>
          <w:shd w:val="clear" w:color="auto" w:fill="FFFFFF"/>
          <w:lang w:val="en-US"/>
        </w:rPr>
        <w:t>Phytopathology</w:t>
      </w:r>
      <w:r w:rsidRPr="003B016F">
        <w:rPr>
          <w:shd w:val="clear" w:color="auto" w:fill="FFFFFF"/>
          <w:lang w:val="en-US"/>
        </w:rPr>
        <w:t>, v. 105, p. 307-315, 2015.</w:t>
      </w:r>
    </w:p>
    <w:p w14:paraId="20680DAD" w14:textId="356A8DDD" w:rsidR="00E1380F" w:rsidRDefault="00E1380F" w:rsidP="003F6D94">
      <w:pPr>
        <w:spacing w:after="0" w:line="240" w:lineRule="auto"/>
        <w:ind w:firstLine="0"/>
        <w:jc w:val="left"/>
        <w:rPr>
          <w:lang w:val="en-US"/>
        </w:rPr>
      </w:pPr>
    </w:p>
    <w:p w14:paraId="53D12DC0" w14:textId="77777777" w:rsidR="003F6D94" w:rsidRDefault="003F6D94" w:rsidP="003F6D94">
      <w:pPr>
        <w:spacing w:after="0" w:line="240" w:lineRule="auto"/>
        <w:ind w:firstLine="0"/>
        <w:jc w:val="left"/>
        <w:rPr>
          <w:lang w:val="en-US"/>
        </w:rPr>
      </w:pPr>
    </w:p>
    <w:p w14:paraId="4C2DC390" w14:textId="5DF2A6DC" w:rsidR="00495E2C" w:rsidRDefault="00495E2C" w:rsidP="003F6D94">
      <w:pPr>
        <w:spacing w:after="0" w:line="240" w:lineRule="auto"/>
        <w:ind w:firstLine="0"/>
        <w:jc w:val="left"/>
        <w:rPr>
          <w:lang w:val="en-US"/>
        </w:rPr>
      </w:pPr>
      <w:r w:rsidRPr="003B016F">
        <w:rPr>
          <w:lang w:val="en-US"/>
        </w:rPr>
        <w:t xml:space="preserve">DANELLI, A.L.D.; REIS, E.M.; BOARETTO, C. Critical-point model to estimate yield loss caused by Asian soybean rust. </w:t>
      </w:r>
      <w:r w:rsidRPr="003B016F">
        <w:rPr>
          <w:rStyle w:val="Forte"/>
          <w:lang w:val="en-US"/>
        </w:rPr>
        <w:t>Summa Phytopathologica</w:t>
      </w:r>
      <w:r w:rsidRPr="003B016F">
        <w:rPr>
          <w:lang w:val="en-US"/>
        </w:rPr>
        <w:t>. Botucatu, v.41, n.4, p.262-269, 2015.</w:t>
      </w:r>
    </w:p>
    <w:p w14:paraId="40F83D35" w14:textId="1AD5101E" w:rsidR="00E1380F" w:rsidRDefault="00E1380F" w:rsidP="003F6D94">
      <w:pPr>
        <w:spacing w:after="0" w:line="240" w:lineRule="auto"/>
        <w:ind w:firstLine="0"/>
        <w:jc w:val="left"/>
        <w:rPr>
          <w:lang w:val="en-US"/>
        </w:rPr>
      </w:pPr>
    </w:p>
    <w:p w14:paraId="7AD821EA" w14:textId="77777777" w:rsidR="003F6D94" w:rsidRPr="003B016F" w:rsidRDefault="003F6D94" w:rsidP="003F6D94">
      <w:pPr>
        <w:spacing w:after="0" w:line="240" w:lineRule="auto"/>
        <w:ind w:firstLine="0"/>
        <w:jc w:val="left"/>
        <w:rPr>
          <w:lang w:val="en-US"/>
        </w:rPr>
      </w:pPr>
    </w:p>
    <w:p w14:paraId="2B3A9EE8" w14:textId="7256B93A" w:rsidR="00495E2C" w:rsidRPr="003B016F" w:rsidRDefault="00495E2C" w:rsidP="003F6D94">
      <w:pPr>
        <w:spacing w:after="0" w:line="240" w:lineRule="auto"/>
        <w:ind w:firstLine="0"/>
        <w:jc w:val="left"/>
        <w:rPr>
          <w:lang w:val="en-US"/>
        </w:rPr>
      </w:pPr>
      <w:r w:rsidRPr="003B016F">
        <w:rPr>
          <w:lang w:val="en-US"/>
        </w:rPr>
        <w:t xml:space="preserve">DEL PONTE, E.M.; ESKER, P.D. Meteorological factors and Asian soybean rust epidemics: a systems approach and implications for risk assessment. </w:t>
      </w:r>
      <w:r w:rsidRPr="003B016F">
        <w:rPr>
          <w:b/>
          <w:lang w:val="en-US"/>
        </w:rPr>
        <w:t>Scientia Agricola</w:t>
      </w:r>
      <w:r w:rsidRPr="003B016F">
        <w:rPr>
          <w:lang w:val="en-US"/>
        </w:rPr>
        <w:t>, Piracicaba, v. 65, n. spe, p. 88-97, 2008.</w:t>
      </w:r>
    </w:p>
    <w:p w14:paraId="2C8DFB69" w14:textId="77777777" w:rsidR="00E1380F" w:rsidRDefault="00E1380F" w:rsidP="003F6D94">
      <w:pPr>
        <w:spacing w:after="0" w:line="240" w:lineRule="auto"/>
        <w:ind w:firstLine="0"/>
        <w:jc w:val="left"/>
        <w:rPr>
          <w:lang w:val="en-US"/>
        </w:rPr>
      </w:pPr>
    </w:p>
    <w:p w14:paraId="2541B929" w14:textId="3DBF3961" w:rsidR="00495E2C" w:rsidRDefault="00495E2C" w:rsidP="003F6D94">
      <w:pPr>
        <w:spacing w:after="0" w:line="240" w:lineRule="auto"/>
        <w:ind w:firstLine="0"/>
        <w:jc w:val="left"/>
        <w:rPr>
          <w:lang w:val="en-US"/>
        </w:rPr>
      </w:pPr>
      <w:r w:rsidRPr="003B016F">
        <w:rPr>
          <w:lang w:val="en-US"/>
        </w:rPr>
        <w:t xml:space="preserve">DEL PONTE, E.M.; GODOY, C.V.; LI, X.; YANG, X.B. Predicting severity of Asian soybean rust epidemics with empirical rainfall models. </w:t>
      </w:r>
      <w:r w:rsidRPr="003B016F">
        <w:rPr>
          <w:i/>
          <w:iCs/>
          <w:lang w:val="en-US"/>
        </w:rPr>
        <w:t>Phytopathology</w:t>
      </w:r>
      <w:r w:rsidRPr="003B016F">
        <w:rPr>
          <w:lang w:val="en-US"/>
        </w:rPr>
        <w:t>, St. Paul, v.96, p.797-803, 2006.</w:t>
      </w:r>
    </w:p>
    <w:p w14:paraId="6C091886" w14:textId="509A181A" w:rsidR="00E1380F" w:rsidRDefault="00E1380F" w:rsidP="003F6D94">
      <w:pPr>
        <w:spacing w:after="0" w:line="240" w:lineRule="auto"/>
        <w:ind w:firstLine="0"/>
        <w:jc w:val="left"/>
        <w:rPr>
          <w:lang w:val="en-US"/>
        </w:rPr>
      </w:pPr>
    </w:p>
    <w:p w14:paraId="429B6E4B" w14:textId="77777777" w:rsidR="003F6D94" w:rsidRPr="003B016F" w:rsidRDefault="003F6D94" w:rsidP="003F6D94">
      <w:pPr>
        <w:spacing w:after="0" w:line="240" w:lineRule="auto"/>
        <w:ind w:firstLine="0"/>
        <w:jc w:val="left"/>
        <w:rPr>
          <w:lang w:val="en-US"/>
        </w:rPr>
      </w:pPr>
    </w:p>
    <w:p w14:paraId="65692C3E" w14:textId="77777777" w:rsidR="00495E2C" w:rsidRPr="003B016F" w:rsidRDefault="00495E2C" w:rsidP="003F6D94">
      <w:pPr>
        <w:spacing w:after="0" w:line="240" w:lineRule="auto"/>
        <w:ind w:firstLine="0"/>
        <w:jc w:val="left"/>
        <w:rPr>
          <w:lang w:val="en-US"/>
        </w:rPr>
      </w:pPr>
      <w:r w:rsidRPr="003B016F">
        <w:rPr>
          <w:lang w:val="en-US"/>
        </w:rPr>
        <w:t xml:space="preserve">DIAS, A. P. S., LI, X., HARMON, P. F., HARMON, C. L., AND YANG, X. B. Effects of shade intensity and duration on Asian soybean rust caused by Phakopsora pachyrhizi. </w:t>
      </w:r>
      <w:r w:rsidRPr="003B016F">
        <w:rPr>
          <w:b/>
          <w:lang w:val="en-US"/>
        </w:rPr>
        <w:t>Plant Dis</w:t>
      </w:r>
      <w:r w:rsidRPr="003B016F">
        <w:rPr>
          <w:lang w:val="en-US"/>
        </w:rPr>
        <w:t>, v.95, p. 485-489, 2011.</w:t>
      </w:r>
    </w:p>
    <w:p w14:paraId="33238003" w14:textId="5FE30CB5" w:rsidR="00175090" w:rsidRDefault="00175090" w:rsidP="003F6D94">
      <w:pPr>
        <w:spacing w:after="0" w:line="240" w:lineRule="auto"/>
        <w:ind w:firstLine="0"/>
        <w:jc w:val="left"/>
        <w:rPr>
          <w:lang w:val="en-US"/>
        </w:rPr>
      </w:pPr>
    </w:p>
    <w:p w14:paraId="246B7750" w14:textId="77777777" w:rsidR="003F6D94" w:rsidRDefault="003F6D94" w:rsidP="003F6D94">
      <w:pPr>
        <w:spacing w:after="0" w:line="240" w:lineRule="auto"/>
        <w:ind w:firstLine="0"/>
        <w:jc w:val="left"/>
        <w:rPr>
          <w:lang w:val="en-US"/>
        </w:rPr>
      </w:pPr>
    </w:p>
    <w:p w14:paraId="55D512B6" w14:textId="6068E4EF" w:rsidR="00495E2C" w:rsidRPr="003B016F" w:rsidRDefault="00495E2C" w:rsidP="003F6D94">
      <w:pPr>
        <w:spacing w:after="0" w:line="240" w:lineRule="auto"/>
        <w:ind w:firstLine="0"/>
        <w:jc w:val="left"/>
        <w:rPr>
          <w:lang w:val="en-US"/>
        </w:rPr>
      </w:pPr>
      <w:r w:rsidRPr="003B016F">
        <w:rPr>
          <w:lang w:val="en-US"/>
        </w:rPr>
        <w:t xml:space="preserve">DIAS, A.P.S.; LI, X. and YANG, X.B. Modeling the Effects of Cloudy Weather on Regional Epidemics of Soybean Rust. </w:t>
      </w:r>
      <w:r w:rsidRPr="003B016F">
        <w:rPr>
          <w:b/>
          <w:iCs/>
          <w:lang w:val="en-US"/>
        </w:rPr>
        <w:t>Plant Disease</w:t>
      </w:r>
      <w:r w:rsidRPr="003B016F">
        <w:rPr>
          <w:lang w:val="en-US"/>
        </w:rPr>
        <w:t>, St. Paul, v.98, p.811-816, 2014.</w:t>
      </w:r>
    </w:p>
    <w:p w14:paraId="44FFF462" w14:textId="49CCFFB2" w:rsidR="00175090" w:rsidRDefault="00175090" w:rsidP="003F6D94">
      <w:pPr>
        <w:spacing w:after="0" w:line="240" w:lineRule="auto"/>
        <w:ind w:firstLine="0"/>
        <w:jc w:val="left"/>
        <w:rPr>
          <w:lang w:val="en-US"/>
        </w:rPr>
      </w:pPr>
    </w:p>
    <w:p w14:paraId="587A1C04" w14:textId="77777777" w:rsidR="003F6D94" w:rsidRDefault="003F6D94" w:rsidP="003F6D94">
      <w:pPr>
        <w:spacing w:after="0" w:line="240" w:lineRule="auto"/>
        <w:ind w:firstLine="0"/>
        <w:jc w:val="left"/>
        <w:rPr>
          <w:lang w:val="en-US"/>
        </w:rPr>
      </w:pPr>
    </w:p>
    <w:p w14:paraId="12383C89" w14:textId="5F91A2D0" w:rsidR="00495E2C" w:rsidRDefault="00495E2C" w:rsidP="003F6D94">
      <w:pPr>
        <w:spacing w:after="0" w:line="240" w:lineRule="auto"/>
        <w:ind w:firstLine="0"/>
        <w:jc w:val="left"/>
      </w:pPr>
      <w:r w:rsidRPr="003B016F">
        <w:rPr>
          <w:lang w:val="en-US"/>
        </w:rPr>
        <w:t xml:space="preserve">DOYLE, J. J., CHAPPILL, J. A., BAILEY, C. D., AND KAJITA, T. 2000. </w:t>
      </w:r>
      <w:r w:rsidRPr="003B016F">
        <w:rPr>
          <w:b/>
          <w:lang w:val="en-US"/>
        </w:rPr>
        <w:t>Towards a comprehensive phylogeny of legumes: Evidence from the rcbL sequences and non-molecular data.</w:t>
      </w:r>
      <w:r w:rsidRPr="003B016F">
        <w:rPr>
          <w:lang w:val="en-US"/>
        </w:rPr>
        <w:t xml:space="preserve"> Pages 1-20 in: Advances in Legume Systematics, P. S. Herendeen and A. Bruneau, eds. </w:t>
      </w:r>
      <w:r w:rsidRPr="003B016F">
        <w:t>Royal Botanic Gardens, Kew, Richmond, Surrey, UK.</w:t>
      </w:r>
    </w:p>
    <w:p w14:paraId="711FEBD6" w14:textId="77777777" w:rsidR="003F6D94" w:rsidRPr="003B016F" w:rsidRDefault="003F6D94" w:rsidP="003F6D94">
      <w:pPr>
        <w:spacing w:after="0" w:line="240" w:lineRule="auto"/>
        <w:ind w:firstLine="0"/>
        <w:jc w:val="left"/>
      </w:pPr>
    </w:p>
    <w:p w14:paraId="39D72200" w14:textId="77777777" w:rsidR="00175090" w:rsidRDefault="00175090" w:rsidP="003F6D94">
      <w:pPr>
        <w:spacing w:after="0" w:line="240" w:lineRule="auto"/>
        <w:ind w:firstLine="0"/>
        <w:jc w:val="left"/>
        <w:rPr>
          <w:b/>
        </w:rPr>
      </w:pPr>
    </w:p>
    <w:p w14:paraId="7C55026F" w14:textId="2A4F28A6" w:rsidR="00495E2C" w:rsidRPr="003B016F" w:rsidRDefault="00495E2C" w:rsidP="003F6D94">
      <w:pPr>
        <w:spacing w:after="0" w:line="240" w:lineRule="auto"/>
        <w:ind w:firstLine="0"/>
        <w:jc w:val="left"/>
        <w:rPr>
          <w:shd w:val="clear" w:color="auto" w:fill="FFFFFF"/>
        </w:rPr>
      </w:pPr>
      <w:r w:rsidRPr="001D37FC">
        <w:rPr>
          <w:b/>
        </w:rPr>
        <w:t>EMBRAPA</w:t>
      </w:r>
      <w:r w:rsidRPr="003B016F">
        <w:rPr>
          <w:shd w:val="clear" w:color="auto" w:fill="FFFFFF"/>
        </w:rPr>
        <w:t xml:space="preserve">. Empresa Brasileira de Pesquisa Agropecuaria: Centro Nacional de Pesquisa de soja. &lt;http:// www.embrapa.br/soja &gt;. </w:t>
      </w:r>
      <w:r w:rsidRPr="003B016F">
        <w:t>Acesso em: 20/06/2017</w:t>
      </w:r>
      <w:r w:rsidRPr="003B016F">
        <w:rPr>
          <w:shd w:val="clear" w:color="auto" w:fill="FFFFFF"/>
        </w:rPr>
        <w:t>.</w:t>
      </w:r>
    </w:p>
    <w:p w14:paraId="724859D4" w14:textId="70A76E9E" w:rsidR="00175090" w:rsidRDefault="00175090" w:rsidP="003F6D94">
      <w:pPr>
        <w:spacing w:after="0" w:line="240" w:lineRule="auto"/>
        <w:ind w:firstLine="0"/>
        <w:jc w:val="left"/>
        <w:rPr>
          <w:b/>
        </w:rPr>
      </w:pPr>
    </w:p>
    <w:p w14:paraId="624BA998" w14:textId="77777777" w:rsidR="003F6D94" w:rsidRDefault="003F6D94" w:rsidP="003F6D94">
      <w:pPr>
        <w:spacing w:after="0" w:line="240" w:lineRule="auto"/>
        <w:ind w:firstLine="0"/>
        <w:jc w:val="left"/>
        <w:rPr>
          <w:b/>
        </w:rPr>
      </w:pPr>
    </w:p>
    <w:p w14:paraId="38B98958" w14:textId="0BB61259" w:rsidR="00495E2C" w:rsidRDefault="00495E2C" w:rsidP="003F6D94">
      <w:pPr>
        <w:spacing w:after="0" w:line="240" w:lineRule="auto"/>
        <w:ind w:firstLine="0"/>
        <w:jc w:val="left"/>
        <w:rPr>
          <w:shd w:val="clear" w:color="auto" w:fill="FFFFFF"/>
        </w:rPr>
      </w:pPr>
      <w:r w:rsidRPr="001D37FC">
        <w:rPr>
          <w:b/>
        </w:rPr>
        <w:t>EMBRAPA</w:t>
      </w:r>
      <w:r w:rsidRPr="003B016F">
        <w:rPr>
          <w:shd w:val="clear" w:color="auto" w:fill="FFFFFF"/>
        </w:rPr>
        <w:t xml:space="preserve">. Empresa Brasileira de Pesquisa Agropecuaria: Centro Nacional de Pesquisa de soja. &lt;http:// www.embrapa.br/soja &gt;. </w:t>
      </w:r>
      <w:r w:rsidRPr="003B016F">
        <w:t>Acesso em: 03/08/2019</w:t>
      </w:r>
      <w:r w:rsidRPr="003B016F">
        <w:rPr>
          <w:shd w:val="clear" w:color="auto" w:fill="FFFFFF"/>
        </w:rPr>
        <w:t>.</w:t>
      </w:r>
    </w:p>
    <w:p w14:paraId="62EAA9E9" w14:textId="77777777" w:rsidR="003F6D94" w:rsidRPr="003B016F" w:rsidRDefault="003F6D94" w:rsidP="003F6D94">
      <w:pPr>
        <w:spacing w:after="0" w:line="240" w:lineRule="auto"/>
        <w:ind w:firstLine="0"/>
        <w:jc w:val="left"/>
        <w:rPr>
          <w:shd w:val="clear" w:color="auto" w:fill="FFFFFF"/>
        </w:rPr>
      </w:pPr>
    </w:p>
    <w:p w14:paraId="284548AF" w14:textId="77777777" w:rsidR="00175090" w:rsidRDefault="00175090" w:rsidP="003F6D94">
      <w:pPr>
        <w:spacing w:after="0" w:line="240" w:lineRule="auto"/>
        <w:ind w:firstLine="0"/>
        <w:jc w:val="left"/>
        <w:rPr>
          <w:shd w:val="clear" w:color="auto" w:fill="FFFFFF"/>
        </w:rPr>
      </w:pPr>
    </w:p>
    <w:p w14:paraId="0B52D22D" w14:textId="5CAB0756" w:rsidR="00495E2C" w:rsidRPr="003B016F" w:rsidRDefault="00495E2C" w:rsidP="003F6D94">
      <w:pPr>
        <w:spacing w:after="0" w:line="240" w:lineRule="auto"/>
        <w:ind w:firstLine="0"/>
        <w:jc w:val="left"/>
        <w:rPr>
          <w:shd w:val="clear" w:color="auto" w:fill="FFFFFF"/>
          <w:lang w:val="en-US"/>
        </w:rPr>
      </w:pPr>
      <w:r w:rsidRPr="001E6F8C">
        <w:rPr>
          <w:shd w:val="clear" w:color="auto" w:fill="FFFFFF"/>
        </w:rPr>
        <w:t xml:space="preserve">FEHR, W.R., AND C.E. CAVINESS. </w:t>
      </w:r>
      <w:r w:rsidRPr="003B016F">
        <w:rPr>
          <w:shd w:val="clear" w:color="auto" w:fill="FFFFFF"/>
          <w:lang w:val="en-US"/>
        </w:rPr>
        <w:t xml:space="preserve">1977. </w:t>
      </w:r>
      <w:r w:rsidRPr="001D37FC">
        <w:rPr>
          <w:b/>
          <w:shd w:val="clear" w:color="auto" w:fill="FFFFFF"/>
          <w:lang w:val="en-US"/>
        </w:rPr>
        <w:t>Stages of soybean development</w:t>
      </w:r>
      <w:r w:rsidRPr="003B016F">
        <w:rPr>
          <w:shd w:val="clear" w:color="auto" w:fill="FFFFFF"/>
          <w:lang w:val="en-US"/>
        </w:rPr>
        <w:t>. Special Report 80. Coop. Ext. Serv., Iowa State Univ., Ames, IA.</w:t>
      </w:r>
    </w:p>
    <w:p w14:paraId="3D4FF57D" w14:textId="5F8537B8" w:rsidR="00175090" w:rsidRDefault="00175090" w:rsidP="003F6D94">
      <w:pPr>
        <w:spacing w:after="0" w:line="240" w:lineRule="auto"/>
        <w:ind w:firstLine="0"/>
        <w:jc w:val="left"/>
        <w:rPr>
          <w:b/>
          <w:shd w:val="clear" w:color="auto" w:fill="FCFCFC"/>
          <w:lang w:val="en-US"/>
        </w:rPr>
      </w:pPr>
    </w:p>
    <w:p w14:paraId="14B77326" w14:textId="77777777" w:rsidR="003F6D94" w:rsidRDefault="003F6D94" w:rsidP="003F6D94">
      <w:pPr>
        <w:spacing w:after="0" w:line="240" w:lineRule="auto"/>
        <w:ind w:firstLine="0"/>
        <w:jc w:val="left"/>
        <w:rPr>
          <w:b/>
          <w:shd w:val="clear" w:color="auto" w:fill="FCFCFC"/>
          <w:lang w:val="en-US"/>
        </w:rPr>
      </w:pPr>
    </w:p>
    <w:p w14:paraId="0D552555" w14:textId="05021E45" w:rsidR="00495E2C" w:rsidRPr="003B016F" w:rsidRDefault="00495E2C" w:rsidP="003F6D94">
      <w:pPr>
        <w:spacing w:after="0" w:line="240" w:lineRule="auto"/>
        <w:ind w:firstLine="0"/>
        <w:jc w:val="left"/>
        <w:rPr>
          <w:shd w:val="clear" w:color="auto" w:fill="FCFCFC"/>
          <w:lang w:val="en-US"/>
        </w:rPr>
      </w:pPr>
      <w:r w:rsidRPr="00B336CA">
        <w:rPr>
          <w:b/>
          <w:shd w:val="clear" w:color="auto" w:fill="FCFCFC"/>
          <w:lang w:val="en-US"/>
        </w:rPr>
        <w:t>FRAC – Fungicide Resistance Action Committee (2018)</w:t>
      </w:r>
      <w:r w:rsidRPr="003B016F">
        <w:rPr>
          <w:shd w:val="clear" w:color="auto" w:fill="FCFCFC"/>
          <w:lang w:val="en-US"/>
        </w:rPr>
        <w:t>. FRAC Code List© 2019: Fungicides sorted by mode of action (including FRAC Code numbering). </w:t>
      </w:r>
      <w:r w:rsidRPr="003B016F">
        <w:rPr>
          <w:lang w:val="en-US"/>
        </w:rPr>
        <w:t>&lt;www.frac.info&gt; Acesso em: 20/07/2019.</w:t>
      </w:r>
    </w:p>
    <w:p w14:paraId="1B0B55CC" w14:textId="5CC94275" w:rsidR="00175090" w:rsidRDefault="00175090" w:rsidP="003F6D94">
      <w:pPr>
        <w:spacing w:after="0" w:line="240" w:lineRule="auto"/>
        <w:ind w:firstLine="0"/>
        <w:jc w:val="left"/>
        <w:rPr>
          <w:b/>
          <w:lang w:val="en-US"/>
        </w:rPr>
      </w:pPr>
    </w:p>
    <w:p w14:paraId="3007718D" w14:textId="77777777" w:rsidR="003F6D94" w:rsidRDefault="003F6D94" w:rsidP="003F6D94">
      <w:pPr>
        <w:spacing w:after="0" w:line="240" w:lineRule="auto"/>
        <w:ind w:firstLine="0"/>
        <w:jc w:val="left"/>
        <w:rPr>
          <w:b/>
          <w:lang w:val="en-US"/>
        </w:rPr>
      </w:pPr>
    </w:p>
    <w:p w14:paraId="21BC7439" w14:textId="3F898DA2" w:rsidR="000204B9" w:rsidRDefault="00495E2C" w:rsidP="003F6D94">
      <w:pPr>
        <w:spacing w:after="0" w:line="240" w:lineRule="auto"/>
        <w:ind w:firstLine="0"/>
        <w:jc w:val="left"/>
      </w:pPr>
      <w:r w:rsidRPr="00B336CA">
        <w:rPr>
          <w:b/>
          <w:lang w:val="en-US"/>
        </w:rPr>
        <w:t>FRAC (Fungicide resistance action committee)</w:t>
      </w:r>
      <w:r w:rsidRPr="003B016F">
        <w:rPr>
          <w:lang w:val="en-US"/>
        </w:rPr>
        <w:t xml:space="preserve">, Crop Life. </w:t>
      </w:r>
      <w:r w:rsidRPr="003B016F">
        <w:t>&lt;www.frac.info&gt; Acesso em: 15/07/2017.</w:t>
      </w:r>
    </w:p>
    <w:p w14:paraId="6CB72388" w14:textId="289BE90B" w:rsidR="00175090" w:rsidRDefault="00175090" w:rsidP="003F6D94">
      <w:pPr>
        <w:spacing w:after="0" w:line="240" w:lineRule="auto"/>
        <w:ind w:firstLine="0"/>
        <w:jc w:val="left"/>
        <w:rPr>
          <w:b/>
        </w:rPr>
      </w:pPr>
    </w:p>
    <w:p w14:paraId="00481508" w14:textId="77777777" w:rsidR="003F6D94" w:rsidRPr="001E6F8C" w:rsidRDefault="003F6D94" w:rsidP="003F6D94">
      <w:pPr>
        <w:spacing w:after="0" w:line="240" w:lineRule="auto"/>
        <w:ind w:firstLine="0"/>
        <w:jc w:val="left"/>
        <w:rPr>
          <w:b/>
        </w:rPr>
      </w:pPr>
    </w:p>
    <w:p w14:paraId="380DA421" w14:textId="685B72B3" w:rsidR="00495E2C" w:rsidRDefault="00495E2C" w:rsidP="003F6D94">
      <w:pPr>
        <w:spacing w:after="0" w:line="240" w:lineRule="auto"/>
        <w:ind w:firstLine="0"/>
        <w:jc w:val="left"/>
      </w:pPr>
      <w:r w:rsidRPr="00B336CA">
        <w:rPr>
          <w:b/>
          <w:lang w:val="en-US"/>
        </w:rPr>
        <w:t>FRAC (Fungicide resistance action committee)</w:t>
      </w:r>
      <w:r w:rsidRPr="003B016F">
        <w:rPr>
          <w:lang w:val="en-US"/>
        </w:rPr>
        <w:t xml:space="preserve">, Crop Life. </w:t>
      </w:r>
      <w:r w:rsidRPr="003B016F">
        <w:t>&lt;www.frac.info&gt; Acesso em: 15/07/2017.</w:t>
      </w:r>
    </w:p>
    <w:p w14:paraId="174C2FF9" w14:textId="60D91761" w:rsidR="003F6D94" w:rsidRDefault="003F6D94" w:rsidP="003F6D94">
      <w:pPr>
        <w:spacing w:after="0" w:line="240" w:lineRule="auto"/>
        <w:ind w:firstLine="0"/>
        <w:jc w:val="left"/>
      </w:pPr>
    </w:p>
    <w:p w14:paraId="0362DFB9" w14:textId="77777777" w:rsidR="003F6D94" w:rsidRDefault="003F6D94" w:rsidP="003F6D94">
      <w:pPr>
        <w:spacing w:after="0" w:line="240" w:lineRule="auto"/>
        <w:ind w:firstLine="0"/>
        <w:jc w:val="left"/>
      </w:pPr>
    </w:p>
    <w:p w14:paraId="03B7AEE7" w14:textId="77777777" w:rsidR="00495E2C" w:rsidRPr="003B016F" w:rsidRDefault="00495E2C" w:rsidP="003F6D94">
      <w:pPr>
        <w:spacing w:after="0" w:line="240" w:lineRule="auto"/>
        <w:ind w:firstLine="0"/>
        <w:jc w:val="left"/>
        <w:rPr>
          <w:lang w:val="en-US"/>
        </w:rPr>
      </w:pPr>
      <w:r w:rsidRPr="003B016F">
        <w:rPr>
          <w:lang w:val="en-US"/>
        </w:rPr>
        <w:t xml:space="preserve">FREIRE, M.C.M.; OLIVEIRA, L.O. de; ALMEIDA, A.M.R. de; SCHUSTER, I.; MOREIRA, M.A.; LIEBENBERG, M.M.; MIENIE, C.M.S. Evolutionary history of </w:t>
      </w:r>
      <w:r w:rsidRPr="003B016F">
        <w:rPr>
          <w:i/>
          <w:lang w:val="en-US"/>
        </w:rPr>
        <w:t>Phakopsora pachyrhizi</w:t>
      </w:r>
      <w:r w:rsidRPr="003B016F">
        <w:rPr>
          <w:lang w:val="en-US"/>
        </w:rPr>
        <w:t xml:space="preserve"> (the Asian soybean rust) in Brazil based on nucleotide sequences of the internal transcribed spacer region of the nuclear ribosomal DNA. </w:t>
      </w:r>
      <w:r w:rsidRPr="003B016F">
        <w:rPr>
          <w:b/>
          <w:lang w:val="en-US"/>
        </w:rPr>
        <w:t>Genetics and Molecular Biology</w:t>
      </w:r>
      <w:r w:rsidRPr="003B016F">
        <w:rPr>
          <w:lang w:val="en-US"/>
        </w:rPr>
        <w:t>, v.31, p.920-931, 2008.</w:t>
      </w:r>
    </w:p>
    <w:p w14:paraId="2E88B720" w14:textId="77777777" w:rsidR="00175090" w:rsidRDefault="00175090" w:rsidP="003F6D94">
      <w:pPr>
        <w:spacing w:after="0" w:line="240" w:lineRule="auto"/>
        <w:ind w:firstLine="0"/>
        <w:jc w:val="left"/>
        <w:rPr>
          <w:lang w:val="en-US"/>
        </w:rPr>
      </w:pPr>
    </w:p>
    <w:p w14:paraId="57C1193A" w14:textId="04DD0801" w:rsidR="00495E2C" w:rsidRPr="003B016F" w:rsidRDefault="00495E2C" w:rsidP="003F6D94">
      <w:pPr>
        <w:spacing w:after="0" w:line="240" w:lineRule="auto"/>
        <w:ind w:firstLine="0"/>
        <w:jc w:val="left"/>
        <w:rPr>
          <w:lang w:val="en-US"/>
        </w:rPr>
      </w:pPr>
      <w:r w:rsidRPr="001E6F8C">
        <w:rPr>
          <w:lang w:val="en-US"/>
        </w:rPr>
        <w:t xml:space="preserve">FURTADO, G.Q; ALVES, S.A.M.; CARNEIRO, L.C.; GODOY, C.V.; JÚNIOR, N.S.M.  </w:t>
      </w:r>
      <w:r w:rsidRPr="003B016F">
        <w:t xml:space="preserve">Influência do estádio fenológico e da idade dos trifólios de soja na infecção de </w:t>
      </w:r>
      <w:r w:rsidRPr="003B016F">
        <w:rPr>
          <w:i/>
        </w:rPr>
        <w:t>Phakopsora pachyrhizi</w:t>
      </w:r>
      <w:r w:rsidRPr="003B016F">
        <w:t xml:space="preserve">. </w:t>
      </w:r>
      <w:r w:rsidRPr="003B016F">
        <w:rPr>
          <w:b/>
          <w:lang w:val="en-US"/>
        </w:rPr>
        <w:t>Tropical Plant Pathology</w:t>
      </w:r>
      <w:r w:rsidRPr="003B016F">
        <w:rPr>
          <w:lang w:val="en-US"/>
        </w:rPr>
        <w:t>, v.34, n.2, p.118-122, 2009.</w:t>
      </w:r>
    </w:p>
    <w:p w14:paraId="3E7FC276" w14:textId="77777777" w:rsidR="00175090" w:rsidRDefault="00175090" w:rsidP="003F6D94">
      <w:pPr>
        <w:spacing w:after="0" w:line="240" w:lineRule="auto"/>
        <w:ind w:firstLine="0"/>
        <w:jc w:val="left"/>
        <w:rPr>
          <w:lang w:val="en-US"/>
        </w:rPr>
      </w:pPr>
    </w:p>
    <w:p w14:paraId="031C477D" w14:textId="77777777" w:rsidR="003F6D94" w:rsidRDefault="003F6D94" w:rsidP="003F6D94">
      <w:pPr>
        <w:spacing w:after="0" w:line="240" w:lineRule="auto"/>
        <w:ind w:firstLine="0"/>
        <w:jc w:val="left"/>
        <w:rPr>
          <w:lang w:val="en-US"/>
        </w:rPr>
      </w:pPr>
    </w:p>
    <w:p w14:paraId="44482005" w14:textId="16D4DE1C" w:rsidR="00495E2C" w:rsidRPr="003B016F" w:rsidRDefault="00495E2C" w:rsidP="003F6D94">
      <w:pPr>
        <w:spacing w:after="0" w:line="240" w:lineRule="auto"/>
        <w:ind w:firstLine="0"/>
        <w:jc w:val="left"/>
        <w:rPr>
          <w:lang w:val="en-US"/>
        </w:rPr>
      </w:pPr>
      <w:r w:rsidRPr="003B016F">
        <w:rPr>
          <w:lang w:val="en-US"/>
        </w:rPr>
        <w:t>GARCIA, A., CALVO, E., SOUZA KIIHL, R., HARADA, A., HIROMOTO, D.; VIEIRA, L. Molecular mapping of soybean rust (</w:t>
      </w:r>
      <w:r w:rsidRPr="003B016F">
        <w:rPr>
          <w:i/>
          <w:lang w:val="en-US"/>
        </w:rPr>
        <w:t>Phakopsora pachyrhizi</w:t>
      </w:r>
      <w:r w:rsidRPr="003B016F">
        <w:rPr>
          <w:lang w:val="en-US"/>
        </w:rPr>
        <w:t xml:space="preserve">) resistance genes: discovery of a novel locus and alleles. </w:t>
      </w:r>
      <w:r w:rsidRPr="003B016F">
        <w:rPr>
          <w:b/>
          <w:lang w:val="en-US"/>
        </w:rPr>
        <w:t>Theor. Appl. Genet</w:t>
      </w:r>
      <w:r w:rsidRPr="003B016F">
        <w:rPr>
          <w:lang w:val="en-US"/>
        </w:rPr>
        <w:t>. v.117, p. 545–553, 2008.</w:t>
      </w:r>
    </w:p>
    <w:p w14:paraId="6674B78C" w14:textId="7F599430" w:rsidR="00175090" w:rsidRDefault="00175090" w:rsidP="003F6D94">
      <w:pPr>
        <w:spacing w:after="0" w:line="240" w:lineRule="auto"/>
        <w:ind w:firstLine="0"/>
        <w:jc w:val="left"/>
        <w:rPr>
          <w:lang w:val="en-US"/>
        </w:rPr>
      </w:pPr>
    </w:p>
    <w:p w14:paraId="2A96E23C" w14:textId="77777777" w:rsidR="003F6D94" w:rsidRDefault="003F6D94" w:rsidP="003F6D94">
      <w:pPr>
        <w:spacing w:after="0" w:line="240" w:lineRule="auto"/>
        <w:ind w:firstLine="0"/>
        <w:jc w:val="left"/>
        <w:rPr>
          <w:lang w:val="en-US"/>
        </w:rPr>
      </w:pPr>
    </w:p>
    <w:p w14:paraId="30023439" w14:textId="47C240E1" w:rsidR="00495E2C" w:rsidRPr="003B016F" w:rsidRDefault="00495E2C" w:rsidP="003F6D94">
      <w:pPr>
        <w:spacing w:after="0" w:line="240" w:lineRule="auto"/>
        <w:ind w:firstLine="0"/>
        <w:jc w:val="left"/>
        <w:rPr>
          <w:lang w:val="en-US"/>
        </w:rPr>
      </w:pPr>
      <w:r w:rsidRPr="003B016F">
        <w:rPr>
          <w:lang w:val="en-US"/>
        </w:rPr>
        <w:t xml:space="preserve">GASPAR, G.G.; TAKAHASHI, H.W.; CANTERI, M.G. ALMEIDA, J.C.V. DE; FIORETTO, R.A.; ANDRADE, B.L.G.; FANTIN, L.H. Balance among calcium, magnesium and potassium levels affecting Asian Soybean Rust severity. </w:t>
      </w:r>
      <w:r w:rsidRPr="003B016F">
        <w:rPr>
          <w:b/>
          <w:lang w:val="en-US"/>
        </w:rPr>
        <w:t>Agronomy Science and Biotechnology</w:t>
      </w:r>
      <w:r w:rsidRPr="003B016F">
        <w:rPr>
          <w:lang w:val="en-US"/>
        </w:rPr>
        <w:t>, v.1, n. 1, p. 39 - 44, 2015.</w:t>
      </w:r>
    </w:p>
    <w:p w14:paraId="25B32925" w14:textId="7971E7BE" w:rsidR="00175090" w:rsidRDefault="00175090" w:rsidP="003F6D94">
      <w:pPr>
        <w:spacing w:after="0" w:line="240" w:lineRule="auto"/>
        <w:ind w:firstLine="0"/>
        <w:jc w:val="left"/>
        <w:rPr>
          <w:lang w:val="en-US"/>
        </w:rPr>
      </w:pPr>
    </w:p>
    <w:p w14:paraId="21D45CF6" w14:textId="77777777" w:rsidR="003F6D94" w:rsidRDefault="003F6D94" w:rsidP="003F6D94">
      <w:pPr>
        <w:spacing w:after="0" w:line="240" w:lineRule="auto"/>
        <w:ind w:firstLine="0"/>
        <w:jc w:val="left"/>
        <w:rPr>
          <w:lang w:val="en-US"/>
        </w:rPr>
      </w:pPr>
    </w:p>
    <w:p w14:paraId="39855B12" w14:textId="26B26AAD" w:rsidR="00495E2C" w:rsidRPr="003B016F" w:rsidRDefault="00495E2C" w:rsidP="003F6D94">
      <w:pPr>
        <w:spacing w:after="0" w:line="240" w:lineRule="auto"/>
        <w:ind w:firstLine="0"/>
        <w:jc w:val="left"/>
        <w:rPr>
          <w:lang w:val="en-US"/>
        </w:rPr>
      </w:pPr>
      <w:r w:rsidRPr="003B016F">
        <w:rPr>
          <w:lang w:val="en-US"/>
        </w:rPr>
        <w:t xml:space="preserve">GEORGOPOULOS, S.G., and ZIOGAS, B. N. A new class of carboxin resistant mutants of Ustilago maydis. Neth. </w:t>
      </w:r>
      <w:r w:rsidRPr="003B016F">
        <w:rPr>
          <w:b/>
          <w:lang w:val="en-US"/>
        </w:rPr>
        <w:t>J. Plant Pathol</w:t>
      </w:r>
      <w:r w:rsidRPr="003B016F">
        <w:rPr>
          <w:lang w:val="en-US"/>
        </w:rPr>
        <w:t>. v. 83. p. 235-242. 1977.</w:t>
      </w:r>
    </w:p>
    <w:p w14:paraId="1DC66B18" w14:textId="6AFF036F" w:rsidR="00175090" w:rsidRDefault="00175090" w:rsidP="003F6D94">
      <w:pPr>
        <w:spacing w:after="0" w:line="240" w:lineRule="auto"/>
        <w:ind w:firstLine="0"/>
        <w:jc w:val="left"/>
        <w:rPr>
          <w:shd w:val="clear" w:color="auto" w:fill="FFFFFF"/>
          <w:lang w:val="en-US"/>
        </w:rPr>
      </w:pPr>
    </w:p>
    <w:p w14:paraId="5433B0C2" w14:textId="77777777" w:rsidR="003F6D94" w:rsidRDefault="003F6D94" w:rsidP="003F6D94">
      <w:pPr>
        <w:spacing w:after="0" w:line="240" w:lineRule="auto"/>
        <w:ind w:firstLine="0"/>
        <w:jc w:val="left"/>
        <w:rPr>
          <w:shd w:val="clear" w:color="auto" w:fill="FFFFFF"/>
          <w:lang w:val="en-US"/>
        </w:rPr>
      </w:pPr>
    </w:p>
    <w:p w14:paraId="416CA9E9" w14:textId="653E300E" w:rsidR="00495E2C" w:rsidRPr="003B016F" w:rsidRDefault="00495E2C" w:rsidP="003F6D94">
      <w:pPr>
        <w:spacing w:after="0" w:line="240" w:lineRule="auto"/>
        <w:ind w:firstLine="0"/>
        <w:jc w:val="left"/>
        <w:rPr>
          <w:shd w:val="clear" w:color="auto" w:fill="FFFFFF"/>
          <w:lang w:val="en-US"/>
        </w:rPr>
      </w:pPr>
      <w:r w:rsidRPr="003B016F">
        <w:rPr>
          <w:shd w:val="clear" w:color="auto" w:fill="FFFFFF"/>
          <w:lang w:val="en-US"/>
        </w:rPr>
        <w:t>GISI, U.; SIEROTZKE, H.; COOK, A.; MCCAFFERY, A. </w:t>
      </w:r>
      <w:r w:rsidRPr="003B016F">
        <w:rPr>
          <w:rStyle w:val="ref-title"/>
          <w:shd w:val="clear" w:color="auto" w:fill="FFFFFF"/>
          <w:lang w:val="en-US"/>
        </w:rPr>
        <w:t>Mechanisms influencing the evolution of resistance to Qo inhibitor fungicides.</w:t>
      </w:r>
      <w:r w:rsidRPr="003B016F">
        <w:rPr>
          <w:shd w:val="clear" w:color="auto" w:fill="FFFFFF"/>
          <w:lang w:val="en-US"/>
        </w:rPr>
        <w:t> </w:t>
      </w:r>
      <w:r w:rsidRPr="003B016F">
        <w:rPr>
          <w:rStyle w:val="nfase"/>
          <w:b/>
          <w:shd w:val="clear" w:color="auto" w:fill="FFFFFF"/>
          <w:lang w:val="en-US"/>
        </w:rPr>
        <w:t>Pest Manage. Sci</w:t>
      </w:r>
      <w:r w:rsidRPr="003B016F">
        <w:rPr>
          <w:rStyle w:val="nfase"/>
          <w:shd w:val="clear" w:color="auto" w:fill="FFFFFF"/>
          <w:lang w:val="en-US"/>
        </w:rPr>
        <w:t>.,</w:t>
      </w:r>
      <w:r w:rsidRPr="003B016F">
        <w:rPr>
          <w:shd w:val="clear" w:color="auto" w:fill="FFFFFF"/>
          <w:lang w:val="en-US"/>
        </w:rPr>
        <w:t> v.</w:t>
      </w:r>
      <w:r w:rsidRPr="003B016F">
        <w:rPr>
          <w:rStyle w:val="ref-vol"/>
          <w:shd w:val="clear" w:color="auto" w:fill="FFFFFF"/>
          <w:lang w:val="en-US"/>
        </w:rPr>
        <w:t>58, p.</w:t>
      </w:r>
      <w:r w:rsidRPr="003B016F">
        <w:rPr>
          <w:shd w:val="clear" w:color="auto" w:fill="FFFFFF"/>
          <w:lang w:val="en-US"/>
        </w:rPr>
        <w:t> 859–867. 2002.</w:t>
      </w:r>
    </w:p>
    <w:p w14:paraId="116F480B" w14:textId="5E10F0FF" w:rsidR="00175090" w:rsidRDefault="00175090" w:rsidP="003F6D94">
      <w:pPr>
        <w:spacing w:after="0" w:line="240" w:lineRule="auto"/>
        <w:ind w:firstLine="0"/>
        <w:jc w:val="left"/>
        <w:rPr>
          <w:lang w:val="en-US"/>
        </w:rPr>
      </w:pPr>
    </w:p>
    <w:p w14:paraId="4AFA3D67" w14:textId="77777777" w:rsidR="003F6D94" w:rsidRDefault="003F6D94" w:rsidP="003F6D94">
      <w:pPr>
        <w:spacing w:after="0" w:line="240" w:lineRule="auto"/>
        <w:ind w:firstLine="0"/>
        <w:jc w:val="left"/>
        <w:rPr>
          <w:lang w:val="en-US"/>
        </w:rPr>
      </w:pPr>
    </w:p>
    <w:p w14:paraId="40960C7F" w14:textId="600741AC" w:rsidR="00495E2C" w:rsidRPr="003B016F" w:rsidRDefault="00495E2C" w:rsidP="003F6D94">
      <w:pPr>
        <w:spacing w:after="0" w:line="240" w:lineRule="auto"/>
        <w:ind w:firstLine="0"/>
        <w:jc w:val="left"/>
      </w:pPr>
      <w:r w:rsidRPr="003B016F">
        <w:rPr>
          <w:lang w:val="en-US"/>
        </w:rPr>
        <w:t xml:space="preserve">GODOY C.V.; UTIAMADA C.M.; SILVA L.H.C.P.; SIQUERI, F.V.; HENNING, A.A.; ROESE, A.D.; FORCELINI, C.A. et al. </w:t>
      </w:r>
      <w:r w:rsidRPr="003B016F">
        <w:rPr>
          <w:rStyle w:val="Forte"/>
        </w:rPr>
        <w:t xml:space="preserve">Eficiência de fungicidas para o controle da ferrugem asiática da soja, </w:t>
      </w:r>
      <w:r w:rsidRPr="003B016F">
        <w:rPr>
          <w:rStyle w:val="nfase"/>
          <w:b/>
          <w:bCs/>
        </w:rPr>
        <w:t>Phakopsora pachyrhizi</w:t>
      </w:r>
      <w:r w:rsidRPr="003B016F">
        <w:rPr>
          <w:rStyle w:val="Forte"/>
        </w:rPr>
        <w:t xml:space="preserve">, na safra 2009/10: </w:t>
      </w:r>
      <w:r w:rsidRPr="003B016F">
        <w:t>resultados sumarizados dos ensaios cooperativos. Londrina: Embrapa Soja, 2010. 8p. (Embrapa Soja. Circular Técnica 80).</w:t>
      </w:r>
    </w:p>
    <w:p w14:paraId="1FB42069" w14:textId="7D127F4B" w:rsidR="00175090" w:rsidRDefault="00175090" w:rsidP="003F6D94">
      <w:pPr>
        <w:spacing w:after="0" w:line="240" w:lineRule="auto"/>
        <w:ind w:firstLine="0"/>
        <w:jc w:val="left"/>
      </w:pPr>
    </w:p>
    <w:p w14:paraId="49AA4925" w14:textId="77777777" w:rsidR="003F6D94" w:rsidRDefault="003F6D94" w:rsidP="003F6D94">
      <w:pPr>
        <w:spacing w:after="0" w:line="240" w:lineRule="auto"/>
        <w:ind w:firstLine="0"/>
        <w:jc w:val="left"/>
      </w:pPr>
    </w:p>
    <w:p w14:paraId="1FBC1546" w14:textId="752B7854" w:rsidR="00495E2C" w:rsidRPr="003B016F" w:rsidRDefault="00495E2C" w:rsidP="003F6D94">
      <w:pPr>
        <w:spacing w:after="0" w:line="240" w:lineRule="auto"/>
        <w:ind w:firstLine="0"/>
        <w:jc w:val="left"/>
      </w:pPr>
      <w:r w:rsidRPr="003B016F">
        <w:t xml:space="preserve">GODOY, C. V.; FLAUSINO, A. M.  Efeito da temperatura na germinação de uredosporos de </w:t>
      </w:r>
      <w:r w:rsidRPr="003B016F">
        <w:rPr>
          <w:i/>
        </w:rPr>
        <w:t>Phakopsora pachyrhizi</w:t>
      </w:r>
      <w:r w:rsidRPr="003B016F">
        <w:t xml:space="preserve">, viabilidade e sobrevivência em diferentes condições de armazenamento. </w:t>
      </w:r>
      <w:r w:rsidRPr="003B016F">
        <w:rPr>
          <w:b/>
        </w:rPr>
        <w:t>Fitopatologia Brasileira</w:t>
      </w:r>
      <w:r w:rsidRPr="003B016F">
        <w:t>, Brasília, DF, 29 (Supl.):124. 2004.</w:t>
      </w:r>
    </w:p>
    <w:p w14:paraId="6D8A1239" w14:textId="24C4F5AC" w:rsidR="00175090" w:rsidRDefault="00175090" w:rsidP="003F6D94">
      <w:pPr>
        <w:spacing w:after="0" w:line="240" w:lineRule="auto"/>
        <w:ind w:firstLine="0"/>
        <w:jc w:val="left"/>
      </w:pPr>
    </w:p>
    <w:p w14:paraId="33118A2C" w14:textId="77777777" w:rsidR="003F6D94" w:rsidRDefault="003F6D94" w:rsidP="003F6D94">
      <w:pPr>
        <w:spacing w:after="0" w:line="240" w:lineRule="auto"/>
        <w:ind w:firstLine="0"/>
        <w:jc w:val="left"/>
      </w:pPr>
    </w:p>
    <w:p w14:paraId="54C424A2" w14:textId="42EE86C9" w:rsidR="00495E2C" w:rsidRDefault="00495E2C" w:rsidP="003F6D94">
      <w:pPr>
        <w:spacing w:after="0" w:line="240" w:lineRule="auto"/>
        <w:ind w:firstLine="0"/>
        <w:jc w:val="left"/>
      </w:pPr>
      <w:r w:rsidRPr="003B016F">
        <w:t>GODOY, C. V.; UTIAMADA, C. M.; MEYER, M. C.; CAMPOS, H. D.; FORCELINI, C. A.; PIMENTA, C. B. et al</w:t>
      </w:r>
      <w:r w:rsidRPr="003B016F">
        <w:rPr>
          <w:i/>
          <w:iCs/>
        </w:rPr>
        <w:t xml:space="preserve">. </w:t>
      </w:r>
      <w:r w:rsidRPr="00B64091">
        <w:rPr>
          <w:b/>
        </w:rPr>
        <w:t xml:space="preserve">Eficiência de fungicidas para o controle da ferrugem-asiática da soja, </w:t>
      </w:r>
      <w:r w:rsidRPr="00B64091">
        <w:rPr>
          <w:b/>
          <w:i/>
          <w:iCs/>
        </w:rPr>
        <w:t>Phakopsora pachyrhizi</w:t>
      </w:r>
      <w:r w:rsidRPr="00B64091">
        <w:rPr>
          <w:b/>
        </w:rPr>
        <w:t>, na safra 2015/16: resultados sumarizados dos ensaios cooperativos</w:t>
      </w:r>
      <w:r w:rsidRPr="003B016F">
        <w:t>. Circular Técnica 119. Londrina: EMBRAPA, 2016.</w:t>
      </w:r>
    </w:p>
    <w:p w14:paraId="53B5ADD3" w14:textId="77777777" w:rsidR="003F6D94" w:rsidRDefault="003F6D94" w:rsidP="003F6D94">
      <w:pPr>
        <w:spacing w:after="0" w:line="240" w:lineRule="auto"/>
        <w:ind w:firstLine="0"/>
        <w:jc w:val="left"/>
      </w:pPr>
    </w:p>
    <w:p w14:paraId="0239CB84" w14:textId="77777777" w:rsidR="00175090" w:rsidRPr="003B016F" w:rsidRDefault="00175090" w:rsidP="003F6D94">
      <w:pPr>
        <w:spacing w:after="0" w:line="240" w:lineRule="auto"/>
        <w:ind w:firstLine="0"/>
        <w:jc w:val="left"/>
      </w:pPr>
    </w:p>
    <w:p w14:paraId="352E827F" w14:textId="77777777" w:rsidR="00495E2C" w:rsidRPr="003B016F" w:rsidRDefault="00495E2C" w:rsidP="003F6D94">
      <w:pPr>
        <w:spacing w:after="0" w:line="240" w:lineRule="auto"/>
        <w:ind w:firstLine="0"/>
        <w:jc w:val="left"/>
      </w:pPr>
      <w:r w:rsidRPr="003B016F">
        <w:t xml:space="preserve">GODOY, C. V.; UTIAMADA, C. M.; MEYER, M. C.; CAMPOS, H. D.; PIMENTA, C. B.; CASSETARI NETO, D. et al. </w:t>
      </w:r>
      <w:r w:rsidRPr="00B64091">
        <w:rPr>
          <w:b/>
        </w:rPr>
        <w:t xml:space="preserve">Eficiência de fungicidas para o controle da ferrugem-asiática da soja, </w:t>
      </w:r>
      <w:r w:rsidRPr="00B64091">
        <w:rPr>
          <w:b/>
          <w:i/>
          <w:iCs/>
        </w:rPr>
        <w:t>Phakopsora pachyrhizi</w:t>
      </w:r>
      <w:r w:rsidRPr="00B64091">
        <w:rPr>
          <w:b/>
        </w:rPr>
        <w:t>, na safra 2012/13: resultados sumarizados dos ensaios cooperativos</w:t>
      </w:r>
      <w:r w:rsidRPr="003B016F">
        <w:t>. Circular Técnica 99. Londrina: EMBRAPA, 2013.</w:t>
      </w:r>
    </w:p>
    <w:p w14:paraId="29C4249C" w14:textId="7BDA6B90" w:rsidR="00175090" w:rsidRDefault="00175090" w:rsidP="003F6D94">
      <w:pPr>
        <w:spacing w:after="0" w:line="240" w:lineRule="auto"/>
        <w:ind w:firstLine="0"/>
        <w:jc w:val="left"/>
      </w:pPr>
    </w:p>
    <w:p w14:paraId="055D7372" w14:textId="77777777" w:rsidR="003F6D94" w:rsidRDefault="003F6D94" w:rsidP="003F6D94">
      <w:pPr>
        <w:spacing w:after="0" w:line="240" w:lineRule="auto"/>
        <w:ind w:firstLine="0"/>
        <w:jc w:val="left"/>
      </w:pPr>
    </w:p>
    <w:p w14:paraId="45AB4301" w14:textId="7E414A16" w:rsidR="00495E2C" w:rsidRPr="003B016F" w:rsidRDefault="00495E2C" w:rsidP="003F6D94">
      <w:pPr>
        <w:spacing w:after="0" w:line="240" w:lineRule="auto"/>
        <w:ind w:firstLine="0"/>
        <w:jc w:val="left"/>
      </w:pPr>
      <w:r w:rsidRPr="003B016F">
        <w:t xml:space="preserve">GODOY, C. V.; UTIAMADA, C. M.; MEYER, M. C.; CAMPOS, H. D.; PIMENTA, C. B.; CASSETARI NETO, D. et al. </w:t>
      </w:r>
      <w:r w:rsidRPr="00B64091">
        <w:rPr>
          <w:b/>
        </w:rPr>
        <w:t xml:space="preserve">Eficiência de fungicidas para o controle da ferrugem-asiática da soja, </w:t>
      </w:r>
      <w:r w:rsidRPr="00B64091">
        <w:rPr>
          <w:b/>
          <w:i/>
          <w:iCs/>
        </w:rPr>
        <w:t>Phakopsora pachyrhizi</w:t>
      </w:r>
      <w:r w:rsidRPr="00B64091">
        <w:rPr>
          <w:b/>
        </w:rPr>
        <w:t>, na safra 2013/14: resultados sumarizados dos ensaios cooperativos</w:t>
      </w:r>
      <w:r w:rsidRPr="003B016F">
        <w:t xml:space="preserve">. Circular Técnica 103. Londrina: EMBRAPA, 2014. </w:t>
      </w:r>
    </w:p>
    <w:p w14:paraId="4883426C" w14:textId="6D2280E7" w:rsidR="00175090" w:rsidRDefault="00175090" w:rsidP="003F6D94">
      <w:pPr>
        <w:spacing w:after="0" w:line="240" w:lineRule="auto"/>
        <w:ind w:firstLine="0"/>
        <w:jc w:val="left"/>
      </w:pPr>
    </w:p>
    <w:p w14:paraId="5FB8095D" w14:textId="77777777" w:rsidR="003F6D94" w:rsidRDefault="003F6D94" w:rsidP="003F6D94">
      <w:pPr>
        <w:spacing w:after="0" w:line="240" w:lineRule="auto"/>
        <w:ind w:firstLine="0"/>
        <w:jc w:val="left"/>
      </w:pPr>
    </w:p>
    <w:p w14:paraId="7B24356F" w14:textId="324C20E8" w:rsidR="00495E2C" w:rsidRDefault="00495E2C" w:rsidP="003F6D94">
      <w:pPr>
        <w:spacing w:after="0" w:line="240" w:lineRule="auto"/>
        <w:ind w:firstLine="0"/>
        <w:jc w:val="left"/>
        <w:rPr>
          <w:lang w:val="en-US"/>
        </w:rPr>
      </w:pPr>
      <w:r w:rsidRPr="003B016F">
        <w:t>GODOY, C. V.; UTIAMADA, C. M.; MEYER, M. C.; CAMPOS, H. D.; PIMENTA, C. B.; CASSETARI NETO, D. et al</w:t>
      </w:r>
      <w:r w:rsidRPr="00B64091">
        <w:t>.</w:t>
      </w:r>
      <w:r w:rsidRPr="00B64091">
        <w:rPr>
          <w:b/>
        </w:rPr>
        <w:t xml:space="preserve"> Eficiência de fungicidas para o controle da ferrugem-asiática da soja, </w:t>
      </w:r>
      <w:r w:rsidRPr="00B64091">
        <w:rPr>
          <w:b/>
          <w:i/>
          <w:iCs/>
        </w:rPr>
        <w:t>Phakopsora pachyrhizi</w:t>
      </w:r>
      <w:r w:rsidRPr="00B64091">
        <w:rPr>
          <w:b/>
        </w:rPr>
        <w:t>, na safra 2014/15: resultados sumarizados dos ensaios cooperativos</w:t>
      </w:r>
      <w:r w:rsidRPr="003B016F">
        <w:t xml:space="preserve">. </w:t>
      </w:r>
      <w:r w:rsidRPr="003B016F">
        <w:rPr>
          <w:lang w:val="en-US"/>
        </w:rPr>
        <w:t xml:space="preserve">Circular Técnica 111. Londrina: EMBRAPA, 2015. </w:t>
      </w:r>
    </w:p>
    <w:p w14:paraId="2D97423E" w14:textId="77777777" w:rsidR="003F6D94" w:rsidRPr="003B016F" w:rsidRDefault="003F6D94" w:rsidP="003F6D94">
      <w:pPr>
        <w:spacing w:after="0" w:line="240" w:lineRule="auto"/>
        <w:ind w:firstLine="0"/>
        <w:jc w:val="left"/>
        <w:rPr>
          <w:lang w:val="en-US"/>
        </w:rPr>
      </w:pPr>
    </w:p>
    <w:p w14:paraId="0E3CE91D" w14:textId="77777777" w:rsidR="005025B8" w:rsidRDefault="005025B8" w:rsidP="003F6D94">
      <w:pPr>
        <w:spacing w:after="0" w:line="240" w:lineRule="auto"/>
        <w:ind w:firstLine="0"/>
        <w:jc w:val="left"/>
        <w:rPr>
          <w:lang w:val="en-US"/>
        </w:rPr>
      </w:pPr>
    </w:p>
    <w:p w14:paraId="4F5D30ED" w14:textId="1ED515D3" w:rsidR="00495E2C" w:rsidRDefault="00495E2C" w:rsidP="003F6D94">
      <w:pPr>
        <w:spacing w:after="0" w:line="240" w:lineRule="auto"/>
        <w:ind w:firstLine="0"/>
        <w:jc w:val="left"/>
      </w:pPr>
      <w:r w:rsidRPr="003B016F">
        <w:rPr>
          <w:lang w:val="en-US"/>
        </w:rPr>
        <w:t xml:space="preserve">GODOY, C.V. </w:t>
      </w:r>
      <w:r w:rsidRPr="003B016F">
        <w:rPr>
          <w:b/>
          <w:lang w:val="en-US"/>
        </w:rPr>
        <w:t>Risk and management of fungicide resistance in the Asian soybean rust fungus Phakopsora pachyrhizi</w:t>
      </w:r>
      <w:r w:rsidRPr="003B016F">
        <w:rPr>
          <w:lang w:val="en-US"/>
        </w:rPr>
        <w:t xml:space="preserve">. In: THIND, T.S. (Ed.). Fungicide resistance in crop protection: risk and management. </w:t>
      </w:r>
      <w:r w:rsidRPr="003B016F">
        <w:t xml:space="preserve">London, UK: CABI, 2012. p.87-95. </w:t>
      </w:r>
    </w:p>
    <w:p w14:paraId="6FB2F633" w14:textId="77777777" w:rsidR="003F6D94" w:rsidRPr="003B016F" w:rsidRDefault="003F6D94" w:rsidP="003F6D94">
      <w:pPr>
        <w:spacing w:after="0" w:line="240" w:lineRule="auto"/>
        <w:ind w:firstLine="0"/>
        <w:jc w:val="left"/>
      </w:pPr>
    </w:p>
    <w:p w14:paraId="7648C177" w14:textId="77777777" w:rsidR="005025B8" w:rsidRDefault="005025B8" w:rsidP="003F6D94">
      <w:pPr>
        <w:spacing w:after="0" w:line="240" w:lineRule="auto"/>
        <w:ind w:firstLine="0"/>
        <w:jc w:val="left"/>
      </w:pPr>
    </w:p>
    <w:p w14:paraId="1753548B" w14:textId="3F9BE55C" w:rsidR="00495E2C" w:rsidRDefault="00495E2C" w:rsidP="003F6D94">
      <w:pPr>
        <w:spacing w:after="0" w:line="240" w:lineRule="auto"/>
        <w:ind w:firstLine="0"/>
        <w:jc w:val="left"/>
      </w:pPr>
      <w:r w:rsidRPr="003B016F">
        <w:t xml:space="preserve">GODOY, C.V.; CANTERI, M.G. Efeitos protetor, curativo e erradicante de fungicidas no controle da ferrugem da soja causada por </w:t>
      </w:r>
      <w:r w:rsidRPr="003B016F">
        <w:rPr>
          <w:i/>
        </w:rPr>
        <w:t>Phakopsora pachyrhizi</w:t>
      </w:r>
      <w:r w:rsidRPr="003B016F">
        <w:t xml:space="preserve">, em casa de vegetação. </w:t>
      </w:r>
      <w:r w:rsidRPr="003B016F">
        <w:rPr>
          <w:b/>
        </w:rPr>
        <w:t>Fitopatologia Brasileira</w:t>
      </w:r>
      <w:r w:rsidRPr="003B016F">
        <w:t>, Brasília, v.29, p.97-101. 2004.</w:t>
      </w:r>
    </w:p>
    <w:p w14:paraId="5ABAC460" w14:textId="77777777" w:rsidR="003F6D94" w:rsidRPr="003B016F" w:rsidRDefault="003F6D94" w:rsidP="003F6D94">
      <w:pPr>
        <w:spacing w:after="0" w:line="240" w:lineRule="auto"/>
        <w:ind w:firstLine="0"/>
        <w:jc w:val="left"/>
      </w:pPr>
    </w:p>
    <w:p w14:paraId="1A668249" w14:textId="77777777" w:rsidR="005025B8" w:rsidRDefault="005025B8" w:rsidP="003F6D94">
      <w:pPr>
        <w:spacing w:after="0" w:line="240" w:lineRule="auto"/>
        <w:ind w:firstLine="0"/>
        <w:jc w:val="left"/>
      </w:pPr>
    </w:p>
    <w:p w14:paraId="716B062B" w14:textId="4A0C7B6E" w:rsidR="00495E2C" w:rsidRDefault="00495E2C" w:rsidP="003F6D94">
      <w:pPr>
        <w:spacing w:after="0" w:line="240" w:lineRule="auto"/>
        <w:ind w:firstLine="0"/>
        <w:jc w:val="left"/>
        <w:rPr>
          <w:lang w:val="en-GB"/>
        </w:rPr>
      </w:pPr>
      <w:r w:rsidRPr="003B016F">
        <w:t xml:space="preserve">GODOY, C.V.; SEIXAS, C.D.S.; SOARES, R.M.; MARCELINO-GUIMARAES, F.C.; MEYER, M.C.; COSTAMILAN, L.M. 2016. </w:t>
      </w:r>
      <w:r w:rsidRPr="003B016F">
        <w:rPr>
          <w:lang w:val="en-GB"/>
        </w:rPr>
        <w:t xml:space="preserve">Asian soybean rust in Brazil: past, present, and future. </w:t>
      </w:r>
      <w:r w:rsidRPr="003B016F">
        <w:rPr>
          <w:b/>
          <w:lang w:val="en-GB"/>
        </w:rPr>
        <w:t>Pesquisa Agropecuaria Brasileira</w:t>
      </w:r>
      <w:r w:rsidRPr="003B016F">
        <w:rPr>
          <w:lang w:val="en-GB"/>
        </w:rPr>
        <w:t>. v. 51. p. 407–421.</w:t>
      </w:r>
    </w:p>
    <w:p w14:paraId="5BE7FBA8" w14:textId="77777777" w:rsidR="003F6D94" w:rsidRPr="003B016F" w:rsidRDefault="003F6D94" w:rsidP="003F6D94">
      <w:pPr>
        <w:spacing w:after="0" w:line="240" w:lineRule="auto"/>
        <w:ind w:firstLine="0"/>
        <w:jc w:val="left"/>
        <w:rPr>
          <w:lang w:val="en-GB"/>
        </w:rPr>
      </w:pPr>
    </w:p>
    <w:p w14:paraId="5CDE60E2" w14:textId="77777777" w:rsidR="005025B8" w:rsidRDefault="005025B8" w:rsidP="003F6D94">
      <w:pPr>
        <w:spacing w:after="0" w:line="240" w:lineRule="auto"/>
        <w:ind w:firstLine="0"/>
        <w:jc w:val="left"/>
        <w:rPr>
          <w:lang w:val="en-US"/>
        </w:rPr>
      </w:pPr>
    </w:p>
    <w:p w14:paraId="5F80A780" w14:textId="640E42F1" w:rsidR="00495E2C" w:rsidRDefault="00495E2C" w:rsidP="003F6D94">
      <w:pPr>
        <w:spacing w:after="0" w:line="240" w:lineRule="auto"/>
        <w:ind w:firstLine="0"/>
        <w:jc w:val="left"/>
      </w:pPr>
      <w:r w:rsidRPr="003B016F">
        <w:rPr>
          <w:lang w:val="en-US"/>
        </w:rPr>
        <w:t xml:space="preserve">GODOY, C.V.; UTIAMADA, C.M. MEYER, M.C.; CAMPOS, H.D.; LOPES, I.O.N.; FORCELINI, C.A. et al. </w:t>
      </w:r>
      <w:r w:rsidRPr="003B016F">
        <w:rPr>
          <w:b/>
          <w:bCs/>
          <w:lang w:val="en-US"/>
        </w:rPr>
        <w:t xml:space="preserve"> </w:t>
      </w:r>
      <w:r w:rsidRPr="003B016F">
        <w:rPr>
          <w:b/>
          <w:bCs/>
        </w:rPr>
        <w:t xml:space="preserve">Eficiência de fungicidas para o controleda ferrugem-asiática da soja, </w:t>
      </w:r>
      <w:r w:rsidRPr="003B016F">
        <w:rPr>
          <w:b/>
          <w:bCs/>
          <w:i/>
          <w:iCs/>
        </w:rPr>
        <w:t>Phakopsora pachyrhizi</w:t>
      </w:r>
      <w:r w:rsidRPr="003B016F">
        <w:rPr>
          <w:b/>
          <w:bCs/>
        </w:rPr>
        <w:t>, na safra</w:t>
      </w:r>
      <w:r w:rsidRPr="003B016F">
        <w:t xml:space="preserve"> </w:t>
      </w:r>
      <w:r w:rsidRPr="003B016F">
        <w:rPr>
          <w:b/>
          <w:bCs/>
        </w:rPr>
        <w:t xml:space="preserve">2016/17: </w:t>
      </w:r>
      <w:r w:rsidRPr="003B016F">
        <w:t>resultados sumarizados dos ensaios cooperativos. Circular Técnica 129.  Londrina: EMBRAPA, 2017.</w:t>
      </w:r>
    </w:p>
    <w:p w14:paraId="122AF1EB" w14:textId="77777777" w:rsidR="003F6D94" w:rsidRPr="003B016F" w:rsidRDefault="003F6D94" w:rsidP="003F6D94">
      <w:pPr>
        <w:spacing w:after="0" w:line="240" w:lineRule="auto"/>
        <w:ind w:firstLine="0"/>
        <w:jc w:val="left"/>
      </w:pPr>
    </w:p>
    <w:p w14:paraId="23C99356" w14:textId="77777777" w:rsidR="005025B8" w:rsidRDefault="005025B8" w:rsidP="003F6D94">
      <w:pPr>
        <w:spacing w:after="0" w:line="240" w:lineRule="auto"/>
        <w:ind w:firstLine="0"/>
        <w:jc w:val="left"/>
      </w:pPr>
    </w:p>
    <w:p w14:paraId="48E16F44" w14:textId="6DAE4DEB" w:rsidR="00495E2C" w:rsidRDefault="00495E2C" w:rsidP="003F6D94">
      <w:pPr>
        <w:spacing w:after="0" w:line="240" w:lineRule="auto"/>
        <w:ind w:firstLine="0"/>
        <w:jc w:val="left"/>
      </w:pPr>
      <w:r w:rsidRPr="003B016F">
        <w:t xml:space="preserve">GODOY, C.V.; UTIAMADA, C.M. MEYER, M.C.; CAMPOS, H.D.; LOPES, I.O.N.; FORCELINI, C.A. et al. </w:t>
      </w:r>
      <w:r w:rsidRPr="003B016F">
        <w:rPr>
          <w:b/>
          <w:bCs/>
        </w:rPr>
        <w:t xml:space="preserve"> Eficiência de fungicidas para o controleda ferrugem-asiática da soja, </w:t>
      </w:r>
      <w:r w:rsidRPr="003B016F">
        <w:rPr>
          <w:b/>
          <w:bCs/>
          <w:i/>
          <w:iCs/>
        </w:rPr>
        <w:t>Phakopsora pachyrhizi</w:t>
      </w:r>
      <w:r w:rsidRPr="003B016F">
        <w:rPr>
          <w:b/>
          <w:bCs/>
        </w:rPr>
        <w:t>, na safra</w:t>
      </w:r>
      <w:r w:rsidRPr="003B016F">
        <w:t xml:space="preserve"> </w:t>
      </w:r>
      <w:r w:rsidRPr="003B016F">
        <w:rPr>
          <w:b/>
          <w:bCs/>
        </w:rPr>
        <w:t xml:space="preserve">2017/18: </w:t>
      </w:r>
      <w:r w:rsidRPr="003B016F">
        <w:t>resultados sumarizados dos ensaios cooperativos. Circular Técnica 138.  Londrina: EMBRAPA, 2018.</w:t>
      </w:r>
    </w:p>
    <w:p w14:paraId="52F0342B" w14:textId="77777777" w:rsidR="003F6D94" w:rsidRPr="003B016F" w:rsidRDefault="003F6D94" w:rsidP="003F6D94">
      <w:pPr>
        <w:spacing w:after="0" w:line="240" w:lineRule="auto"/>
        <w:ind w:firstLine="0"/>
        <w:jc w:val="left"/>
      </w:pPr>
    </w:p>
    <w:p w14:paraId="575DEF32" w14:textId="77777777" w:rsidR="005025B8" w:rsidRDefault="005025B8" w:rsidP="003F6D94">
      <w:pPr>
        <w:spacing w:after="0" w:line="240" w:lineRule="auto"/>
        <w:ind w:firstLine="0"/>
        <w:jc w:val="left"/>
        <w:rPr>
          <w:shd w:val="clear" w:color="auto" w:fill="FFFFFF"/>
        </w:rPr>
      </w:pPr>
    </w:p>
    <w:p w14:paraId="5811C21B" w14:textId="148F7A19" w:rsidR="00495E2C" w:rsidRDefault="00495E2C" w:rsidP="003F6D94">
      <w:pPr>
        <w:spacing w:after="0" w:line="240" w:lineRule="auto"/>
        <w:ind w:firstLine="0"/>
        <w:jc w:val="left"/>
        <w:rPr>
          <w:shd w:val="clear" w:color="auto" w:fill="FFFFFF"/>
          <w:lang w:val="en-US"/>
        </w:rPr>
      </w:pPr>
      <w:r w:rsidRPr="001E6F8C">
        <w:rPr>
          <w:shd w:val="clear" w:color="auto" w:fill="FFFFFF"/>
        </w:rPr>
        <w:t>GRASSO, V.; PALERMO, S.; SIEROTZKI, H.; GARIBALDI, A.; GISI, U. </w:t>
      </w:r>
      <w:r w:rsidRPr="001E6F8C">
        <w:rPr>
          <w:rStyle w:val="ref-title"/>
          <w:shd w:val="clear" w:color="auto" w:fill="FFFFFF"/>
        </w:rPr>
        <w:t>Cytochrome b gene structure and consequences for resistance to Qo inhibitor fungicides in plant pathogens.</w:t>
      </w:r>
      <w:r w:rsidRPr="001E6F8C">
        <w:rPr>
          <w:shd w:val="clear" w:color="auto" w:fill="FFFFFF"/>
        </w:rPr>
        <w:t> </w:t>
      </w:r>
      <w:r w:rsidRPr="003B016F">
        <w:rPr>
          <w:rStyle w:val="nfase"/>
          <w:b/>
          <w:shd w:val="clear" w:color="auto" w:fill="FFFFFF"/>
          <w:lang w:val="en-US"/>
        </w:rPr>
        <w:t>Pest Manag. Sci</w:t>
      </w:r>
      <w:r w:rsidRPr="003B016F">
        <w:rPr>
          <w:rStyle w:val="nfase"/>
          <w:shd w:val="clear" w:color="auto" w:fill="FFFFFF"/>
          <w:lang w:val="en-US"/>
        </w:rPr>
        <w:t>.</w:t>
      </w:r>
      <w:r w:rsidRPr="003B016F">
        <w:rPr>
          <w:shd w:val="clear" w:color="auto" w:fill="FFFFFF"/>
          <w:lang w:val="en-US"/>
        </w:rPr>
        <w:t xml:space="preserve"> v. </w:t>
      </w:r>
      <w:r w:rsidRPr="003B016F">
        <w:rPr>
          <w:rStyle w:val="ref-vol"/>
          <w:shd w:val="clear" w:color="auto" w:fill="FFFFFF"/>
          <w:lang w:val="en-US"/>
        </w:rPr>
        <w:t>62,</w:t>
      </w:r>
      <w:r w:rsidRPr="003B016F">
        <w:rPr>
          <w:shd w:val="clear" w:color="auto" w:fill="FFFFFF"/>
          <w:lang w:val="en-US"/>
        </w:rPr>
        <w:t> p.465–472, 2006.</w:t>
      </w:r>
    </w:p>
    <w:p w14:paraId="5F4BCD9F" w14:textId="7A1C43F8" w:rsidR="003F6D94" w:rsidRDefault="003F6D94" w:rsidP="003F6D94">
      <w:pPr>
        <w:spacing w:after="0" w:line="240" w:lineRule="auto"/>
        <w:ind w:firstLine="0"/>
        <w:jc w:val="left"/>
        <w:rPr>
          <w:shd w:val="clear" w:color="auto" w:fill="FFFFFF"/>
          <w:lang w:val="en-US"/>
        </w:rPr>
      </w:pPr>
    </w:p>
    <w:p w14:paraId="296880EC" w14:textId="77777777" w:rsidR="003F6D94" w:rsidRDefault="003F6D94" w:rsidP="003F6D94">
      <w:pPr>
        <w:spacing w:after="0" w:line="240" w:lineRule="auto"/>
        <w:ind w:firstLine="0"/>
        <w:jc w:val="left"/>
        <w:rPr>
          <w:shd w:val="clear" w:color="auto" w:fill="FFFFFF"/>
          <w:lang w:val="en-US"/>
        </w:rPr>
      </w:pPr>
    </w:p>
    <w:p w14:paraId="37EE9273" w14:textId="6D388D34" w:rsidR="00495E2C" w:rsidRDefault="00495E2C" w:rsidP="003F6D94">
      <w:pPr>
        <w:spacing w:after="0" w:line="240" w:lineRule="auto"/>
        <w:ind w:firstLine="0"/>
        <w:jc w:val="left"/>
        <w:rPr>
          <w:lang w:val="en-US"/>
        </w:rPr>
      </w:pPr>
      <w:r w:rsidRPr="003B016F">
        <w:rPr>
          <w:lang w:val="en-US"/>
        </w:rPr>
        <w:t>GULLINO, M.L.; TINIVELLA, F.; GARIBALDI, A.; KEMMITT, G. M.; BACCI, L.; SHEPPARD, B. Mancozeb, past, present and future</w:t>
      </w:r>
      <w:r w:rsidRPr="003B016F">
        <w:rPr>
          <w:b/>
          <w:lang w:val="en-US"/>
        </w:rPr>
        <w:t>. Plant Disease,</w:t>
      </w:r>
      <w:r w:rsidRPr="003B016F">
        <w:rPr>
          <w:lang w:val="en-US"/>
        </w:rPr>
        <w:t xml:space="preserve"> St. Paul, v. 94, n. 9, p. 1076-1087. 2010.</w:t>
      </w:r>
    </w:p>
    <w:p w14:paraId="2D8DFD80" w14:textId="77777777" w:rsidR="005025B8" w:rsidRPr="003B016F" w:rsidRDefault="005025B8" w:rsidP="003F6D94">
      <w:pPr>
        <w:spacing w:after="0" w:line="240" w:lineRule="auto"/>
        <w:ind w:firstLine="0"/>
        <w:jc w:val="left"/>
        <w:rPr>
          <w:lang w:val="en-US"/>
        </w:rPr>
      </w:pPr>
    </w:p>
    <w:p w14:paraId="5675083D" w14:textId="3B42E9D9" w:rsidR="00495E2C" w:rsidRDefault="00495E2C" w:rsidP="003F6D94">
      <w:pPr>
        <w:spacing w:after="0" w:line="240" w:lineRule="auto"/>
        <w:ind w:firstLine="0"/>
        <w:jc w:val="left"/>
        <w:rPr>
          <w:lang w:val="en-US"/>
        </w:rPr>
      </w:pPr>
      <w:r w:rsidRPr="003B016F">
        <w:rPr>
          <w:lang w:val="en-US"/>
        </w:rPr>
        <w:t xml:space="preserve">HARMON, P. F., MOMOL, M. T., MAROIS, J. J., DANKERS, H., AND HARMON, C. L. </w:t>
      </w:r>
      <w:r w:rsidRPr="003B016F">
        <w:rPr>
          <w:b/>
          <w:lang w:val="en-US"/>
        </w:rPr>
        <w:t xml:space="preserve">Asian soybean rust caused by </w:t>
      </w:r>
      <w:r w:rsidRPr="003B016F">
        <w:rPr>
          <w:b/>
          <w:i/>
          <w:lang w:val="en-US"/>
        </w:rPr>
        <w:t>Phakopsora pachyrhizi</w:t>
      </w:r>
      <w:r w:rsidRPr="003B016F">
        <w:rPr>
          <w:b/>
          <w:lang w:val="en-US"/>
        </w:rPr>
        <w:t xml:space="preserve"> on soybean and kudzu in Florida. </w:t>
      </w:r>
      <w:r w:rsidRPr="003B016F">
        <w:rPr>
          <w:lang w:val="en-US"/>
        </w:rPr>
        <w:t>2005. Online publication. doi:10.1094/PHP-2005-0613-01RS. Plant Health Progress.</w:t>
      </w:r>
    </w:p>
    <w:p w14:paraId="1111F537" w14:textId="2926B314" w:rsidR="005025B8" w:rsidRDefault="005025B8" w:rsidP="003F6D94">
      <w:pPr>
        <w:spacing w:after="0" w:line="240" w:lineRule="auto"/>
        <w:ind w:firstLine="0"/>
        <w:jc w:val="left"/>
        <w:rPr>
          <w:lang w:val="en-US"/>
        </w:rPr>
      </w:pPr>
    </w:p>
    <w:p w14:paraId="4CB0DBD5" w14:textId="77777777" w:rsidR="003F6D94" w:rsidRPr="003B016F" w:rsidRDefault="003F6D94" w:rsidP="003F6D94">
      <w:pPr>
        <w:spacing w:after="0" w:line="240" w:lineRule="auto"/>
        <w:ind w:firstLine="0"/>
        <w:jc w:val="left"/>
        <w:rPr>
          <w:lang w:val="en-US"/>
        </w:rPr>
      </w:pPr>
    </w:p>
    <w:p w14:paraId="7732F80A" w14:textId="77777777" w:rsidR="00495E2C" w:rsidRPr="003B016F" w:rsidRDefault="00495E2C" w:rsidP="003F6D94">
      <w:pPr>
        <w:spacing w:after="0" w:line="240" w:lineRule="auto"/>
        <w:ind w:firstLine="0"/>
        <w:jc w:val="left"/>
        <w:rPr>
          <w:shd w:val="clear" w:color="auto" w:fill="FFFFFF"/>
          <w:lang w:val="en-US"/>
        </w:rPr>
      </w:pPr>
      <w:r w:rsidRPr="003B016F">
        <w:rPr>
          <w:shd w:val="clear" w:color="auto" w:fill="FFFFFF"/>
          <w:lang w:val="en-US"/>
        </w:rPr>
        <w:t>HARTMAN, G. L.; SINCLAIR, J. B.; RUPE, J. C. (Ed.). </w:t>
      </w:r>
      <w:r w:rsidRPr="003B016F">
        <w:rPr>
          <w:b/>
          <w:bCs/>
          <w:shd w:val="clear" w:color="auto" w:fill="FFFFFF"/>
          <w:lang w:val="en-US"/>
        </w:rPr>
        <w:t>Compendium of soybean diseases</w:t>
      </w:r>
      <w:r w:rsidRPr="003B016F">
        <w:rPr>
          <w:shd w:val="clear" w:color="auto" w:fill="FFFFFF"/>
          <w:lang w:val="en-US"/>
        </w:rPr>
        <w:t>. 4th ed. St. Paul: American Phytopathological Society, 1993. p. 3-4. </w:t>
      </w:r>
    </w:p>
    <w:p w14:paraId="7FED9605" w14:textId="42F9D892" w:rsidR="005025B8" w:rsidRDefault="005025B8" w:rsidP="003F6D94">
      <w:pPr>
        <w:spacing w:after="0" w:line="240" w:lineRule="auto"/>
        <w:ind w:firstLine="0"/>
        <w:jc w:val="left"/>
        <w:rPr>
          <w:lang w:val="en-US"/>
        </w:rPr>
      </w:pPr>
    </w:p>
    <w:p w14:paraId="05F62DB6" w14:textId="77777777" w:rsidR="003F6D94" w:rsidRDefault="003F6D94" w:rsidP="003F6D94">
      <w:pPr>
        <w:spacing w:after="0" w:line="240" w:lineRule="auto"/>
        <w:ind w:firstLine="0"/>
        <w:jc w:val="left"/>
        <w:rPr>
          <w:lang w:val="en-US"/>
        </w:rPr>
      </w:pPr>
    </w:p>
    <w:p w14:paraId="4F9FDD4E" w14:textId="77777777" w:rsidR="003F6D94" w:rsidRDefault="00495E2C" w:rsidP="003F6D94">
      <w:pPr>
        <w:spacing w:after="0" w:line="240" w:lineRule="auto"/>
        <w:ind w:firstLine="0"/>
        <w:jc w:val="left"/>
        <w:rPr>
          <w:lang w:val="en-US"/>
        </w:rPr>
      </w:pPr>
      <w:r w:rsidRPr="003B016F">
        <w:rPr>
          <w:lang w:val="en-US"/>
        </w:rPr>
        <w:t xml:space="preserve">HARTMAN, G. L.; WANG, T. C.; TSCHANZ, A. T. Soybean rust development and the </w:t>
      </w:r>
    </w:p>
    <w:p w14:paraId="79628A6B" w14:textId="37EE64DA" w:rsidR="00495E2C" w:rsidRPr="003B016F" w:rsidRDefault="00495E2C" w:rsidP="003F6D94">
      <w:pPr>
        <w:spacing w:after="0" w:line="240" w:lineRule="auto"/>
        <w:ind w:firstLine="0"/>
        <w:jc w:val="left"/>
        <w:rPr>
          <w:lang w:val="en-US"/>
        </w:rPr>
      </w:pPr>
      <w:r w:rsidRPr="003B016F">
        <w:rPr>
          <w:lang w:val="en-US"/>
        </w:rPr>
        <w:t xml:space="preserve">quantitative relationship between rust severity and soybean yield. </w:t>
      </w:r>
      <w:r w:rsidRPr="003B016F">
        <w:rPr>
          <w:b/>
          <w:lang w:val="en-US"/>
        </w:rPr>
        <w:t>Plant Disease</w:t>
      </w:r>
      <w:r w:rsidRPr="003B016F">
        <w:rPr>
          <w:lang w:val="en-US"/>
        </w:rPr>
        <w:t xml:space="preserve">, v. 75, p. 596-600, 1991. </w:t>
      </w:r>
    </w:p>
    <w:p w14:paraId="3BC123FB" w14:textId="50445C55" w:rsidR="005025B8" w:rsidRDefault="005025B8" w:rsidP="003F6D94">
      <w:pPr>
        <w:spacing w:after="0" w:line="240" w:lineRule="auto"/>
        <w:ind w:firstLine="0"/>
        <w:jc w:val="left"/>
        <w:rPr>
          <w:lang w:val="en-US"/>
        </w:rPr>
      </w:pPr>
    </w:p>
    <w:p w14:paraId="69971213" w14:textId="77777777" w:rsidR="003F6D94" w:rsidRDefault="003F6D94" w:rsidP="003F6D94">
      <w:pPr>
        <w:spacing w:after="0" w:line="240" w:lineRule="auto"/>
        <w:ind w:firstLine="0"/>
        <w:jc w:val="left"/>
        <w:rPr>
          <w:lang w:val="en-US"/>
        </w:rPr>
      </w:pPr>
    </w:p>
    <w:p w14:paraId="49C4B78B" w14:textId="58A136D3" w:rsidR="00495E2C" w:rsidRPr="003B016F" w:rsidRDefault="00495E2C" w:rsidP="003F6D94">
      <w:pPr>
        <w:spacing w:after="0" w:line="240" w:lineRule="auto"/>
        <w:ind w:firstLine="0"/>
        <w:jc w:val="left"/>
        <w:rPr>
          <w:lang w:val="en-US"/>
        </w:rPr>
      </w:pPr>
      <w:r w:rsidRPr="003B016F">
        <w:rPr>
          <w:lang w:val="en-US"/>
        </w:rPr>
        <w:t xml:space="preserve">HARTMAN, G.L.; SINCLAIR, J.B.; RUPE, J.C. </w:t>
      </w:r>
      <w:r w:rsidRPr="003B016F">
        <w:rPr>
          <w:b/>
          <w:lang w:val="en-US"/>
        </w:rPr>
        <w:t>Compendium of soybean diseases</w:t>
      </w:r>
      <w:r w:rsidRPr="003B016F">
        <w:rPr>
          <w:lang w:val="en-US"/>
        </w:rPr>
        <w:t>.4. ed. St. Paul, Minnesota: APS Press. 1999. 100p.</w:t>
      </w:r>
    </w:p>
    <w:p w14:paraId="158EB020" w14:textId="639D6400" w:rsidR="005025B8" w:rsidRDefault="005025B8" w:rsidP="003F6D94">
      <w:pPr>
        <w:spacing w:after="0" w:line="240" w:lineRule="auto"/>
        <w:ind w:firstLine="0"/>
        <w:jc w:val="left"/>
        <w:rPr>
          <w:lang w:val="en-US"/>
        </w:rPr>
      </w:pPr>
    </w:p>
    <w:p w14:paraId="281252EE" w14:textId="77777777" w:rsidR="003F6D94" w:rsidRDefault="003F6D94" w:rsidP="003F6D94">
      <w:pPr>
        <w:spacing w:after="0" w:line="240" w:lineRule="auto"/>
        <w:ind w:firstLine="0"/>
        <w:jc w:val="left"/>
        <w:rPr>
          <w:lang w:val="en-US"/>
        </w:rPr>
      </w:pPr>
    </w:p>
    <w:p w14:paraId="26793140" w14:textId="7B8E1A2A" w:rsidR="00495E2C" w:rsidRPr="003B016F" w:rsidRDefault="00495E2C" w:rsidP="003F6D94">
      <w:pPr>
        <w:spacing w:after="0" w:line="240" w:lineRule="auto"/>
        <w:ind w:firstLine="0"/>
        <w:jc w:val="left"/>
        <w:rPr>
          <w:lang w:val="en-US"/>
        </w:rPr>
      </w:pPr>
      <w:r w:rsidRPr="003B016F">
        <w:rPr>
          <w:lang w:val="en-US"/>
        </w:rPr>
        <w:t xml:space="preserve">HARTWIG, E.E. Identification of a fourth major gene conferring resistance to soybean rust. </w:t>
      </w:r>
      <w:r w:rsidRPr="003B016F">
        <w:rPr>
          <w:b/>
          <w:lang w:val="en-US"/>
        </w:rPr>
        <w:t>Crop Science</w:t>
      </w:r>
      <w:r w:rsidRPr="003B016F">
        <w:rPr>
          <w:lang w:val="en-US"/>
        </w:rPr>
        <w:t>, v.26, p.1135-1136, 1985.</w:t>
      </w:r>
    </w:p>
    <w:p w14:paraId="20DEABDB" w14:textId="620442C2" w:rsidR="005025B8" w:rsidRDefault="005025B8" w:rsidP="003F6D94">
      <w:pPr>
        <w:spacing w:after="0" w:line="240" w:lineRule="auto"/>
        <w:ind w:firstLine="0"/>
        <w:jc w:val="left"/>
        <w:rPr>
          <w:lang w:val="en-US"/>
        </w:rPr>
      </w:pPr>
    </w:p>
    <w:p w14:paraId="5882058F" w14:textId="77777777" w:rsidR="003F6D94" w:rsidRDefault="003F6D94" w:rsidP="003F6D94">
      <w:pPr>
        <w:spacing w:after="0" w:line="240" w:lineRule="auto"/>
        <w:ind w:firstLine="0"/>
        <w:jc w:val="left"/>
        <w:rPr>
          <w:lang w:val="en-US"/>
        </w:rPr>
      </w:pPr>
    </w:p>
    <w:p w14:paraId="031E37DF" w14:textId="0F1C2D2C" w:rsidR="00495E2C" w:rsidRDefault="00495E2C" w:rsidP="003F6D94">
      <w:pPr>
        <w:spacing w:after="0" w:line="240" w:lineRule="auto"/>
        <w:ind w:firstLine="0"/>
        <w:jc w:val="left"/>
        <w:rPr>
          <w:lang w:val="en-US"/>
        </w:rPr>
      </w:pPr>
      <w:r w:rsidRPr="003B016F">
        <w:rPr>
          <w:lang w:val="en-US"/>
        </w:rPr>
        <w:t xml:space="preserve">HARTWIG, E.E.; BROMFIELD, K.R. Relationships among three genes conferring specific resistance to rust in soybeans. </w:t>
      </w:r>
      <w:r w:rsidRPr="003B016F">
        <w:rPr>
          <w:b/>
          <w:lang w:val="en-US"/>
        </w:rPr>
        <w:t>Crop Science</w:t>
      </w:r>
      <w:r w:rsidRPr="003B016F">
        <w:rPr>
          <w:lang w:val="en-US"/>
        </w:rPr>
        <w:t xml:space="preserve">, v.23, p.237-239, 1982. </w:t>
      </w:r>
    </w:p>
    <w:p w14:paraId="46FDABE1" w14:textId="77777777" w:rsidR="003F6D94" w:rsidRPr="003B016F" w:rsidRDefault="003F6D94" w:rsidP="003F6D94">
      <w:pPr>
        <w:spacing w:after="0" w:line="240" w:lineRule="auto"/>
        <w:ind w:firstLine="0"/>
        <w:jc w:val="left"/>
        <w:rPr>
          <w:lang w:val="en-US"/>
        </w:rPr>
      </w:pPr>
    </w:p>
    <w:p w14:paraId="094E068F" w14:textId="77777777" w:rsidR="005025B8" w:rsidRDefault="005025B8" w:rsidP="003F6D94">
      <w:pPr>
        <w:spacing w:after="0" w:line="240" w:lineRule="auto"/>
        <w:ind w:firstLine="0"/>
        <w:jc w:val="left"/>
        <w:rPr>
          <w:lang w:val="en-US"/>
        </w:rPr>
      </w:pPr>
    </w:p>
    <w:p w14:paraId="1AAEE45C" w14:textId="0CB7A7BD" w:rsidR="00495E2C" w:rsidRDefault="00495E2C" w:rsidP="003F6D94">
      <w:pPr>
        <w:spacing w:after="0" w:line="240" w:lineRule="auto"/>
        <w:ind w:firstLine="0"/>
        <w:jc w:val="left"/>
      </w:pPr>
      <w:r w:rsidRPr="003B016F">
        <w:rPr>
          <w:lang w:val="en-US"/>
        </w:rPr>
        <w:t xml:space="preserve">HAWKINS &amp; FRAAIJE, Fitness penalties in the evolution fungicide resistance. </w:t>
      </w:r>
      <w:r w:rsidRPr="003B016F">
        <w:rPr>
          <w:b/>
        </w:rPr>
        <w:t>Annu. Rev. Phytopathol.</w:t>
      </w:r>
      <w:r w:rsidRPr="003B016F">
        <w:t xml:space="preserve"> v. 56. p. 339-360. 2018</w:t>
      </w:r>
    </w:p>
    <w:p w14:paraId="7CAABEB2" w14:textId="77777777" w:rsidR="003F6D94" w:rsidRPr="003B016F" w:rsidRDefault="003F6D94" w:rsidP="003F6D94">
      <w:pPr>
        <w:spacing w:after="0" w:line="240" w:lineRule="auto"/>
        <w:ind w:firstLine="0"/>
        <w:jc w:val="left"/>
      </w:pPr>
    </w:p>
    <w:p w14:paraId="6AFA102E" w14:textId="77777777" w:rsidR="005025B8" w:rsidRDefault="005025B8" w:rsidP="003F6D94">
      <w:pPr>
        <w:spacing w:after="0" w:line="240" w:lineRule="auto"/>
        <w:ind w:firstLine="0"/>
        <w:jc w:val="left"/>
      </w:pPr>
    </w:p>
    <w:p w14:paraId="102BD59C" w14:textId="115E5546" w:rsidR="00495E2C" w:rsidRPr="003B016F" w:rsidRDefault="00495E2C" w:rsidP="003F6D94">
      <w:pPr>
        <w:spacing w:after="0" w:line="240" w:lineRule="auto"/>
        <w:ind w:firstLine="0"/>
        <w:jc w:val="left"/>
        <w:rPr>
          <w:lang w:val="en-US"/>
        </w:rPr>
      </w:pPr>
      <w:r w:rsidRPr="003B016F">
        <w:t xml:space="preserve">HEIFFIG, L. S., CÂMARA, G. M. DE S., MARQUES, L. A., PEDROSO, D. B., PIEDADE, S. M. DE S. Fechamento e índice de área foliar da cultura da soja em diferentes arranjos espaciais. </w:t>
      </w:r>
      <w:r w:rsidRPr="003B016F">
        <w:rPr>
          <w:b/>
          <w:lang w:val="en-US"/>
        </w:rPr>
        <w:t>Bragantia</w:t>
      </w:r>
      <w:r w:rsidRPr="003B016F">
        <w:rPr>
          <w:lang w:val="en-US"/>
        </w:rPr>
        <w:t>, v.65, p.285-295, 2006.</w:t>
      </w:r>
    </w:p>
    <w:p w14:paraId="6F29609E" w14:textId="3D62A5FB" w:rsidR="005025B8" w:rsidRDefault="005025B8" w:rsidP="003F6D94">
      <w:pPr>
        <w:spacing w:after="0" w:line="240" w:lineRule="auto"/>
        <w:ind w:firstLine="0"/>
        <w:jc w:val="left"/>
        <w:rPr>
          <w:lang w:val="en-US"/>
        </w:rPr>
      </w:pPr>
    </w:p>
    <w:p w14:paraId="0C8656A5" w14:textId="77777777" w:rsidR="003F6D94" w:rsidRDefault="003F6D94" w:rsidP="003F6D94">
      <w:pPr>
        <w:spacing w:after="0" w:line="240" w:lineRule="auto"/>
        <w:ind w:firstLine="0"/>
        <w:jc w:val="left"/>
        <w:rPr>
          <w:lang w:val="en-US"/>
        </w:rPr>
      </w:pPr>
    </w:p>
    <w:p w14:paraId="5DE572CD" w14:textId="164BA5EE" w:rsidR="00495E2C" w:rsidRPr="003B016F" w:rsidRDefault="00495E2C" w:rsidP="003F6D94">
      <w:pPr>
        <w:spacing w:after="0" w:line="240" w:lineRule="auto"/>
        <w:ind w:firstLine="0"/>
        <w:jc w:val="left"/>
        <w:rPr>
          <w:lang w:val="en-US"/>
        </w:rPr>
      </w:pPr>
      <w:r w:rsidRPr="003B016F">
        <w:rPr>
          <w:lang w:val="en-US"/>
        </w:rPr>
        <w:t xml:space="preserve">HENNEN, J.; REID, F. NPAG Data: </w:t>
      </w:r>
      <w:r w:rsidRPr="003B016F">
        <w:rPr>
          <w:i/>
          <w:iCs/>
          <w:lang w:val="en-US"/>
        </w:rPr>
        <w:t xml:space="preserve">Phakopsora Pachyrhizi </w:t>
      </w:r>
      <w:r w:rsidRPr="003B016F">
        <w:rPr>
          <w:lang w:val="en-US"/>
        </w:rPr>
        <w:t>Australian Asian Soybean Rust. Draft - December 9, 2002.</w:t>
      </w:r>
    </w:p>
    <w:p w14:paraId="5A8455A8" w14:textId="18B69DDC" w:rsidR="005025B8" w:rsidRDefault="005025B8" w:rsidP="003F6D94">
      <w:pPr>
        <w:spacing w:after="0" w:line="240" w:lineRule="auto"/>
        <w:ind w:firstLine="0"/>
        <w:jc w:val="left"/>
        <w:rPr>
          <w:lang w:val="en-US"/>
        </w:rPr>
      </w:pPr>
    </w:p>
    <w:p w14:paraId="30D2B0F4" w14:textId="77777777" w:rsidR="003F6D94" w:rsidRDefault="003F6D94" w:rsidP="003F6D94">
      <w:pPr>
        <w:spacing w:after="0" w:line="240" w:lineRule="auto"/>
        <w:ind w:firstLine="0"/>
        <w:jc w:val="left"/>
        <w:rPr>
          <w:lang w:val="en-US"/>
        </w:rPr>
      </w:pPr>
    </w:p>
    <w:p w14:paraId="215BD309" w14:textId="1DDB44AE" w:rsidR="00495E2C" w:rsidRDefault="00495E2C" w:rsidP="003F6D94">
      <w:pPr>
        <w:spacing w:after="0" w:line="240" w:lineRule="auto"/>
        <w:ind w:firstLine="0"/>
        <w:jc w:val="left"/>
        <w:rPr>
          <w:lang w:val="en-US"/>
        </w:rPr>
      </w:pPr>
      <w:r w:rsidRPr="003B016F">
        <w:rPr>
          <w:lang w:val="en-US"/>
        </w:rPr>
        <w:t xml:space="preserve">HENNINGS, V. P. [A few new Japanese Uredinaceae]. </w:t>
      </w:r>
      <w:r w:rsidRPr="003B016F">
        <w:rPr>
          <w:i/>
          <w:iCs/>
          <w:lang w:val="en-US"/>
        </w:rPr>
        <w:t>Hedwigia</w:t>
      </w:r>
      <w:r w:rsidRPr="003B016F">
        <w:rPr>
          <w:lang w:val="en-US"/>
        </w:rPr>
        <w:t>, v.42, p. S107-108, 1903.</w:t>
      </w:r>
    </w:p>
    <w:p w14:paraId="7FE677FC" w14:textId="77777777" w:rsidR="003F6D94" w:rsidRPr="003B016F" w:rsidRDefault="003F6D94" w:rsidP="003F6D94">
      <w:pPr>
        <w:spacing w:after="0" w:line="240" w:lineRule="auto"/>
        <w:ind w:firstLine="0"/>
        <w:jc w:val="left"/>
        <w:rPr>
          <w:lang w:val="en-US"/>
        </w:rPr>
      </w:pPr>
    </w:p>
    <w:p w14:paraId="4EA3AF80" w14:textId="77777777" w:rsidR="005025B8" w:rsidRDefault="005025B8" w:rsidP="003F6D94">
      <w:pPr>
        <w:spacing w:after="0" w:line="240" w:lineRule="auto"/>
        <w:ind w:firstLine="0"/>
        <w:jc w:val="left"/>
        <w:rPr>
          <w:lang w:val="en-US"/>
        </w:rPr>
      </w:pPr>
    </w:p>
    <w:p w14:paraId="5ABBB41E" w14:textId="47960844" w:rsidR="00495E2C" w:rsidRDefault="00495E2C" w:rsidP="003F6D94">
      <w:pPr>
        <w:spacing w:after="0" w:line="240" w:lineRule="auto"/>
        <w:ind w:firstLine="0"/>
        <w:jc w:val="left"/>
      </w:pPr>
      <w:r w:rsidRPr="003B016F">
        <w:rPr>
          <w:lang w:val="en-US"/>
        </w:rPr>
        <w:t>HIDAYAT, O.O.; SOMAATMADJA, S. Screening of soybean breeding lines for resistance to soybean rust (</w:t>
      </w:r>
      <w:r w:rsidRPr="003B016F">
        <w:rPr>
          <w:i/>
          <w:lang w:val="en-US"/>
        </w:rPr>
        <w:t>Phakopsora pachyrhizi</w:t>
      </w:r>
      <w:r w:rsidRPr="003B016F">
        <w:rPr>
          <w:lang w:val="en-US"/>
        </w:rPr>
        <w:t xml:space="preserve"> Sydow). </w:t>
      </w:r>
      <w:r w:rsidRPr="003B016F">
        <w:t>Soybean Rust Newsletter, v.1, p.9-22, 1977.</w:t>
      </w:r>
    </w:p>
    <w:p w14:paraId="61C7ED25" w14:textId="77777777" w:rsidR="003F6D94" w:rsidRPr="003B016F" w:rsidRDefault="003F6D94" w:rsidP="003F6D94">
      <w:pPr>
        <w:spacing w:after="0" w:line="240" w:lineRule="auto"/>
        <w:ind w:firstLine="0"/>
        <w:jc w:val="left"/>
      </w:pPr>
    </w:p>
    <w:p w14:paraId="5E1190DF" w14:textId="77777777" w:rsidR="005025B8" w:rsidRDefault="005025B8" w:rsidP="003F6D94">
      <w:pPr>
        <w:spacing w:after="0" w:line="240" w:lineRule="auto"/>
        <w:ind w:firstLine="0"/>
        <w:jc w:val="left"/>
      </w:pPr>
    </w:p>
    <w:p w14:paraId="24C9C24B" w14:textId="78909784" w:rsidR="00495E2C" w:rsidRPr="003B016F" w:rsidRDefault="00495E2C" w:rsidP="003F6D94">
      <w:pPr>
        <w:spacing w:after="0" w:line="240" w:lineRule="auto"/>
        <w:ind w:firstLine="0"/>
        <w:jc w:val="left"/>
      </w:pPr>
      <w:r w:rsidRPr="003B016F">
        <w:t xml:space="preserve">HIKISHIMA, M.; CANTERI, M.G.; GODOY, C.V.; KOGA, L.J.; SILVA, A.J.D. Quantificação de danos e relações entre severidade, medidas de refletância e produtividade no patossistema ferrugem asiática da soja. </w:t>
      </w:r>
      <w:r w:rsidRPr="003B016F">
        <w:rPr>
          <w:b/>
          <w:iCs/>
        </w:rPr>
        <w:t>Tropical Plant Pathology</w:t>
      </w:r>
      <w:r w:rsidRPr="003B016F">
        <w:t>, Lavras, v.35, p.96-103, 2010.</w:t>
      </w:r>
    </w:p>
    <w:p w14:paraId="1EE021D5" w14:textId="77777777" w:rsidR="005025B8" w:rsidRDefault="005025B8" w:rsidP="003F6D94">
      <w:pPr>
        <w:spacing w:after="0" w:line="240" w:lineRule="auto"/>
        <w:ind w:firstLine="0"/>
        <w:jc w:val="left"/>
      </w:pPr>
    </w:p>
    <w:p w14:paraId="196DDB38" w14:textId="4DE1997B" w:rsidR="00495E2C" w:rsidRDefault="00495E2C" w:rsidP="003F6D94">
      <w:pPr>
        <w:spacing w:after="0" w:line="240" w:lineRule="auto"/>
        <w:ind w:firstLine="0"/>
        <w:jc w:val="left"/>
        <w:rPr>
          <w:lang w:val="en-US"/>
        </w:rPr>
      </w:pPr>
      <w:r w:rsidRPr="003B016F">
        <w:t xml:space="preserve">HIRAKURI, M. H.; LAZZAROTTO, J. J. </w:t>
      </w:r>
      <w:r w:rsidRPr="003B016F">
        <w:rPr>
          <w:b/>
        </w:rPr>
        <w:t>O agronegócio da soja nos contextos mundial e brasileiro</w:t>
      </w:r>
      <w:r w:rsidRPr="003B016F">
        <w:t xml:space="preserve">. </w:t>
      </w:r>
      <w:r w:rsidRPr="003B016F">
        <w:rPr>
          <w:lang w:val="en-US"/>
        </w:rPr>
        <w:t>Documentos 349. Londrina: EMBRAPA Soja, 2014.</w:t>
      </w:r>
    </w:p>
    <w:p w14:paraId="62C9D2E2" w14:textId="77777777" w:rsidR="003F6D94" w:rsidRPr="003B016F" w:rsidRDefault="003F6D94" w:rsidP="003F6D94">
      <w:pPr>
        <w:spacing w:after="0" w:line="240" w:lineRule="auto"/>
        <w:ind w:firstLine="0"/>
        <w:jc w:val="left"/>
        <w:rPr>
          <w:lang w:val="en-US"/>
        </w:rPr>
      </w:pPr>
    </w:p>
    <w:p w14:paraId="705EA485" w14:textId="77777777" w:rsidR="005025B8" w:rsidRDefault="005025B8" w:rsidP="003F6D94">
      <w:pPr>
        <w:spacing w:after="0" w:line="240" w:lineRule="auto"/>
        <w:ind w:firstLine="0"/>
        <w:jc w:val="left"/>
        <w:rPr>
          <w:lang w:val="en-US"/>
        </w:rPr>
      </w:pPr>
    </w:p>
    <w:p w14:paraId="0E73E6D2" w14:textId="177EA3CD" w:rsidR="00495E2C" w:rsidRPr="003B016F" w:rsidRDefault="00495E2C" w:rsidP="003F6D94">
      <w:pPr>
        <w:spacing w:after="0" w:line="240" w:lineRule="auto"/>
        <w:ind w:firstLine="0"/>
        <w:jc w:val="left"/>
        <w:rPr>
          <w:lang w:val="en-US"/>
        </w:rPr>
      </w:pPr>
      <w:r w:rsidRPr="003B016F">
        <w:rPr>
          <w:lang w:val="en-US"/>
        </w:rPr>
        <w:t xml:space="preserve">HOBBELEN, P.H.F.; FRAAIJE, B.; LUCAS, J.A.; PAVELEY, N.D.; BOSCH, F. Derivation and testing of a model to predict selection for fungicide resistance. </w:t>
      </w:r>
      <w:r w:rsidRPr="003B016F">
        <w:rPr>
          <w:b/>
          <w:iCs/>
          <w:lang w:val="en-US"/>
        </w:rPr>
        <w:t>Plant Pathology</w:t>
      </w:r>
      <w:r w:rsidRPr="003B016F">
        <w:rPr>
          <w:lang w:val="en-US"/>
        </w:rPr>
        <w:t>. V. 60. p. 304–13. 2011.</w:t>
      </w:r>
    </w:p>
    <w:p w14:paraId="4C839472" w14:textId="73AC01B7" w:rsidR="005025B8" w:rsidRDefault="005025B8" w:rsidP="003F6D94">
      <w:pPr>
        <w:pStyle w:val="Default"/>
        <w:rPr>
          <w:color w:val="auto"/>
        </w:rPr>
      </w:pPr>
    </w:p>
    <w:p w14:paraId="28CAAC9D" w14:textId="77777777" w:rsidR="003F6D94" w:rsidRDefault="003F6D94" w:rsidP="003F6D94">
      <w:pPr>
        <w:pStyle w:val="Default"/>
        <w:rPr>
          <w:color w:val="auto"/>
        </w:rPr>
      </w:pPr>
    </w:p>
    <w:p w14:paraId="0D5C9AC2" w14:textId="024CC281" w:rsidR="00495E2C" w:rsidRDefault="00495E2C" w:rsidP="003F6D94">
      <w:pPr>
        <w:pStyle w:val="Default"/>
        <w:rPr>
          <w:color w:val="auto"/>
          <w:lang w:val="pt-BR"/>
        </w:rPr>
      </w:pPr>
      <w:r w:rsidRPr="003B016F">
        <w:rPr>
          <w:color w:val="auto"/>
        </w:rPr>
        <w:t xml:space="preserve">HOBBELEN, P. H. F.; PAVELEY, N. D.; VAN DEN BOSCH, F.  Delaying selection for fungicide insensitivity by mixing fungicides at a low and high risk of resistance development: A modeling analysis. </w:t>
      </w:r>
      <w:r w:rsidRPr="003B016F">
        <w:rPr>
          <w:b/>
          <w:color w:val="auto"/>
          <w:lang w:val="pt-BR"/>
        </w:rPr>
        <w:t xml:space="preserve">Phytopathology. </w:t>
      </w:r>
      <w:r w:rsidRPr="003B016F">
        <w:rPr>
          <w:color w:val="auto"/>
          <w:lang w:val="pt-BR"/>
        </w:rPr>
        <w:t>v. 101. p. 1224-1233. 2011b.</w:t>
      </w:r>
    </w:p>
    <w:p w14:paraId="55CE7C92" w14:textId="77777777" w:rsidR="003F6D94" w:rsidRPr="003B016F" w:rsidRDefault="003F6D94" w:rsidP="003F6D94">
      <w:pPr>
        <w:pStyle w:val="Default"/>
        <w:rPr>
          <w:color w:val="auto"/>
          <w:lang w:val="pt-BR"/>
        </w:rPr>
      </w:pPr>
    </w:p>
    <w:p w14:paraId="0A821099" w14:textId="77777777" w:rsidR="005025B8" w:rsidRDefault="005025B8" w:rsidP="003F6D94">
      <w:pPr>
        <w:spacing w:after="0" w:line="240" w:lineRule="auto"/>
        <w:ind w:firstLine="0"/>
        <w:jc w:val="left"/>
      </w:pPr>
    </w:p>
    <w:p w14:paraId="6C92EDDD" w14:textId="6EE2B68C" w:rsidR="00495E2C" w:rsidRPr="003B016F" w:rsidRDefault="00495E2C" w:rsidP="003F6D94">
      <w:pPr>
        <w:spacing w:after="0" w:line="240" w:lineRule="auto"/>
        <w:ind w:firstLine="0"/>
        <w:jc w:val="left"/>
        <w:rPr>
          <w:lang w:val="en-US"/>
        </w:rPr>
      </w:pPr>
      <w:r w:rsidRPr="003B016F">
        <w:t xml:space="preserve">IGARASHI, W. T.; AGUIAR E SILVA, M. A.; IGARASHI, S.; ABI SAAB, O. J. G.; FRANÇA, J. A. Duração e porcentagem de molhamento foliar determinados pelo espaçamento entrelinhas, e influência sobre a ferrugem asiática da soja. </w:t>
      </w:r>
      <w:r w:rsidRPr="003B016F">
        <w:rPr>
          <w:b/>
          <w:lang w:val="en-US"/>
        </w:rPr>
        <w:t>Summa Phytopathologica</w:t>
      </w:r>
      <w:r w:rsidRPr="003B016F">
        <w:rPr>
          <w:lang w:val="en-US"/>
        </w:rPr>
        <w:t>, Botucatu, v. 40, n. 2, p. 123-127, 2014.</w:t>
      </w:r>
    </w:p>
    <w:p w14:paraId="785C0C88" w14:textId="6D8DBF3C" w:rsidR="005025B8" w:rsidRDefault="005025B8" w:rsidP="003F6D94">
      <w:pPr>
        <w:spacing w:after="0" w:line="240" w:lineRule="auto"/>
        <w:ind w:firstLine="0"/>
        <w:jc w:val="left"/>
        <w:rPr>
          <w:lang w:val="en-US"/>
        </w:rPr>
      </w:pPr>
    </w:p>
    <w:p w14:paraId="71EE5B9A" w14:textId="77777777" w:rsidR="003F6D94" w:rsidRDefault="003F6D94" w:rsidP="003F6D94">
      <w:pPr>
        <w:spacing w:after="0" w:line="240" w:lineRule="auto"/>
        <w:ind w:firstLine="0"/>
        <w:jc w:val="left"/>
        <w:rPr>
          <w:lang w:val="en-US"/>
        </w:rPr>
      </w:pPr>
    </w:p>
    <w:p w14:paraId="5D28597C" w14:textId="603D180E" w:rsidR="00495E2C" w:rsidRDefault="00495E2C" w:rsidP="003F6D94">
      <w:pPr>
        <w:spacing w:after="0" w:line="240" w:lineRule="auto"/>
        <w:ind w:firstLine="0"/>
        <w:jc w:val="left"/>
        <w:rPr>
          <w:lang w:val="en-US"/>
        </w:rPr>
      </w:pPr>
      <w:r w:rsidRPr="003B016F">
        <w:rPr>
          <w:lang w:val="en-US"/>
        </w:rPr>
        <w:t xml:space="preserve">ISARD, S. A., N. S. DUFAULT, M. R. MILES, G. L. HARTMAN, J. M. RUSSO, E. D. DE WOLF, AND W. MOREL. The effect of solar irradiance on the mortality of </w:t>
      </w:r>
      <w:r w:rsidRPr="004B0A23">
        <w:rPr>
          <w:i/>
          <w:lang w:val="en-US"/>
        </w:rPr>
        <w:t xml:space="preserve">Phakopsora pachyrhizi </w:t>
      </w:r>
      <w:r w:rsidRPr="003B016F">
        <w:rPr>
          <w:lang w:val="en-US"/>
        </w:rPr>
        <w:t xml:space="preserve">urediniospores. </w:t>
      </w:r>
      <w:r w:rsidRPr="003B016F">
        <w:rPr>
          <w:b/>
          <w:lang w:val="en-US"/>
        </w:rPr>
        <w:t>Plant Disease</w:t>
      </w:r>
      <w:r w:rsidRPr="003B016F">
        <w:rPr>
          <w:lang w:val="en-US"/>
        </w:rPr>
        <w:t>, Saint Paul, v. 90, p. 941-945, 2006.</w:t>
      </w:r>
    </w:p>
    <w:p w14:paraId="22D0CDB2" w14:textId="77777777" w:rsidR="003F6D94" w:rsidRPr="003B016F" w:rsidRDefault="003F6D94" w:rsidP="003F6D94">
      <w:pPr>
        <w:spacing w:after="0" w:line="240" w:lineRule="auto"/>
        <w:ind w:firstLine="0"/>
        <w:jc w:val="left"/>
        <w:rPr>
          <w:lang w:val="en-US"/>
        </w:rPr>
      </w:pPr>
    </w:p>
    <w:p w14:paraId="29F1B5A4" w14:textId="77777777" w:rsidR="005025B8" w:rsidRDefault="005025B8" w:rsidP="003F6D94">
      <w:pPr>
        <w:spacing w:after="0" w:line="240" w:lineRule="auto"/>
        <w:ind w:firstLine="0"/>
        <w:jc w:val="left"/>
        <w:rPr>
          <w:shd w:val="clear" w:color="auto" w:fill="FCFCFC"/>
          <w:lang w:val="en-US"/>
        </w:rPr>
      </w:pPr>
    </w:p>
    <w:p w14:paraId="308C7B95" w14:textId="549D19C0" w:rsidR="00495E2C" w:rsidRPr="005025B8" w:rsidRDefault="00495E2C" w:rsidP="003F6D94">
      <w:pPr>
        <w:spacing w:after="0" w:line="240" w:lineRule="auto"/>
        <w:ind w:firstLine="0"/>
        <w:jc w:val="left"/>
        <w:rPr>
          <w:shd w:val="clear" w:color="auto" w:fill="FCFCFC"/>
          <w:lang w:val="en-US"/>
        </w:rPr>
      </w:pPr>
      <w:r w:rsidRPr="008D0421">
        <w:rPr>
          <w:shd w:val="clear" w:color="auto" w:fill="FCFCFC"/>
          <w:lang w:val="en-US"/>
        </w:rPr>
        <w:t xml:space="preserve">JULIATTI, F. C., AZEVEDO, L. A. S., &amp; CRISTINA, J. (2017). </w:t>
      </w:r>
      <w:r w:rsidRPr="003B016F">
        <w:rPr>
          <w:shd w:val="clear" w:color="auto" w:fill="FCFCFC"/>
          <w:lang w:val="en-US"/>
        </w:rPr>
        <w:t>Strategies of chemical protection for controlling soybean rust. In M. Kasai (Ed.), </w:t>
      </w:r>
      <w:r w:rsidRPr="003B016F">
        <w:rPr>
          <w:rStyle w:val="nfase"/>
          <w:spacing w:val="2"/>
          <w:shd w:val="clear" w:color="auto" w:fill="FCFCFC"/>
          <w:lang w:val="en-US"/>
        </w:rPr>
        <w:t>Soybean</w:t>
      </w:r>
      <w:r w:rsidRPr="003B016F">
        <w:rPr>
          <w:shd w:val="clear" w:color="auto" w:fill="FCFCFC"/>
          <w:lang w:val="en-US"/>
        </w:rPr>
        <w:t> (pp. 35–62). London: Intech Open. </w:t>
      </w:r>
      <w:r w:rsidRPr="003B016F">
        <w:rPr>
          <w:rStyle w:val="externalref"/>
          <w:spacing w:val="2"/>
          <w:shd w:val="clear" w:color="auto" w:fill="FCFCFC"/>
          <w:lang w:val="en-US"/>
        </w:rPr>
        <w:t> </w:t>
      </w:r>
      <w:hyperlink r:id="rId19" w:tgtFrame="_blank" w:history="1">
        <w:r w:rsidRPr="003B016F">
          <w:rPr>
            <w:rStyle w:val="refsource"/>
            <w:spacing w:val="2"/>
            <w:shd w:val="clear" w:color="auto" w:fill="FCFCFC"/>
            <w:lang w:val="en-US"/>
          </w:rPr>
          <w:t>https://doi.org/10.5772/67454</w:t>
        </w:r>
      </w:hyperlink>
      <w:r w:rsidRPr="003B016F">
        <w:rPr>
          <w:shd w:val="clear" w:color="auto" w:fill="FCFCFC"/>
          <w:lang w:val="en-US"/>
        </w:rPr>
        <w:t>.</w:t>
      </w:r>
    </w:p>
    <w:p w14:paraId="6E719CE6" w14:textId="3F6FDBC3" w:rsidR="005025B8" w:rsidRDefault="005025B8" w:rsidP="003F6D94">
      <w:pPr>
        <w:spacing w:after="0" w:line="240" w:lineRule="auto"/>
        <w:ind w:firstLine="0"/>
        <w:jc w:val="left"/>
        <w:rPr>
          <w:lang w:val="en-US"/>
        </w:rPr>
      </w:pPr>
    </w:p>
    <w:p w14:paraId="414EA739" w14:textId="77777777" w:rsidR="003F6D94" w:rsidRPr="008D0421" w:rsidRDefault="003F6D94" w:rsidP="003F6D94">
      <w:pPr>
        <w:spacing w:after="0" w:line="240" w:lineRule="auto"/>
        <w:ind w:firstLine="0"/>
        <w:jc w:val="left"/>
        <w:rPr>
          <w:lang w:val="en-US"/>
        </w:rPr>
      </w:pPr>
    </w:p>
    <w:p w14:paraId="480DFB6C" w14:textId="38D214B8" w:rsidR="00495E2C" w:rsidRPr="003B016F" w:rsidRDefault="00495E2C" w:rsidP="003F6D94">
      <w:pPr>
        <w:spacing w:after="0" w:line="240" w:lineRule="auto"/>
        <w:ind w:firstLine="0"/>
        <w:jc w:val="left"/>
        <w:rPr>
          <w:lang w:val="en-US"/>
        </w:rPr>
      </w:pPr>
      <w:r w:rsidRPr="003B016F">
        <w:t xml:space="preserve">KAWASHIMA CG, GUIMARAES GA, NOGUEIRA SR, MACLEAN D, COOK DR, STEUERNAGEL B, et al. </w:t>
      </w:r>
      <w:r w:rsidRPr="003B016F">
        <w:rPr>
          <w:lang w:val="en"/>
        </w:rPr>
        <w:t xml:space="preserve">A pigeonpea gene confers resistance to Asian soybean rust in soybean. </w:t>
      </w:r>
      <w:r w:rsidRPr="003B016F">
        <w:rPr>
          <w:b/>
          <w:lang w:val="en"/>
        </w:rPr>
        <w:t>Nat Biotechnol</w:t>
      </w:r>
      <w:r w:rsidRPr="003B016F">
        <w:rPr>
          <w:lang w:val="en"/>
        </w:rPr>
        <w:t>. 2016.</w:t>
      </w:r>
    </w:p>
    <w:p w14:paraId="017D464C" w14:textId="01721851" w:rsidR="005025B8" w:rsidRDefault="005025B8" w:rsidP="003F6D94">
      <w:pPr>
        <w:spacing w:after="0" w:line="240" w:lineRule="auto"/>
        <w:ind w:firstLine="0"/>
        <w:jc w:val="left"/>
        <w:rPr>
          <w:rStyle w:val="nlmstring-name2"/>
          <w:b w:val="0"/>
          <w:lang w:val="en-US"/>
        </w:rPr>
      </w:pPr>
    </w:p>
    <w:p w14:paraId="111B9067" w14:textId="77777777" w:rsidR="003F6D94" w:rsidRDefault="003F6D94" w:rsidP="003F6D94">
      <w:pPr>
        <w:spacing w:after="0" w:line="240" w:lineRule="auto"/>
        <w:ind w:firstLine="0"/>
        <w:jc w:val="left"/>
        <w:rPr>
          <w:rStyle w:val="nlmstring-name2"/>
          <w:b w:val="0"/>
          <w:lang w:val="en-US"/>
        </w:rPr>
      </w:pPr>
    </w:p>
    <w:p w14:paraId="700CAD9F" w14:textId="697F8301" w:rsidR="00495E2C" w:rsidRDefault="00495E2C" w:rsidP="003F6D94">
      <w:pPr>
        <w:spacing w:after="0" w:line="240" w:lineRule="auto"/>
        <w:ind w:firstLine="0"/>
        <w:jc w:val="left"/>
        <w:rPr>
          <w:lang w:val="en-US"/>
        </w:rPr>
      </w:pPr>
      <w:r w:rsidRPr="003B016F">
        <w:rPr>
          <w:rStyle w:val="nlmstring-name2"/>
          <w:b w:val="0"/>
          <w:lang w:val="en-US"/>
        </w:rPr>
        <w:t>KILLGORE, E.</w:t>
      </w:r>
      <w:r w:rsidRPr="003B016F">
        <w:rPr>
          <w:b/>
          <w:lang w:val="en-US"/>
        </w:rPr>
        <w:t xml:space="preserve">; </w:t>
      </w:r>
      <w:r w:rsidRPr="003B016F">
        <w:rPr>
          <w:rStyle w:val="nlmstring-name2"/>
          <w:b w:val="0"/>
          <w:lang w:val="en-US"/>
        </w:rPr>
        <w:t>HEU, R.</w:t>
      </w:r>
      <w:r w:rsidRPr="003B016F">
        <w:rPr>
          <w:b/>
          <w:lang w:val="en-US"/>
        </w:rPr>
        <w:t xml:space="preserve">; </w:t>
      </w:r>
      <w:r w:rsidRPr="003B016F">
        <w:rPr>
          <w:rStyle w:val="nlmstring-name2"/>
          <w:b w:val="0"/>
          <w:lang w:val="en-US"/>
        </w:rPr>
        <w:t>GARDNER, D. E.</w:t>
      </w:r>
      <w:r w:rsidRPr="003B016F">
        <w:rPr>
          <w:b/>
          <w:lang w:val="en-US"/>
        </w:rPr>
        <w:t xml:space="preserve"> </w:t>
      </w:r>
      <w:r w:rsidRPr="003B016F">
        <w:rPr>
          <w:rStyle w:val="nlmarticle-title"/>
          <w:lang w:val="en-US"/>
        </w:rPr>
        <w:t>First report of soybean rust in Hawaii</w:t>
      </w:r>
      <w:r w:rsidRPr="003B016F">
        <w:rPr>
          <w:lang w:val="en-US"/>
        </w:rPr>
        <w:t xml:space="preserve">. </w:t>
      </w:r>
      <w:r w:rsidRPr="003B016F">
        <w:rPr>
          <w:b/>
          <w:lang w:val="en-US"/>
        </w:rPr>
        <w:t>Plant Dis.</w:t>
      </w:r>
      <w:r w:rsidRPr="003B016F">
        <w:rPr>
          <w:lang w:val="en-US"/>
        </w:rPr>
        <w:t xml:space="preserve"> v.78, p.</w:t>
      </w:r>
      <w:r w:rsidRPr="003B016F">
        <w:rPr>
          <w:rStyle w:val="nlmfpage"/>
          <w:lang w:val="en-US"/>
        </w:rPr>
        <w:t>1216</w:t>
      </w:r>
      <w:r w:rsidRPr="003B016F">
        <w:rPr>
          <w:lang w:val="en-US"/>
        </w:rPr>
        <w:t>. 1994.</w:t>
      </w:r>
    </w:p>
    <w:p w14:paraId="5BD19C8F" w14:textId="77777777" w:rsidR="003F6D94" w:rsidRPr="003B016F" w:rsidRDefault="003F6D94" w:rsidP="003F6D94">
      <w:pPr>
        <w:spacing w:after="0" w:line="240" w:lineRule="auto"/>
        <w:ind w:firstLine="0"/>
        <w:jc w:val="left"/>
        <w:rPr>
          <w:lang w:val="en-US"/>
        </w:rPr>
      </w:pPr>
    </w:p>
    <w:p w14:paraId="654AB0EF" w14:textId="77777777" w:rsidR="005025B8" w:rsidRDefault="005025B8" w:rsidP="003F6D94">
      <w:pPr>
        <w:spacing w:after="0" w:line="240" w:lineRule="auto"/>
        <w:ind w:firstLine="0"/>
        <w:jc w:val="left"/>
        <w:rPr>
          <w:lang w:val="en-US"/>
        </w:rPr>
      </w:pPr>
    </w:p>
    <w:p w14:paraId="552FECE5" w14:textId="136FFE5B" w:rsidR="00495E2C" w:rsidRDefault="00495E2C" w:rsidP="003F6D94">
      <w:pPr>
        <w:spacing w:after="0" w:line="240" w:lineRule="auto"/>
        <w:ind w:firstLine="0"/>
        <w:jc w:val="left"/>
        <w:rPr>
          <w:lang w:val="en-US"/>
        </w:rPr>
      </w:pPr>
      <w:r w:rsidRPr="003B016F">
        <w:rPr>
          <w:lang w:val="en-US"/>
        </w:rPr>
        <w:t>KIM K. S.; UNFRIED J.R.; HYTEN D. L.; FREDERICK R. D.; HARTMAN G. L.; NELSON R. L.; SONG Q.; DIERS B. W.; Molecular mapping of soybean rust resistance in soybean accession PI561356 and SNP haplotype analysis of the Rpp1 region in diverse germplasm. Theoretical and Applied Genetics 125, 1339–1352, 2012</w:t>
      </w:r>
      <w:r w:rsidR="00854065">
        <w:rPr>
          <w:lang w:val="en-US"/>
        </w:rPr>
        <w:t>.</w:t>
      </w:r>
    </w:p>
    <w:p w14:paraId="4A7DABD2" w14:textId="77777777" w:rsidR="003F6D94" w:rsidRPr="003B016F" w:rsidRDefault="003F6D94" w:rsidP="003F6D94">
      <w:pPr>
        <w:spacing w:after="0" w:line="240" w:lineRule="auto"/>
        <w:ind w:firstLine="0"/>
        <w:jc w:val="left"/>
        <w:rPr>
          <w:lang w:val="en-GB"/>
        </w:rPr>
      </w:pPr>
    </w:p>
    <w:p w14:paraId="4DD6D240" w14:textId="77777777" w:rsidR="005025B8" w:rsidRDefault="005025B8" w:rsidP="003F6D94">
      <w:pPr>
        <w:spacing w:after="0" w:line="240" w:lineRule="auto"/>
        <w:ind w:firstLine="0"/>
        <w:jc w:val="left"/>
        <w:rPr>
          <w:lang w:val="en-GB"/>
        </w:rPr>
      </w:pPr>
    </w:p>
    <w:p w14:paraId="531B9354" w14:textId="52356B0F" w:rsidR="00495E2C" w:rsidRDefault="00495E2C" w:rsidP="003F6D94">
      <w:pPr>
        <w:spacing w:after="0" w:line="240" w:lineRule="auto"/>
        <w:ind w:firstLine="0"/>
        <w:jc w:val="left"/>
        <w:rPr>
          <w:lang w:val="en-GB"/>
        </w:rPr>
      </w:pPr>
      <w:r w:rsidRPr="003B016F">
        <w:rPr>
          <w:lang w:val="en-GB"/>
        </w:rPr>
        <w:t xml:space="preserve">KLOSOWSKI, A.C.; BRAHM, L.; STAMMLER, G., MAY DE MIO, L.L. Competitive fitness of </w:t>
      </w:r>
      <w:r w:rsidRPr="003B016F">
        <w:rPr>
          <w:rStyle w:val="nfase"/>
          <w:spacing w:val="1"/>
          <w:lang w:val="en-GB"/>
        </w:rPr>
        <w:t>Phakopsora pachyrhizi</w:t>
      </w:r>
      <w:r w:rsidRPr="003B016F">
        <w:rPr>
          <w:lang w:val="en-GB"/>
        </w:rPr>
        <w:t xml:space="preserve"> isolates with mutations in the CYP51 and CYTB genes. </w:t>
      </w:r>
      <w:r w:rsidRPr="003B016F">
        <w:rPr>
          <w:b/>
          <w:lang w:val="en-GB"/>
        </w:rPr>
        <w:t>Phytopathology</w:t>
      </w:r>
      <w:r w:rsidRPr="003B016F">
        <w:rPr>
          <w:lang w:val="en-GB"/>
        </w:rPr>
        <w:t>. v. 106, p. 1278–1284, 2016b.</w:t>
      </w:r>
    </w:p>
    <w:p w14:paraId="6658FB22" w14:textId="77777777" w:rsidR="003F6D94" w:rsidRPr="003B016F" w:rsidRDefault="003F6D94" w:rsidP="003F6D94">
      <w:pPr>
        <w:spacing w:after="0" w:line="240" w:lineRule="auto"/>
        <w:ind w:firstLine="0"/>
        <w:jc w:val="left"/>
        <w:rPr>
          <w:lang w:val="en-GB"/>
        </w:rPr>
      </w:pPr>
    </w:p>
    <w:p w14:paraId="2A0BA60A" w14:textId="77777777" w:rsidR="005025B8" w:rsidRDefault="005025B8" w:rsidP="003F6D94">
      <w:pPr>
        <w:spacing w:after="0" w:line="240" w:lineRule="auto"/>
        <w:ind w:firstLine="0"/>
        <w:jc w:val="left"/>
        <w:rPr>
          <w:lang w:val="en-GB"/>
        </w:rPr>
      </w:pPr>
    </w:p>
    <w:p w14:paraId="03BDE8E1" w14:textId="7EA73BA3" w:rsidR="00495E2C" w:rsidRDefault="00495E2C" w:rsidP="003F6D94">
      <w:pPr>
        <w:spacing w:after="0" w:line="240" w:lineRule="auto"/>
        <w:ind w:firstLine="0"/>
        <w:jc w:val="left"/>
        <w:rPr>
          <w:lang w:val="en-GB"/>
        </w:rPr>
      </w:pPr>
      <w:r w:rsidRPr="003B016F">
        <w:rPr>
          <w:lang w:val="en-GB"/>
        </w:rPr>
        <w:t xml:space="preserve">KLOSOWSKI, A.C.; MAY DE MIO, L.L.; MIESSNER, S.; RODRIGUES, R., STAMMLER, G. Detection of the F129L mutation in the cytochrome </w:t>
      </w:r>
      <w:r w:rsidRPr="003B016F">
        <w:rPr>
          <w:rStyle w:val="nfase"/>
          <w:spacing w:val="1"/>
          <w:lang w:val="en-GB"/>
        </w:rPr>
        <w:t>b</w:t>
      </w:r>
      <w:r w:rsidRPr="003B016F">
        <w:rPr>
          <w:lang w:val="en-GB"/>
        </w:rPr>
        <w:t xml:space="preserve"> gene on </w:t>
      </w:r>
      <w:r w:rsidRPr="003B016F">
        <w:rPr>
          <w:rStyle w:val="nfase"/>
          <w:spacing w:val="1"/>
          <w:lang w:val="en-GB"/>
        </w:rPr>
        <w:t>Phakopsora pachyrhizi</w:t>
      </w:r>
      <w:r w:rsidRPr="003B016F">
        <w:rPr>
          <w:lang w:val="en-GB"/>
        </w:rPr>
        <w:t xml:space="preserve">. </w:t>
      </w:r>
      <w:r w:rsidRPr="003B016F">
        <w:rPr>
          <w:b/>
          <w:lang w:val="en-GB"/>
        </w:rPr>
        <w:t>Pest Manag Sci</w:t>
      </w:r>
      <w:r w:rsidRPr="003B016F">
        <w:rPr>
          <w:lang w:val="en-GB"/>
        </w:rPr>
        <w:t>. v.72,   p. 1211–1215</w:t>
      </w:r>
      <w:r w:rsidRPr="003B016F">
        <w:rPr>
          <w:iCs/>
          <w:lang w:val="en-US"/>
        </w:rPr>
        <w:t xml:space="preserve">, </w:t>
      </w:r>
      <w:r w:rsidRPr="003B016F">
        <w:rPr>
          <w:lang w:val="en-GB"/>
        </w:rPr>
        <w:t>2016.</w:t>
      </w:r>
    </w:p>
    <w:p w14:paraId="70A7D8D1" w14:textId="77777777" w:rsidR="003F6D94" w:rsidRPr="003B016F" w:rsidRDefault="003F6D94" w:rsidP="003F6D94">
      <w:pPr>
        <w:spacing w:after="0" w:line="240" w:lineRule="auto"/>
        <w:ind w:firstLine="0"/>
        <w:jc w:val="left"/>
        <w:rPr>
          <w:lang w:val="en-GB"/>
        </w:rPr>
      </w:pPr>
    </w:p>
    <w:p w14:paraId="05F9CD3F" w14:textId="77777777" w:rsidR="005025B8" w:rsidRDefault="005025B8" w:rsidP="003F6D94">
      <w:pPr>
        <w:spacing w:after="0" w:line="240" w:lineRule="auto"/>
        <w:ind w:firstLine="0"/>
        <w:jc w:val="left"/>
        <w:rPr>
          <w:lang w:val="en-US"/>
        </w:rPr>
      </w:pPr>
    </w:p>
    <w:p w14:paraId="1CE92320" w14:textId="1BED9F02" w:rsidR="00495E2C" w:rsidRPr="003B016F" w:rsidRDefault="00495E2C" w:rsidP="003F6D94">
      <w:pPr>
        <w:spacing w:after="0" w:line="240" w:lineRule="auto"/>
        <w:ind w:firstLine="0"/>
        <w:jc w:val="left"/>
      </w:pPr>
      <w:r w:rsidRPr="003B016F">
        <w:rPr>
          <w:lang w:val="en-US"/>
        </w:rPr>
        <w:t>KOCH, E.; EBRAHIM-NESBAT, F.; HOPE, H. H. Light and electron microscopic studies on the development of soybean rust (</w:t>
      </w:r>
      <w:r w:rsidRPr="003B016F">
        <w:rPr>
          <w:i/>
          <w:lang w:val="en-US"/>
        </w:rPr>
        <w:t>Phakopsora pachyrhizi</w:t>
      </w:r>
      <w:r w:rsidRPr="003B016F">
        <w:rPr>
          <w:lang w:val="en-US"/>
        </w:rPr>
        <w:t xml:space="preserve"> Syd.) in susceptible soybean leaves (</w:t>
      </w:r>
      <w:r w:rsidRPr="003B016F">
        <w:rPr>
          <w:i/>
          <w:lang w:val="en-US"/>
        </w:rPr>
        <w:t>Glycine max</w:t>
      </w:r>
      <w:r w:rsidRPr="003B016F">
        <w:rPr>
          <w:lang w:val="en-US"/>
        </w:rPr>
        <w:t xml:space="preserve">). </w:t>
      </w:r>
      <w:r w:rsidRPr="003B016F">
        <w:rPr>
          <w:b/>
        </w:rPr>
        <w:t>Phytopathologische Zeitschrift</w:t>
      </w:r>
      <w:r w:rsidRPr="003B016F">
        <w:t>. v.106, p. 302–320, 1983.</w:t>
      </w:r>
    </w:p>
    <w:p w14:paraId="4CB3A20D" w14:textId="7235CCD3" w:rsidR="005025B8" w:rsidRDefault="005025B8" w:rsidP="003F6D94">
      <w:pPr>
        <w:spacing w:after="0" w:line="240" w:lineRule="auto"/>
        <w:ind w:firstLine="0"/>
        <w:jc w:val="left"/>
      </w:pPr>
    </w:p>
    <w:p w14:paraId="14FFA115" w14:textId="77777777" w:rsidR="003F6D94" w:rsidRDefault="003F6D94" w:rsidP="003F6D94">
      <w:pPr>
        <w:spacing w:after="0" w:line="240" w:lineRule="auto"/>
        <w:ind w:firstLine="0"/>
        <w:jc w:val="left"/>
      </w:pPr>
    </w:p>
    <w:p w14:paraId="7C93024A" w14:textId="5B43A23B" w:rsidR="00495E2C" w:rsidRPr="003B016F" w:rsidRDefault="00495E2C" w:rsidP="003F6D94">
      <w:pPr>
        <w:spacing w:after="0" w:line="240" w:lineRule="auto"/>
        <w:ind w:firstLine="0"/>
        <w:jc w:val="left"/>
        <w:rPr>
          <w:lang w:val="en-US"/>
        </w:rPr>
      </w:pPr>
      <w:r w:rsidRPr="003B016F">
        <w:t xml:space="preserve">KOGA, L. J.; CANTERI, M. G.; &amp; GODOY, C. V. Relação entre medidas de refletância e área foliar sadia, severidade da ferrugem asiática e produtividade da cultura da soja. </w:t>
      </w:r>
      <w:r w:rsidRPr="003B016F">
        <w:rPr>
          <w:rStyle w:val="nfase"/>
          <w:b/>
          <w:i w:val="0"/>
          <w:lang w:val="en-US"/>
        </w:rPr>
        <w:t>Semina: Ciências Agrárias</w:t>
      </w:r>
      <w:r w:rsidRPr="003B016F">
        <w:rPr>
          <w:lang w:val="en-US"/>
        </w:rPr>
        <w:t xml:space="preserve">. v. </w:t>
      </w:r>
      <w:r w:rsidRPr="003B016F">
        <w:rPr>
          <w:rStyle w:val="nfase"/>
          <w:lang w:val="en-US"/>
        </w:rPr>
        <w:t>28</w:t>
      </w:r>
      <w:r w:rsidRPr="003B016F">
        <w:rPr>
          <w:lang w:val="en-US"/>
        </w:rPr>
        <w:t>, p. 571-580, 2007.</w:t>
      </w:r>
    </w:p>
    <w:p w14:paraId="57775398" w14:textId="2DD361CB" w:rsidR="005025B8" w:rsidRDefault="005025B8" w:rsidP="003F6D94">
      <w:pPr>
        <w:spacing w:after="0" w:line="240" w:lineRule="auto"/>
        <w:ind w:firstLine="0"/>
        <w:jc w:val="left"/>
        <w:rPr>
          <w:lang w:val="en-US"/>
        </w:rPr>
      </w:pPr>
    </w:p>
    <w:p w14:paraId="215B874F" w14:textId="77777777" w:rsidR="003F6D94" w:rsidRDefault="003F6D94" w:rsidP="003F6D94">
      <w:pPr>
        <w:spacing w:after="0" w:line="240" w:lineRule="auto"/>
        <w:ind w:firstLine="0"/>
        <w:jc w:val="left"/>
        <w:rPr>
          <w:lang w:val="en-US"/>
        </w:rPr>
      </w:pPr>
    </w:p>
    <w:p w14:paraId="5AD0B9F2" w14:textId="225CA6CA" w:rsidR="00495E2C" w:rsidRPr="003B016F" w:rsidRDefault="00495E2C" w:rsidP="003F6D94">
      <w:pPr>
        <w:spacing w:after="0" w:line="240" w:lineRule="auto"/>
        <w:ind w:firstLine="0"/>
        <w:jc w:val="left"/>
        <w:rPr>
          <w:lang w:val="en-US"/>
        </w:rPr>
      </w:pPr>
      <w:r w:rsidRPr="003B016F">
        <w:rPr>
          <w:lang w:val="en-US"/>
        </w:rPr>
        <w:t>KRUPA, S.; BOWERSOX, V.; CLAYBROOKE, R.; BARNES, C. W.; SZABO, L.; HARLIN, K.; KURLE, J. Introduction of Asian soybean rust urediniospores into the Midwestern United States – a case study</w:t>
      </w:r>
      <w:r w:rsidRPr="003B016F">
        <w:rPr>
          <w:b/>
          <w:lang w:val="en-US"/>
        </w:rPr>
        <w:t>. Plant Disease</w:t>
      </w:r>
      <w:r w:rsidRPr="003B016F">
        <w:rPr>
          <w:lang w:val="en-US"/>
        </w:rPr>
        <w:t xml:space="preserve">, St. Paul, v. 90, n. 9, p. 1254-1259, 2006. </w:t>
      </w:r>
    </w:p>
    <w:p w14:paraId="76B1ED05" w14:textId="4F629E04" w:rsidR="005025B8" w:rsidRDefault="005025B8" w:rsidP="003F6D94">
      <w:pPr>
        <w:spacing w:after="0" w:line="240" w:lineRule="auto"/>
        <w:ind w:firstLine="0"/>
        <w:jc w:val="left"/>
        <w:rPr>
          <w:lang w:val="en-US"/>
        </w:rPr>
      </w:pPr>
    </w:p>
    <w:p w14:paraId="1554E1C3" w14:textId="77777777" w:rsidR="003F6D94" w:rsidRDefault="003F6D94" w:rsidP="003F6D94">
      <w:pPr>
        <w:spacing w:after="0" w:line="240" w:lineRule="auto"/>
        <w:ind w:firstLine="0"/>
        <w:jc w:val="left"/>
        <w:rPr>
          <w:lang w:val="en-US"/>
        </w:rPr>
      </w:pPr>
    </w:p>
    <w:p w14:paraId="334FAD17" w14:textId="7465B54D" w:rsidR="00495E2C" w:rsidRDefault="00495E2C" w:rsidP="003F6D94">
      <w:pPr>
        <w:spacing w:after="0" w:line="240" w:lineRule="auto"/>
        <w:ind w:firstLine="0"/>
        <w:jc w:val="left"/>
        <w:rPr>
          <w:lang w:val="en-US"/>
        </w:rPr>
      </w:pPr>
      <w:r w:rsidRPr="003B016F">
        <w:rPr>
          <w:lang w:val="en-US"/>
        </w:rPr>
        <w:t xml:space="preserve">KUMUDINI, S.; GODOY, C.V.; BOARD, J.E.; OMIELAN, J.; TOLLENAAR, M. Mechanisms involved in soybean rust-induced yield reduction. </w:t>
      </w:r>
      <w:r w:rsidRPr="003B016F">
        <w:rPr>
          <w:b/>
          <w:lang w:val="en-US"/>
        </w:rPr>
        <w:t xml:space="preserve">Crop </w:t>
      </w:r>
      <w:r w:rsidR="009358DF" w:rsidRPr="003B016F">
        <w:rPr>
          <w:b/>
          <w:lang w:val="en-US"/>
        </w:rPr>
        <w:t>Sci.</w:t>
      </w:r>
      <w:r w:rsidR="009358DF" w:rsidRPr="003B016F">
        <w:rPr>
          <w:lang w:val="en-US"/>
        </w:rPr>
        <w:t>, v.</w:t>
      </w:r>
      <w:r w:rsidRPr="003B016F">
        <w:rPr>
          <w:lang w:val="en-US"/>
        </w:rPr>
        <w:t>48, p.2334–2342. 2008</w:t>
      </w:r>
      <w:r w:rsidR="00854065">
        <w:rPr>
          <w:lang w:val="en-US"/>
        </w:rPr>
        <w:t>.</w:t>
      </w:r>
    </w:p>
    <w:p w14:paraId="7CE94567" w14:textId="77777777" w:rsidR="003F6D94" w:rsidRPr="003B016F" w:rsidRDefault="003F6D94" w:rsidP="003F6D94">
      <w:pPr>
        <w:spacing w:after="0" w:line="240" w:lineRule="auto"/>
        <w:ind w:firstLine="0"/>
        <w:jc w:val="left"/>
        <w:rPr>
          <w:lang w:val="en-US"/>
        </w:rPr>
      </w:pPr>
    </w:p>
    <w:p w14:paraId="5686B12F" w14:textId="77777777" w:rsidR="005025B8" w:rsidRDefault="005025B8" w:rsidP="003F6D94">
      <w:pPr>
        <w:spacing w:after="0" w:line="240" w:lineRule="auto"/>
        <w:ind w:firstLine="0"/>
        <w:jc w:val="left"/>
        <w:rPr>
          <w:lang w:val="en-US"/>
        </w:rPr>
      </w:pPr>
    </w:p>
    <w:p w14:paraId="0711C90F" w14:textId="22DEC05F" w:rsidR="00495E2C" w:rsidRPr="003B016F" w:rsidRDefault="00495E2C" w:rsidP="003F6D94">
      <w:pPr>
        <w:spacing w:after="0" w:line="240" w:lineRule="auto"/>
        <w:ind w:firstLine="0"/>
        <w:jc w:val="left"/>
        <w:rPr>
          <w:lang w:val="en-US"/>
        </w:rPr>
      </w:pPr>
      <w:r w:rsidRPr="003B016F">
        <w:rPr>
          <w:lang w:val="en-US"/>
        </w:rPr>
        <w:t xml:space="preserve">LEVY, C. Epidemiology and chemical control of soybean rust in southern Africa. </w:t>
      </w:r>
      <w:r w:rsidRPr="003B016F">
        <w:rPr>
          <w:b/>
          <w:lang w:val="en-US"/>
        </w:rPr>
        <w:t>Plant Disease</w:t>
      </w:r>
      <w:r w:rsidRPr="003B016F">
        <w:rPr>
          <w:lang w:val="en-US"/>
        </w:rPr>
        <w:t>. v. 89, p. 669-674, 2005.</w:t>
      </w:r>
    </w:p>
    <w:p w14:paraId="58AC21C5" w14:textId="027E0589" w:rsidR="005025B8" w:rsidRDefault="005025B8" w:rsidP="003F6D94">
      <w:pPr>
        <w:spacing w:after="0" w:line="240" w:lineRule="auto"/>
        <w:ind w:firstLine="0"/>
        <w:jc w:val="left"/>
        <w:rPr>
          <w:lang w:val="en-US"/>
        </w:rPr>
      </w:pPr>
    </w:p>
    <w:p w14:paraId="37A6FE3C" w14:textId="77777777" w:rsidR="003F6D94" w:rsidRDefault="003F6D94" w:rsidP="003F6D94">
      <w:pPr>
        <w:spacing w:after="0" w:line="240" w:lineRule="auto"/>
        <w:ind w:firstLine="0"/>
        <w:jc w:val="left"/>
        <w:rPr>
          <w:lang w:val="en-US"/>
        </w:rPr>
      </w:pPr>
    </w:p>
    <w:p w14:paraId="4F2D9684" w14:textId="44D03495" w:rsidR="00495E2C" w:rsidRPr="003F6D94" w:rsidRDefault="00495E2C" w:rsidP="003F6D94">
      <w:pPr>
        <w:spacing w:after="0" w:line="240" w:lineRule="auto"/>
        <w:ind w:firstLine="0"/>
        <w:jc w:val="left"/>
        <w:rPr>
          <w:b/>
          <w:bCs/>
          <w:lang w:val="en-US"/>
        </w:rPr>
      </w:pPr>
      <w:r w:rsidRPr="003B016F">
        <w:rPr>
          <w:lang w:val="en-US"/>
        </w:rPr>
        <w:t xml:space="preserve">LI, X.; ESKER, P. D.; PAN, Z.; DIAS, A. P.; XUE, L.; YANG, X. B. Uniqueness of the SBR Pathosystem and Its Scientific Value. </w:t>
      </w:r>
      <w:r w:rsidRPr="003B016F">
        <w:rPr>
          <w:b/>
          <w:bCs/>
          <w:lang w:val="en-US"/>
        </w:rPr>
        <w:t>Plant Disease</w:t>
      </w:r>
      <w:r w:rsidRPr="003B016F">
        <w:rPr>
          <w:lang w:val="en-US"/>
        </w:rPr>
        <w:t>, v. 94, n. 7, p. 796-805, 2010.</w:t>
      </w:r>
    </w:p>
    <w:p w14:paraId="15463D28" w14:textId="1C7416BF" w:rsidR="005025B8" w:rsidRDefault="005025B8" w:rsidP="003F6D94">
      <w:pPr>
        <w:spacing w:after="0" w:line="240" w:lineRule="auto"/>
        <w:ind w:firstLine="0"/>
        <w:jc w:val="left"/>
        <w:rPr>
          <w:lang w:val="en-US"/>
        </w:rPr>
      </w:pPr>
    </w:p>
    <w:p w14:paraId="2C996ACA" w14:textId="77777777" w:rsidR="003F6D94" w:rsidRDefault="003F6D94" w:rsidP="003F6D94">
      <w:pPr>
        <w:spacing w:after="0" w:line="240" w:lineRule="auto"/>
        <w:ind w:firstLine="0"/>
        <w:jc w:val="left"/>
        <w:rPr>
          <w:lang w:val="en-US"/>
        </w:rPr>
      </w:pPr>
    </w:p>
    <w:p w14:paraId="0B7FD465" w14:textId="14A29337" w:rsidR="00495E2C" w:rsidRDefault="00495E2C" w:rsidP="003F6D94">
      <w:pPr>
        <w:spacing w:after="0" w:line="240" w:lineRule="auto"/>
        <w:ind w:firstLine="0"/>
        <w:jc w:val="left"/>
      </w:pPr>
      <w:r w:rsidRPr="003B016F">
        <w:rPr>
          <w:lang w:val="en-US"/>
        </w:rPr>
        <w:t xml:space="preserve">LYNCH, T. N.; MAROIS, J. J.; WRIGHT, D. L.; HARMON, P. F.; HARMON, C. L.; MILES, M. R.; HARTMAN, G. L. First report of soybean rust caused by </w:t>
      </w:r>
      <w:r w:rsidRPr="003B016F">
        <w:rPr>
          <w:i/>
          <w:lang w:val="en-US"/>
        </w:rPr>
        <w:t>Phakopsora pachyrhizi</w:t>
      </w:r>
      <w:r w:rsidRPr="003B016F">
        <w:rPr>
          <w:lang w:val="en-US"/>
        </w:rPr>
        <w:t xml:space="preserve"> on </w:t>
      </w:r>
      <w:r w:rsidRPr="003B016F">
        <w:rPr>
          <w:i/>
          <w:lang w:val="en-US"/>
        </w:rPr>
        <w:t>Phaseolus spp.</w:t>
      </w:r>
      <w:r w:rsidRPr="003B016F">
        <w:rPr>
          <w:lang w:val="en-US"/>
        </w:rPr>
        <w:t xml:space="preserve"> in the United States. </w:t>
      </w:r>
      <w:r w:rsidRPr="003B016F">
        <w:rPr>
          <w:b/>
        </w:rPr>
        <w:t>Plant Disease</w:t>
      </w:r>
      <w:r w:rsidRPr="003B016F">
        <w:t>. v.90, p. 970, 2006.</w:t>
      </w:r>
    </w:p>
    <w:p w14:paraId="3BF65190" w14:textId="73A3DE12" w:rsidR="003F6D94" w:rsidRDefault="003F6D94" w:rsidP="003F6D94">
      <w:pPr>
        <w:spacing w:after="0" w:line="240" w:lineRule="auto"/>
        <w:ind w:firstLine="0"/>
        <w:jc w:val="left"/>
      </w:pPr>
    </w:p>
    <w:p w14:paraId="708B53CB" w14:textId="77777777" w:rsidR="003F6D94" w:rsidRDefault="003F6D94" w:rsidP="003F6D94">
      <w:pPr>
        <w:spacing w:after="0" w:line="240" w:lineRule="auto"/>
        <w:ind w:firstLine="0"/>
        <w:jc w:val="left"/>
      </w:pPr>
    </w:p>
    <w:p w14:paraId="28D2956D" w14:textId="2C1A8B4F" w:rsidR="00495E2C" w:rsidRDefault="00495E2C" w:rsidP="003F6D94">
      <w:pPr>
        <w:spacing w:after="0" w:line="240" w:lineRule="auto"/>
        <w:ind w:firstLine="0"/>
        <w:jc w:val="left"/>
      </w:pPr>
      <w:r w:rsidRPr="003B016F">
        <w:t xml:space="preserve">MADALOSSO, M.G.; DOMINGUES, L.S.; DEBORTOLI, M.P.; LENZ, G.; BALARDIN, R.S. Cultivares, espaçamento entrelinhas e programas de aplicação de fungicidas no controle de </w:t>
      </w:r>
      <w:r w:rsidRPr="003B016F">
        <w:rPr>
          <w:i/>
          <w:iCs/>
        </w:rPr>
        <w:t xml:space="preserve">Phakopsora pachyrhizi </w:t>
      </w:r>
      <w:r w:rsidRPr="003B016F">
        <w:t xml:space="preserve">Sydow em soja. </w:t>
      </w:r>
      <w:r w:rsidRPr="003B016F">
        <w:rPr>
          <w:b/>
          <w:iCs/>
        </w:rPr>
        <w:t>Ciência Rural</w:t>
      </w:r>
      <w:r w:rsidRPr="003B016F">
        <w:t>, Santa Maria. v.40, p.2256-2261, 2010.</w:t>
      </w:r>
    </w:p>
    <w:p w14:paraId="115F1338" w14:textId="77777777" w:rsidR="003F6D94" w:rsidRDefault="003F6D94" w:rsidP="003F6D94">
      <w:pPr>
        <w:spacing w:after="0" w:line="240" w:lineRule="auto"/>
        <w:ind w:firstLine="0"/>
        <w:jc w:val="left"/>
      </w:pPr>
    </w:p>
    <w:p w14:paraId="01F57C2E" w14:textId="77777777" w:rsidR="00254AFF" w:rsidRPr="003B016F" w:rsidRDefault="00254AFF" w:rsidP="003F6D94">
      <w:pPr>
        <w:spacing w:after="0" w:line="240" w:lineRule="auto"/>
        <w:ind w:firstLine="0"/>
        <w:jc w:val="left"/>
      </w:pPr>
    </w:p>
    <w:p w14:paraId="74D6C63C" w14:textId="6DD3388B" w:rsidR="00495E2C" w:rsidRPr="003B016F" w:rsidRDefault="00495E2C" w:rsidP="003F6D94">
      <w:pPr>
        <w:spacing w:after="0" w:line="240" w:lineRule="auto"/>
        <w:ind w:firstLine="0"/>
        <w:jc w:val="left"/>
      </w:pPr>
      <w:r w:rsidRPr="00613D9E">
        <w:t xml:space="preserve">MAGNANI, E.B.Z.; MENDONÇA; E.A.F. DE; ALBUQUERQUE, M.C.F. Adhesion of uredospores of </w:t>
      </w:r>
      <w:r w:rsidRPr="00613D9E">
        <w:rPr>
          <w:i/>
        </w:rPr>
        <w:t>Phakopsora pachyrhizi</w:t>
      </w:r>
      <w:r w:rsidRPr="00613D9E">
        <w:t xml:space="preserve"> on soybean seeds and their viability during storage. </w:t>
      </w:r>
      <w:r w:rsidRPr="003B016F">
        <w:rPr>
          <w:b/>
        </w:rPr>
        <w:t>Revista Brasileira de Sementes</w:t>
      </w:r>
      <w:r w:rsidRPr="003B016F">
        <w:t>. v. 34, n. 2, p. 1-6, 2012.</w:t>
      </w:r>
    </w:p>
    <w:p w14:paraId="2628FECD" w14:textId="77777777" w:rsidR="00254AFF" w:rsidRDefault="00254AFF" w:rsidP="003F6D94">
      <w:pPr>
        <w:spacing w:after="0" w:line="240" w:lineRule="auto"/>
        <w:ind w:firstLine="0"/>
        <w:jc w:val="left"/>
      </w:pPr>
    </w:p>
    <w:p w14:paraId="3AF8400F" w14:textId="077103B2" w:rsidR="00495E2C" w:rsidRDefault="00495E2C" w:rsidP="003F6D94">
      <w:pPr>
        <w:spacing w:after="0" w:line="240" w:lineRule="auto"/>
        <w:ind w:firstLine="0"/>
        <w:jc w:val="left"/>
        <w:rPr>
          <w:lang w:val="en-US"/>
        </w:rPr>
      </w:pPr>
      <w:r w:rsidRPr="008D0421">
        <w:t xml:space="preserve">MARCHETTI, M. A.; UECKER, F. A.; BROMFIELD, K. R. Uredial development of </w:t>
      </w:r>
      <w:r w:rsidRPr="008D0421">
        <w:rPr>
          <w:i/>
          <w:iCs/>
        </w:rPr>
        <w:t xml:space="preserve">Phakopsora pachyrhizi </w:t>
      </w:r>
      <w:r w:rsidRPr="008D0421">
        <w:t xml:space="preserve">in soybean. </w:t>
      </w:r>
      <w:r w:rsidRPr="003B016F">
        <w:rPr>
          <w:b/>
          <w:iCs/>
          <w:lang w:val="en-US"/>
        </w:rPr>
        <w:t>Phytopathology</w:t>
      </w:r>
      <w:r w:rsidRPr="003B016F">
        <w:rPr>
          <w:lang w:val="en-US"/>
        </w:rPr>
        <w:t>, St. Paul, v. 65, p. 822-823, 1975.</w:t>
      </w:r>
    </w:p>
    <w:p w14:paraId="15A7678F" w14:textId="77777777" w:rsidR="003F6D94" w:rsidRPr="003B016F" w:rsidRDefault="003F6D94" w:rsidP="003F6D94">
      <w:pPr>
        <w:spacing w:after="0" w:line="240" w:lineRule="auto"/>
        <w:ind w:firstLine="0"/>
        <w:jc w:val="left"/>
        <w:rPr>
          <w:lang w:val="en-US"/>
        </w:rPr>
      </w:pPr>
    </w:p>
    <w:p w14:paraId="29D04EF5" w14:textId="77777777" w:rsidR="00254AFF" w:rsidRDefault="00254AFF" w:rsidP="003F6D94">
      <w:pPr>
        <w:spacing w:after="0" w:line="240" w:lineRule="auto"/>
        <w:ind w:firstLine="0"/>
        <w:jc w:val="left"/>
        <w:rPr>
          <w:lang w:val="en-US"/>
        </w:rPr>
      </w:pPr>
    </w:p>
    <w:p w14:paraId="7E945EA9" w14:textId="523C8CA6" w:rsidR="00495E2C" w:rsidRDefault="00495E2C" w:rsidP="003F6D94">
      <w:pPr>
        <w:spacing w:after="0" w:line="240" w:lineRule="auto"/>
        <w:ind w:firstLine="0"/>
        <w:jc w:val="left"/>
        <w:rPr>
          <w:lang w:val="en-US"/>
        </w:rPr>
      </w:pPr>
      <w:r w:rsidRPr="003B016F">
        <w:rPr>
          <w:lang w:val="en-US"/>
        </w:rPr>
        <w:t xml:space="preserve">MARCHETTI, M.A.; MELCHING, J.S.; BROMFIELD, K.R. The effects of temperature and dew period on germination and incfetion by uredospores of </w:t>
      </w:r>
      <w:r w:rsidRPr="003B016F">
        <w:rPr>
          <w:i/>
          <w:lang w:val="en-US"/>
        </w:rPr>
        <w:t>Phakopsora pachyrhizi</w:t>
      </w:r>
      <w:r w:rsidRPr="003B016F">
        <w:rPr>
          <w:lang w:val="en-US"/>
        </w:rPr>
        <w:t xml:space="preserve">. </w:t>
      </w:r>
      <w:r w:rsidRPr="003B016F">
        <w:rPr>
          <w:b/>
          <w:lang w:val="en-US"/>
        </w:rPr>
        <w:t>Phythopatology</w:t>
      </w:r>
      <w:r w:rsidRPr="003B016F">
        <w:rPr>
          <w:lang w:val="en-US"/>
        </w:rPr>
        <w:t>. v. 66. p. 461- 463. 1976.</w:t>
      </w:r>
    </w:p>
    <w:p w14:paraId="77ECA2E1" w14:textId="77777777" w:rsidR="003F6D94" w:rsidRPr="003B016F" w:rsidRDefault="003F6D94" w:rsidP="003F6D94">
      <w:pPr>
        <w:spacing w:after="0" w:line="240" w:lineRule="auto"/>
        <w:ind w:firstLine="0"/>
        <w:jc w:val="left"/>
        <w:rPr>
          <w:lang w:val="en-US"/>
        </w:rPr>
      </w:pPr>
    </w:p>
    <w:p w14:paraId="2439861B" w14:textId="77777777" w:rsidR="00254AFF" w:rsidRDefault="00254AFF" w:rsidP="003F6D94">
      <w:pPr>
        <w:spacing w:after="0" w:line="240" w:lineRule="auto"/>
        <w:ind w:firstLine="0"/>
        <w:jc w:val="left"/>
        <w:rPr>
          <w:lang w:val="en-US"/>
        </w:rPr>
      </w:pPr>
    </w:p>
    <w:p w14:paraId="22CD1257" w14:textId="77777777" w:rsidR="003F6D94" w:rsidRDefault="00495E2C" w:rsidP="003F6D94">
      <w:pPr>
        <w:spacing w:after="0" w:line="240" w:lineRule="auto"/>
        <w:ind w:firstLine="0"/>
        <w:jc w:val="left"/>
        <w:rPr>
          <w:lang w:val="en-US"/>
        </w:rPr>
      </w:pPr>
      <w:r w:rsidRPr="003B016F">
        <w:rPr>
          <w:lang w:val="en-US"/>
        </w:rPr>
        <w:t>MCLEAN, R.J.; BYTH, D.E. Inheritance of resistance to rust (</w:t>
      </w:r>
      <w:r w:rsidRPr="003B016F">
        <w:rPr>
          <w:i/>
          <w:lang w:val="en-US"/>
        </w:rPr>
        <w:t>Phakopsora pachyrhizi</w:t>
      </w:r>
      <w:r w:rsidRPr="003B016F">
        <w:rPr>
          <w:lang w:val="en-US"/>
        </w:rPr>
        <w:t xml:space="preserve">) in </w:t>
      </w:r>
    </w:p>
    <w:p w14:paraId="33549637" w14:textId="4C318521" w:rsidR="00495E2C" w:rsidRPr="003B016F" w:rsidRDefault="00495E2C" w:rsidP="003F6D94">
      <w:pPr>
        <w:spacing w:after="0" w:line="240" w:lineRule="auto"/>
        <w:ind w:firstLine="0"/>
        <w:jc w:val="left"/>
        <w:rPr>
          <w:lang w:val="en-US"/>
        </w:rPr>
      </w:pPr>
      <w:r w:rsidRPr="003B016F">
        <w:rPr>
          <w:lang w:val="en-US"/>
        </w:rPr>
        <w:t xml:space="preserve">soybeans. </w:t>
      </w:r>
      <w:r w:rsidRPr="003B016F">
        <w:rPr>
          <w:b/>
          <w:lang w:val="en-US"/>
        </w:rPr>
        <w:t>Aust J Agric Res</w:t>
      </w:r>
      <w:r w:rsidRPr="003B016F">
        <w:rPr>
          <w:lang w:val="en-US"/>
        </w:rPr>
        <w:t>, v.31, p. 951–956, 1980.</w:t>
      </w:r>
    </w:p>
    <w:p w14:paraId="50AAAF2A" w14:textId="304554CB" w:rsidR="00254AFF" w:rsidRDefault="00254AFF" w:rsidP="003F6D94">
      <w:pPr>
        <w:spacing w:after="0" w:line="240" w:lineRule="auto"/>
        <w:ind w:firstLine="0"/>
        <w:jc w:val="left"/>
        <w:rPr>
          <w:lang w:val="en-US"/>
        </w:rPr>
      </w:pPr>
    </w:p>
    <w:p w14:paraId="6ED2CAA2" w14:textId="77777777" w:rsidR="003F6D94" w:rsidRDefault="003F6D94" w:rsidP="003F6D94">
      <w:pPr>
        <w:spacing w:after="0" w:line="240" w:lineRule="auto"/>
        <w:ind w:firstLine="0"/>
        <w:jc w:val="left"/>
        <w:rPr>
          <w:lang w:val="en-US"/>
        </w:rPr>
      </w:pPr>
    </w:p>
    <w:p w14:paraId="4F137B85" w14:textId="4DDA7441" w:rsidR="00495E2C" w:rsidRPr="003B016F" w:rsidRDefault="00495E2C" w:rsidP="003F6D94">
      <w:pPr>
        <w:spacing w:after="0" w:line="240" w:lineRule="auto"/>
        <w:ind w:firstLine="0"/>
        <w:jc w:val="left"/>
        <w:rPr>
          <w:lang w:val="en-US"/>
        </w:rPr>
      </w:pPr>
      <w:r w:rsidRPr="003B016F">
        <w:rPr>
          <w:lang w:val="en-US"/>
        </w:rPr>
        <w:t xml:space="preserve">MELCHING, J.S.; DOWLER, W.M.; KOOGLE, D.L.; ROYER, M.H. Effect of plant age on suscetibility of soybean to soybean rust. </w:t>
      </w:r>
      <w:r w:rsidRPr="003B016F">
        <w:rPr>
          <w:b/>
          <w:lang w:val="en-US"/>
        </w:rPr>
        <w:t>Canadian Journal of Plant Pathology</w:t>
      </w:r>
      <w:r w:rsidRPr="003B016F">
        <w:rPr>
          <w:lang w:val="en-US"/>
        </w:rPr>
        <w:t>, v.10, p. 30-35, 1988.</w:t>
      </w:r>
    </w:p>
    <w:p w14:paraId="32B688E2" w14:textId="27B48F5B" w:rsidR="00254AFF" w:rsidRDefault="00254AFF" w:rsidP="003F6D94">
      <w:pPr>
        <w:spacing w:after="0" w:line="240" w:lineRule="auto"/>
        <w:ind w:firstLine="0"/>
        <w:jc w:val="left"/>
        <w:rPr>
          <w:lang w:val="en-US"/>
        </w:rPr>
      </w:pPr>
    </w:p>
    <w:p w14:paraId="54EC5C1E" w14:textId="77777777" w:rsidR="003F6D94" w:rsidRDefault="003F6D94" w:rsidP="003F6D94">
      <w:pPr>
        <w:spacing w:after="0" w:line="240" w:lineRule="auto"/>
        <w:ind w:firstLine="0"/>
        <w:jc w:val="left"/>
        <w:rPr>
          <w:lang w:val="en-US"/>
        </w:rPr>
      </w:pPr>
    </w:p>
    <w:p w14:paraId="7D0F4187" w14:textId="3F0EB806" w:rsidR="00495E2C" w:rsidRPr="003B016F" w:rsidRDefault="00495E2C" w:rsidP="003F6D94">
      <w:pPr>
        <w:spacing w:after="0" w:line="240" w:lineRule="auto"/>
        <w:ind w:firstLine="0"/>
        <w:jc w:val="left"/>
        <w:rPr>
          <w:lang w:val="en-US"/>
        </w:rPr>
      </w:pPr>
      <w:r w:rsidRPr="003B016F">
        <w:rPr>
          <w:lang w:val="en-US"/>
        </w:rPr>
        <w:t xml:space="preserve">MELCHING, J.S.; DOWLER, W.M.; KOOGLE, D.L.; ROYER, M.H. Effect of duration, frequency, and temperature of leaf wetness period on soybean rust. </w:t>
      </w:r>
      <w:r w:rsidRPr="003B016F">
        <w:rPr>
          <w:b/>
          <w:lang w:val="en-US"/>
        </w:rPr>
        <w:t>Plant Disease,</w:t>
      </w:r>
      <w:r w:rsidRPr="003B016F">
        <w:rPr>
          <w:lang w:val="en-US"/>
        </w:rPr>
        <w:t xml:space="preserve"> v.73, p. 117-122, 1989. </w:t>
      </w:r>
    </w:p>
    <w:p w14:paraId="76990BE2" w14:textId="0A96BE5F" w:rsidR="00254AFF" w:rsidRDefault="00254AFF" w:rsidP="003F6D94">
      <w:pPr>
        <w:spacing w:after="0" w:line="240" w:lineRule="auto"/>
        <w:ind w:firstLine="0"/>
        <w:jc w:val="left"/>
        <w:rPr>
          <w:lang w:val="en-US"/>
        </w:rPr>
      </w:pPr>
    </w:p>
    <w:p w14:paraId="54120353" w14:textId="77777777" w:rsidR="003F6D94" w:rsidRDefault="003F6D94" w:rsidP="003F6D94">
      <w:pPr>
        <w:spacing w:after="0" w:line="240" w:lineRule="auto"/>
        <w:ind w:firstLine="0"/>
        <w:jc w:val="left"/>
        <w:rPr>
          <w:lang w:val="en-US"/>
        </w:rPr>
      </w:pPr>
    </w:p>
    <w:p w14:paraId="570A2442" w14:textId="52166590" w:rsidR="00495E2C" w:rsidRDefault="00495E2C" w:rsidP="003F6D94">
      <w:pPr>
        <w:spacing w:after="0" w:line="240" w:lineRule="auto"/>
        <w:ind w:firstLine="0"/>
        <w:jc w:val="left"/>
        <w:rPr>
          <w:lang w:val="en-US"/>
        </w:rPr>
      </w:pPr>
      <w:r w:rsidRPr="003B016F">
        <w:rPr>
          <w:lang w:val="en-US"/>
        </w:rPr>
        <w:t xml:space="preserve">MILES, M. R.; LEVY, C.; MOREL, W.; MUELLER, T.; STEINLAGE, T.; RIJ, N. van; FREDERICK, R. D.; HARTMAN, G. L. International fungicide efficacy trials for the management of soybean rust. </w:t>
      </w:r>
      <w:r w:rsidRPr="003B016F">
        <w:rPr>
          <w:b/>
          <w:bCs/>
          <w:lang w:val="en-US"/>
        </w:rPr>
        <w:t>Plant Disease</w:t>
      </w:r>
      <w:r w:rsidRPr="003B016F">
        <w:rPr>
          <w:lang w:val="en-US"/>
        </w:rPr>
        <w:t>, Saint Paul, v. 91, n. 11, p. 1450-1458, 2007.</w:t>
      </w:r>
    </w:p>
    <w:p w14:paraId="40431A0F" w14:textId="77777777" w:rsidR="003F6D94" w:rsidRPr="003B016F" w:rsidRDefault="003F6D94" w:rsidP="003F6D94">
      <w:pPr>
        <w:spacing w:after="0" w:line="240" w:lineRule="auto"/>
        <w:ind w:firstLine="0"/>
        <w:jc w:val="left"/>
        <w:rPr>
          <w:lang w:val="en-US"/>
        </w:rPr>
      </w:pPr>
    </w:p>
    <w:p w14:paraId="3EC67D65" w14:textId="77777777" w:rsidR="00254AFF" w:rsidRDefault="00254AFF" w:rsidP="003F6D94">
      <w:pPr>
        <w:spacing w:after="0" w:line="240" w:lineRule="auto"/>
        <w:ind w:firstLine="0"/>
        <w:jc w:val="left"/>
        <w:rPr>
          <w:lang w:val="en-US"/>
        </w:rPr>
      </w:pPr>
    </w:p>
    <w:p w14:paraId="02492DA1" w14:textId="6869D2BD" w:rsidR="00495E2C" w:rsidRPr="003B016F" w:rsidRDefault="00495E2C" w:rsidP="003F6D94">
      <w:pPr>
        <w:spacing w:after="0" w:line="240" w:lineRule="auto"/>
        <w:ind w:firstLine="0"/>
        <w:jc w:val="left"/>
        <w:rPr>
          <w:lang w:val="en-US"/>
        </w:rPr>
      </w:pPr>
      <w:r w:rsidRPr="003B016F">
        <w:rPr>
          <w:lang w:val="en-US"/>
        </w:rPr>
        <w:t xml:space="preserve">MILES, M.R.; FREDERICK, R.D.; HARTMAN, G.L. Evaluation of soybean germplasm for resistance to </w:t>
      </w:r>
      <w:r w:rsidRPr="003B016F">
        <w:rPr>
          <w:i/>
          <w:lang w:val="en-US"/>
        </w:rPr>
        <w:t>Phakopsora pachyrhizi</w:t>
      </w:r>
      <w:r w:rsidRPr="003B016F">
        <w:rPr>
          <w:lang w:val="en-US"/>
        </w:rPr>
        <w:t xml:space="preserve">. </w:t>
      </w:r>
      <w:r w:rsidRPr="003B016F">
        <w:rPr>
          <w:b/>
          <w:lang w:val="en-US"/>
        </w:rPr>
        <w:t>Plant Health Progress</w:t>
      </w:r>
      <w:r w:rsidRPr="003B016F">
        <w:rPr>
          <w:lang w:val="en-US"/>
        </w:rPr>
        <w:t xml:space="preserve">, 2006. Doi:10.1094/PHP-2006-0104-01-RS. </w:t>
      </w:r>
    </w:p>
    <w:p w14:paraId="2FF22551" w14:textId="694B75A2" w:rsidR="00254AFF" w:rsidRDefault="00254AFF" w:rsidP="003F6D94">
      <w:pPr>
        <w:spacing w:after="0" w:line="240" w:lineRule="auto"/>
        <w:ind w:firstLine="0"/>
        <w:jc w:val="left"/>
        <w:rPr>
          <w:lang w:val="en-US"/>
        </w:rPr>
      </w:pPr>
    </w:p>
    <w:p w14:paraId="0EECACEF" w14:textId="77777777" w:rsidR="003F6D94" w:rsidRDefault="003F6D94" w:rsidP="003F6D94">
      <w:pPr>
        <w:spacing w:after="0" w:line="240" w:lineRule="auto"/>
        <w:ind w:firstLine="0"/>
        <w:jc w:val="left"/>
        <w:rPr>
          <w:lang w:val="en-US"/>
        </w:rPr>
      </w:pPr>
    </w:p>
    <w:p w14:paraId="50CBD159" w14:textId="5FC55246" w:rsidR="00495E2C" w:rsidRPr="003B016F" w:rsidRDefault="00495E2C" w:rsidP="003F6D94">
      <w:pPr>
        <w:spacing w:after="0" w:line="240" w:lineRule="auto"/>
        <w:ind w:firstLine="0"/>
        <w:jc w:val="left"/>
        <w:rPr>
          <w:lang w:val="en-US"/>
        </w:rPr>
      </w:pPr>
      <w:r w:rsidRPr="003B016F">
        <w:rPr>
          <w:lang w:val="en-US"/>
        </w:rPr>
        <w:t xml:space="preserve">MOREIRA, E.N.; VALE, F.X.R.; PAUL, P.A.; RODRIGUES, F.A.; JESUS JÚNIOR, W.C. Temporal dynamics of soybean rust associated with leaf area index in soybean cultivars of different maturity groups. </w:t>
      </w:r>
      <w:r w:rsidRPr="003B016F">
        <w:rPr>
          <w:b/>
          <w:bCs/>
          <w:lang w:val="en-US"/>
        </w:rPr>
        <w:t>Plant Disease</w:t>
      </w:r>
      <w:r w:rsidRPr="003B016F">
        <w:rPr>
          <w:lang w:val="en-US"/>
        </w:rPr>
        <w:t>, Saint Paul, v. 99, n. 9, p. 1216-1226, 2015.</w:t>
      </w:r>
    </w:p>
    <w:p w14:paraId="2BD5F326" w14:textId="28B30193" w:rsidR="00254AFF" w:rsidRDefault="00254AFF" w:rsidP="003F6D94">
      <w:pPr>
        <w:spacing w:after="0" w:line="240" w:lineRule="auto"/>
        <w:ind w:firstLine="0"/>
        <w:jc w:val="left"/>
        <w:rPr>
          <w:lang w:val="en-US"/>
        </w:rPr>
      </w:pPr>
    </w:p>
    <w:p w14:paraId="76503971" w14:textId="77777777" w:rsidR="003F6D94" w:rsidRPr="008D0421" w:rsidRDefault="003F6D94" w:rsidP="003F6D94">
      <w:pPr>
        <w:spacing w:after="0" w:line="240" w:lineRule="auto"/>
        <w:ind w:firstLine="0"/>
        <w:jc w:val="left"/>
        <w:rPr>
          <w:lang w:val="en-US"/>
        </w:rPr>
      </w:pPr>
    </w:p>
    <w:p w14:paraId="2FBD2AA4" w14:textId="7EB8AA78" w:rsidR="00495E2C" w:rsidRDefault="00495E2C" w:rsidP="003F6D94">
      <w:pPr>
        <w:spacing w:after="0" w:line="240" w:lineRule="auto"/>
        <w:ind w:firstLine="0"/>
        <w:jc w:val="left"/>
      </w:pPr>
      <w:r w:rsidRPr="008D0421">
        <w:rPr>
          <w:lang w:val="en-US"/>
        </w:rPr>
        <w:t xml:space="preserve">MOREL, W. P.  </w:t>
      </w:r>
      <w:r w:rsidRPr="003B016F">
        <w:rPr>
          <w:b/>
        </w:rPr>
        <w:t>Roya de Ia soja</w:t>
      </w:r>
      <w:r w:rsidRPr="003B016F">
        <w:t xml:space="preserve">. Itapúa: Ministério de Agricultura y Ganaderia, Subsecretaria de Agricultura, Dirección de Investigación Agrícola: Centro Regional de Investigación Agrícola - CRIA. 2001. (Comunicado Técnico - Reporte Oficial, Série Fitopatologia, 1). </w:t>
      </w:r>
    </w:p>
    <w:p w14:paraId="0D70B8B4" w14:textId="77777777" w:rsidR="003F6D94" w:rsidRPr="003B016F" w:rsidRDefault="003F6D94" w:rsidP="003F6D94">
      <w:pPr>
        <w:spacing w:after="0" w:line="240" w:lineRule="auto"/>
        <w:ind w:firstLine="0"/>
        <w:jc w:val="left"/>
      </w:pPr>
    </w:p>
    <w:p w14:paraId="597488D3" w14:textId="77777777" w:rsidR="00254AFF" w:rsidRDefault="00254AFF" w:rsidP="003F6D94">
      <w:pPr>
        <w:spacing w:after="0" w:line="240" w:lineRule="auto"/>
        <w:ind w:firstLine="0"/>
        <w:jc w:val="left"/>
      </w:pPr>
    </w:p>
    <w:p w14:paraId="7B8E9A07" w14:textId="49DDB4F9" w:rsidR="00495E2C" w:rsidRPr="003B016F" w:rsidRDefault="00495E2C" w:rsidP="003F6D94">
      <w:pPr>
        <w:spacing w:after="0" w:line="240" w:lineRule="auto"/>
        <w:ind w:firstLine="0"/>
        <w:jc w:val="left"/>
      </w:pPr>
      <w:r w:rsidRPr="008D0421">
        <w:t xml:space="preserve">NASCIMENTO, J. F.; VIDA, J.B.; TESSMANN, D.J.; ZAMBOLIM, L.; VIEIRA, R.A.; OLIVEIRA, R. R. Progress of Asian soybean rust and airborne urediniospores of </w:t>
      </w:r>
      <w:r w:rsidRPr="008D0421">
        <w:rPr>
          <w:i/>
        </w:rPr>
        <w:t>Phakopsora pachyrhizi</w:t>
      </w:r>
      <w:r w:rsidRPr="008D0421">
        <w:t xml:space="preserve"> in southern Brazil. </w:t>
      </w:r>
      <w:r w:rsidRPr="003B016F">
        <w:rPr>
          <w:b/>
        </w:rPr>
        <w:t xml:space="preserve">Summa phytopathologica, </w:t>
      </w:r>
      <w:r w:rsidRPr="003B016F">
        <w:t>v. 38, p. 280–287, 2012.</w:t>
      </w:r>
    </w:p>
    <w:p w14:paraId="54063087" w14:textId="77777777" w:rsidR="00254AFF" w:rsidRDefault="00254AFF" w:rsidP="003F6D94">
      <w:pPr>
        <w:spacing w:after="0" w:line="240" w:lineRule="auto"/>
        <w:ind w:firstLine="0"/>
        <w:jc w:val="left"/>
      </w:pPr>
    </w:p>
    <w:p w14:paraId="355E7B04" w14:textId="386A95A7" w:rsidR="00495E2C" w:rsidRDefault="00495E2C" w:rsidP="003F6D94">
      <w:pPr>
        <w:spacing w:after="0" w:line="240" w:lineRule="auto"/>
        <w:ind w:firstLine="0"/>
        <w:jc w:val="left"/>
      </w:pPr>
      <w:r w:rsidRPr="003B016F">
        <w:t xml:space="preserve">NAVARINI, L. </w:t>
      </w:r>
      <w:r w:rsidRPr="003B016F">
        <w:rPr>
          <w:b/>
        </w:rPr>
        <w:t>Resposta de cultivares de soja ao controle químico de ferrugem asiática</w:t>
      </w:r>
      <w:r w:rsidRPr="003B016F">
        <w:t>. 2008. 74 p. Dissertação (Mestrado em Agronomia) – Universidade Federal de Santa Maria, Santa Maria, 2008.</w:t>
      </w:r>
    </w:p>
    <w:p w14:paraId="6BFBED59" w14:textId="77777777" w:rsidR="003F6D94" w:rsidRPr="003B016F" w:rsidRDefault="003F6D94" w:rsidP="003F6D94">
      <w:pPr>
        <w:spacing w:after="0" w:line="240" w:lineRule="auto"/>
        <w:ind w:firstLine="0"/>
        <w:jc w:val="left"/>
        <w:rPr>
          <w:lang w:val="pt-PT"/>
        </w:rPr>
      </w:pPr>
    </w:p>
    <w:p w14:paraId="395FA4CF" w14:textId="77777777" w:rsidR="00254AFF" w:rsidRDefault="00254AFF" w:rsidP="003F6D94">
      <w:pPr>
        <w:spacing w:after="0" w:line="240" w:lineRule="auto"/>
        <w:ind w:firstLine="0"/>
        <w:jc w:val="left"/>
        <w:rPr>
          <w:lang w:val="pt-PT"/>
        </w:rPr>
      </w:pPr>
    </w:p>
    <w:p w14:paraId="578C7123" w14:textId="3ACD6CB0" w:rsidR="00495E2C" w:rsidRDefault="00495E2C" w:rsidP="003F6D94">
      <w:pPr>
        <w:spacing w:after="0" w:line="240" w:lineRule="auto"/>
        <w:ind w:firstLine="0"/>
        <w:jc w:val="left"/>
        <w:rPr>
          <w:lang w:val="pt-PT"/>
        </w:rPr>
      </w:pPr>
      <w:r w:rsidRPr="003B016F">
        <w:rPr>
          <w:lang w:val="pt-PT"/>
        </w:rPr>
        <w:t xml:space="preserve">OLIVEIRA, A.C.B.; GODOY, C.V.; MARTINS, M.C. Avaliação da Tolerância de Cultivares de Soja à Ferrugem Asiática no Oeste da Bahia. </w:t>
      </w:r>
      <w:r w:rsidRPr="003B016F">
        <w:rPr>
          <w:b/>
          <w:lang w:val="pt-PT"/>
        </w:rPr>
        <w:t>Fitopatolologia Brasileira</w:t>
      </w:r>
      <w:r w:rsidRPr="003B016F">
        <w:rPr>
          <w:lang w:val="pt-PT"/>
        </w:rPr>
        <w:t xml:space="preserve">, Brasília, v.30, n.6, p.658- 662, 2005. </w:t>
      </w:r>
    </w:p>
    <w:p w14:paraId="75CF716D" w14:textId="77777777" w:rsidR="003F6D94" w:rsidRPr="003B016F" w:rsidRDefault="003F6D94" w:rsidP="003F6D94">
      <w:pPr>
        <w:spacing w:after="0" w:line="240" w:lineRule="auto"/>
        <w:ind w:firstLine="0"/>
        <w:jc w:val="left"/>
        <w:rPr>
          <w:rStyle w:val="mixed-citation"/>
          <w:lang w:val="pt-PT"/>
        </w:rPr>
      </w:pPr>
    </w:p>
    <w:p w14:paraId="0063E265" w14:textId="77777777" w:rsidR="00254AFF" w:rsidRDefault="00254AFF" w:rsidP="003F6D94">
      <w:pPr>
        <w:spacing w:after="0" w:line="240" w:lineRule="auto"/>
        <w:ind w:firstLine="0"/>
        <w:jc w:val="left"/>
        <w:rPr>
          <w:rStyle w:val="mixed-citation"/>
          <w:lang w:val="pt-PT"/>
        </w:rPr>
      </w:pPr>
    </w:p>
    <w:p w14:paraId="5E3E1001" w14:textId="323F6C78" w:rsidR="00495E2C" w:rsidRDefault="00495E2C" w:rsidP="003F6D94">
      <w:pPr>
        <w:spacing w:after="0" w:line="240" w:lineRule="auto"/>
        <w:ind w:firstLine="0"/>
        <w:jc w:val="left"/>
        <w:rPr>
          <w:rStyle w:val="mixed-citation"/>
          <w:lang w:val="en"/>
        </w:rPr>
      </w:pPr>
      <w:r w:rsidRPr="003B016F">
        <w:rPr>
          <w:rStyle w:val="mixed-citation"/>
          <w:lang w:val="pt-PT"/>
        </w:rPr>
        <w:t xml:space="preserve">OLIVER, R. P. 2014. </w:t>
      </w:r>
      <w:r w:rsidRPr="003B016F">
        <w:rPr>
          <w:rStyle w:val="ref-title"/>
          <w:lang w:val="pt-PT"/>
        </w:rPr>
        <w:t>A reassessment of the risk of rust fungi developing resistance to fungicides.</w:t>
      </w:r>
      <w:r w:rsidRPr="003B016F">
        <w:rPr>
          <w:rStyle w:val="mixed-citation"/>
          <w:lang w:val="pt-PT"/>
        </w:rPr>
        <w:t xml:space="preserve"> </w:t>
      </w:r>
      <w:r w:rsidRPr="003B016F">
        <w:rPr>
          <w:rStyle w:val="nfase"/>
          <w:lang w:val="en"/>
        </w:rPr>
        <w:t>Pest Manag. Sci.</w:t>
      </w:r>
      <w:r w:rsidRPr="003B016F">
        <w:rPr>
          <w:rStyle w:val="mixed-citation"/>
          <w:lang w:val="en"/>
        </w:rPr>
        <w:t xml:space="preserve"> </w:t>
      </w:r>
      <w:r w:rsidRPr="003B016F">
        <w:rPr>
          <w:rStyle w:val="ref-vol"/>
          <w:lang w:val="en"/>
        </w:rPr>
        <w:t>70</w:t>
      </w:r>
      <w:r w:rsidRPr="003B016F">
        <w:rPr>
          <w:rStyle w:val="mixed-citation"/>
          <w:lang w:val="en"/>
        </w:rPr>
        <w:t xml:space="preserve"> 1641–1645 10.1002/ps.3767 </w:t>
      </w:r>
    </w:p>
    <w:p w14:paraId="4630F376" w14:textId="77777777" w:rsidR="003F6D94" w:rsidRPr="003B016F" w:rsidRDefault="003F6D94" w:rsidP="003F6D94">
      <w:pPr>
        <w:spacing w:after="0" w:line="240" w:lineRule="auto"/>
        <w:ind w:firstLine="0"/>
        <w:jc w:val="left"/>
        <w:rPr>
          <w:lang w:val="en-US"/>
        </w:rPr>
      </w:pPr>
    </w:p>
    <w:p w14:paraId="4256DAFB" w14:textId="77777777" w:rsidR="00254AFF" w:rsidRDefault="00254AFF" w:rsidP="003F6D94">
      <w:pPr>
        <w:spacing w:after="0" w:line="240" w:lineRule="auto"/>
        <w:ind w:firstLine="0"/>
        <w:jc w:val="left"/>
        <w:rPr>
          <w:lang w:val="en-US"/>
        </w:rPr>
      </w:pPr>
    </w:p>
    <w:p w14:paraId="1E63808A" w14:textId="282CB694" w:rsidR="00495E2C" w:rsidRDefault="00495E2C" w:rsidP="003F6D94">
      <w:pPr>
        <w:spacing w:after="0" w:line="240" w:lineRule="auto"/>
        <w:ind w:firstLine="0"/>
        <w:jc w:val="left"/>
        <w:rPr>
          <w:lang w:val="en-US"/>
        </w:rPr>
      </w:pPr>
      <w:r w:rsidRPr="003B016F">
        <w:rPr>
          <w:lang w:val="en-US"/>
        </w:rPr>
        <w:t>ONO, Y.; P. BURITICA; J. HENNEN. Delimitation of </w:t>
      </w:r>
      <w:r w:rsidRPr="003B016F">
        <w:rPr>
          <w:rStyle w:val="nfase"/>
          <w:lang w:val="en-US"/>
        </w:rPr>
        <w:t>Phakopsora, Physophella </w:t>
      </w:r>
      <w:r w:rsidRPr="003B016F">
        <w:rPr>
          <w:lang w:val="en-US"/>
        </w:rPr>
        <w:t>and </w:t>
      </w:r>
      <w:r w:rsidRPr="003B016F">
        <w:rPr>
          <w:rStyle w:val="nfase"/>
          <w:lang w:val="en-US"/>
        </w:rPr>
        <w:t>Cerotylium </w:t>
      </w:r>
      <w:r w:rsidRPr="003B016F">
        <w:rPr>
          <w:lang w:val="en-US"/>
        </w:rPr>
        <w:t>and their species on </w:t>
      </w:r>
      <w:r w:rsidRPr="003B016F">
        <w:rPr>
          <w:rStyle w:val="nfase"/>
          <w:lang w:val="en-US"/>
        </w:rPr>
        <w:t>Leguminosae. </w:t>
      </w:r>
      <w:r w:rsidRPr="003B016F">
        <w:rPr>
          <w:b/>
          <w:lang w:val="en-US"/>
        </w:rPr>
        <w:t>Mycological Research</w:t>
      </w:r>
      <w:r w:rsidRPr="003B016F">
        <w:rPr>
          <w:lang w:val="en-US"/>
        </w:rPr>
        <w:t>. v. 96, p. 825-850, 1992.</w:t>
      </w:r>
    </w:p>
    <w:p w14:paraId="56652168" w14:textId="77777777" w:rsidR="00817EAE" w:rsidRPr="003B016F" w:rsidRDefault="00817EAE" w:rsidP="003F6D94">
      <w:pPr>
        <w:spacing w:after="0" w:line="240" w:lineRule="auto"/>
        <w:ind w:firstLine="0"/>
        <w:jc w:val="left"/>
        <w:rPr>
          <w:lang w:val="en-US"/>
        </w:rPr>
      </w:pPr>
    </w:p>
    <w:p w14:paraId="562699C8" w14:textId="77777777" w:rsidR="00254AFF" w:rsidRDefault="00254AFF" w:rsidP="003F6D94">
      <w:pPr>
        <w:spacing w:after="0" w:line="240" w:lineRule="auto"/>
        <w:ind w:firstLine="0"/>
        <w:jc w:val="left"/>
        <w:rPr>
          <w:lang w:val="en-US"/>
        </w:rPr>
      </w:pPr>
    </w:p>
    <w:p w14:paraId="50AA66DE" w14:textId="00BF843A" w:rsidR="00ED230E" w:rsidRDefault="00495E2C" w:rsidP="003F6D94">
      <w:pPr>
        <w:spacing w:after="0" w:line="240" w:lineRule="auto"/>
        <w:ind w:firstLine="0"/>
        <w:jc w:val="left"/>
        <w:rPr>
          <w:lang w:val="en-US"/>
        </w:rPr>
      </w:pPr>
      <w:r w:rsidRPr="003B016F">
        <w:rPr>
          <w:lang w:val="en-US"/>
        </w:rPr>
        <w:t xml:space="preserve">PATIL, P.V.; ANAHOSUR, K.H. Control of soybean rust by fungicides. </w:t>
      </w:r>
      <w:r w:rsidRPr="003B016F">
        <w:rPr>
          <w:rStyle w:val="Forte"/>
          <w:lang w:val="en-US"/>
        </w:rPr>
        <w:t>Indian Phytopathology</w:t>
      </w:r>
      <w:r w:rsidRPr="003B016F">
        <w:rPr>
          <w:lang w:val="en-US"/>
        </w:rPr>
        <w:t>, New Delhi, v. 51, p. 265-268, 1998.</w:t>
      </w:r>
    </w:p>
    <w:p w14:paraId="4E4058B2" w14:textId="77777777" w:rsidR="00817EAE" w:rsidRDefault="00817EAE" w:rsidP="003F6D94">
      <w:pPr>
        <w:spacing w:after="0" w:line="240" w:lineRule="auto"/>
        <w:ind w:firstLine="0"/>
        <w:jc w:val="left"/>
        <w:rPr>
          <w:lang w:val="en-US"/>
        </w:rPr>
      </w:pPr>
    </w:p>
    <w:p w14:paraId="1E17B094" w14:textId="77777777" w:rsidR="00254AFF" w:rsidRDefault="00254AFF" w:rsidP="003F6D94">
      <w:pPr>
        <w:spacing w:after="0" w:line="240" w:lineRule="auto"/>
        <w:ind w:firstLine="0"/>
        <w:jc w:val="left"/>
        <w:rPr>
          <w:lang w:val="en-US"/>
        </w:rPr>
      </w:pPr>
    </w:p>
    <w:p w14:paraId="0D297279" w14:textId="21E660AE" w:rsidR="00495E2C" w:rsidRPr="003B016F" w:rsidRDefault="00495E2C" w:rsidP="003F6D94">
      <w:pPr>
        <w:spacing w:after="0" w:line="240" w:lineRule="auto"/>
        <w:ind w:firstLine="0"/>
        <w:jc w:val="left"/>
        <w:rPr>
          <w:lang w:val="en-US"/>
        </w:rPr>
      </w:pPr>
      <w:r w:rsidRPr="003B016F">
        <w:rPr>
          <w:lang w:val="en-US"/>
        </w:rPr>
        <w:t xml:space="preserve">PRETORIUS, Z.A.; KLOPPERS, F.J.; FREDERICK, R.D. First report of soybean rust in South Africa. </w:t>
      </w:r>
      <w:r w:rsidRPr="003B016F">
        <w:rPr>
          <w:b/>
          <w:lang w:val="en-US"/>
        </w:rPr>
        <w:t>Plant Disease</w:t>
      </w:r>
      <w:r w:rsidRPr="003B016F">
        <w:rPr>
          <w:lang w:val="en-US"/>
        </w:rPr>
        <w:t>, v.85, p.1288, 2001. DOI: 10.1094/PDIS.2001.85.12.1288C.</w:t>
      </w:r>
    </w:p>
    <w:p w14:paraId="1614F6A2" w14:textId="15978447" w:rsidR="00254AFF" w:rsidRDefault="00254AFF" w:rsidP="003F6D94">
      <w:pPr>
        <w:spacing w:after="0" w:line="240" w:lineRule="auto"/>
        <w:ind w:firstLine="0"/>
        <w:jc w:val="left"/>
        <w:rPr>
          <w:lang w:val="en-US"/>
        </w:rPr>
      </w:pPr>
    </w:p>
    <w:p w14:paraId="70BA4E0A" w14:textId="77777777" w:rsidR="00817EAE" w:rsidRDefault="00817EAE" w:rsidP="003F6D94">
      <w:pPr>
        <w:spacing w:after="0" w:line="240" w:lineRule="auto"/>
        <w:ind w:firstLine="0"/>
        <w:jc w:val="left"/>
        <w:rPr>
          <w:lang w:val="en-US"/>
        </w:rPr>
      </w:pPr>
    </w:p>
    <w:p w14:paraId="03D76BB1" w14:textId="0DDDEE8B" w:rsidR="00495E2C" w:rsidRPr="003B016F" w:rsidRDefault="00495E2C" w:rsidP="003F6D94">
      <w:pPr>
        <w:spacing w:after="0" w:line="240" w:lineRule="auto"/>
        <w:ind w:firstLine="0"/>
        <w:jc w:val="left"/>
        <w:rPr>
          <w:lang w:val="en-US"/>
        </w:rPr>
      </w:pPr>
      <w:r w:rsidRPr="003B016F">
        <w:rPr>
          <w:lang w:val="en-US"/>
        </w:rPr>
        <w:t xml:space="preserve">PRICE, C.L.; PARKER, J.E.; WARRILOW, A.G.S.; KELLY, D.E.; KELLY, S. L. Azole fungicides understanding resistance mechanisms in agricultural fungal pathogens. </w:t>
      </w:r>
      <w:r w:rsidRPr="003B016F">
        <w:rPr>
          <w:b/>
          <w:lang w:val="en-US"/>
        </w:rPr>
        <w:t>Pest Management Science</w:t>
      </w:r>
      <w:r w:rsidRPr="003B016F">
        <w:rPr>
          <w:lang w:val="en-US"/>
        </w:rPr>
        <w:t>, v. 71, p. 1054–1058, 2015.</w:t>
      </w:r>
    </w:p>
    <w:p w14:paraId="4EA34118" w14:textId="3650C2F4" w:rsidR="00254AFF" w:rsidRDefault="00254AFF" w:rsidP="003F6D94">
      <w:pPr>
        <w:spacing w:after="0" w:line="240" w:lineRule="auto"/>
        <w:ind w:firstLine="0"/>
        <w:jc w:val="left"/>
        <w:rPr>
          <w:lang w:val="en-US"/>
        </w:rPr>
      </w:pPr>
    </w:p>
    <w:p w14:paraId="5353E514" w14:textId="77777777" w:rsidR="00817EAE" w:rsidRDefault="00817EAE" w:rsidP="003F6D94">
      <w:pPr>
        <w:spacing w:after="0" w:line="240" w:lineRule="auto"/>
        <w:ind w:firstLine="0"/>
        <w:jc w:val="left"/>
        <w:rPr>
          <w:lang w:val="en-US"/>
        </w:rPr>
      </w:pPr>
    </w:p>
    <w:p w14:paraId="2F051054" w14:textId="54881352" w:rsidR="00495E2C" w:rsidRDefault="00495E2C" w:rsidP="003F6D94">
      <w:pPr>
        <w:spacing w:after="0" w:line="240" w:lineRule="auto"/>
        <w:ind w:firstLine="0"/>
        <w:jc w:val="left"/>
        <w:rPr>
          <w:lang w:val="en-US"/>
        </w:rPr>
      </w:pPr>
      <w:r w:rsidRPr="003B016F">
        <w:rPr>
          <w:lang w:val="en-US"/>
        </w:rPr>
        <w:t xml:space="preserve">REIS, E. M.; DEUNER, E.; ZANATTA, M. In vivo sensitivity of </w:t>
      </w:r>
      <w:r w:rsidRPr="003B016F">
        <w:rPr>
          <w:i/>
          <w:lang w:val="en-US"/>
        </w:rPr>
        <w:t>Phakopsora pachyrhizi</w:t>
      </w:r>
      <w:r w:rsidRPr="003B016F">
        <w:rPr>
          <w:lang w:val="en-US"/>
        </w:rPr>
        <w:t xml:space="preserve"> to DMI and QoI fungicides. </w:t>
      </w:r>
      <w:r w:rsidRPr="003B016F">
        <w:rPr>
          <w:b/>
          <w:lang w:val="en-US"/>
        </w:rPr>
        <w:t>Summa Phytopathologica</w:t>
      </w:r>
      <w:r w:rsidRPr="003B016F">
        <w:rPr>
          <w:lang w:val="en-US"/>
        </w:rPr>
        <w:t>, Botucatu. v. 41, n. 1, p. 21-24, 2015.</w:t>
      </w:r>
    </w:p>
    <w:p w14:paraId="035A0F94" w14:textId="77777777" w:rsidR="00817EAE" w:rsidRPr="003B016F" w:rsidRDefault="00817EAE" w:rsidP="003F6D94">
      <w:pPr>
        <w:spacing w:after="0" w:line="240" w:lineRule="auto"/>
        <w:ind w:firstLine="0"/>
        <w:jc w:val="left"/>
        <w:rPr>
          <w:shd w:val="clear" w:color="auto" w:fill="FFFFFF"/>
          <w:lang w:val="en-US"/>
        </w:rPr>
      </w:pPr>
    </w:p>
    <w:p w14:paraId="23B463D3" w14:textId="5A6653B1" w:rsidR="00254AFF" w:rsidRDefault="00254AFF" w:rsidP="003F6D94">
      <w:pPr>
        <w:spacing w:after="0" w:line="240" w:lineRule="auto"/>
        <w:ind w:firstLine="0"/>
        <w:jc w:val="left"/>
        <w:rPr>
          <w:shd w:val="clear" w:color="auto" w:fill="FFFFFF"/>
          <w:lang w:val="en-US"/>
        </w:rPr>
      </w:pPr>
    </w:p>
    <w:p w14:paraId="27875186" w14:textId="06079A46" w:rsidR="00495E2C" w:rsidRPr="008D0421" w:rsidRDefault="00495E2C" w:rsidP="003F6D94">
      <w:pPr>
        <w:spacing w:after="0" w:line="240" w:lineRule="auto"/>
        <w:ind w:firstLine="0"/>
        <w:jc w:val="left"/>
        <w:rPr>
          <w:shd w:val="clear" w:color="auto" w:fill="FFFFFF"/>
        </w:rPr>
      </w:pPr>
      <w:r w:rsidRPr="003B016F">
        <w:rPr>
          <w:shd w:val="clear" w:color="auto" w:fill="FFFFFF"/>
          <w:lang w:val="en-US"/>
        </w:rPr>
        <w:t>REIS, E. M.; ZANATTA, T.; ZANATTA, M. Curative and eradicant action of fungicides to control </w:t>
      </w:r>
      <w:r w:rsidRPr="003B016F">
        <w:rPr>
          <w:rStyle w:val="nfase"/>
          <w:shd w:val="clear" w:color="auto" w:fill="FFFFFF"/>
          <w:lang w:val="en-US"/>
        </w:rPr>
        <w:t>Phakopsora pachyrhizi</w:t>
      </w:r>
      <w:r w:rsidRPr="003B016F">
        <w:rPr>
          <w:shd w:val="clear" w:color="auto" w:fill="FFFFFF"/>
          <w:lang w:val="en-US"/>
        </w:rPr>
        <w:t xml:space="preserve"> in soybean plants. </w:t>
      </w:r>
      <w:r w:rsidRPr="008D0421">
        <w:rPr>
          <w:b/>
          <w:shd w:val="clear" w:color="auto" w:fill="FFFFFF"/>
        </w:rPr>
        <w:t>Summa Phytopathologica</w:t>
      </w:r>
      <w:r w:rsidRPr="008D0421">
        <w:rPr>
          <w:shd w:val="clear" w:color="auto" w:fill="FFFFFF"/>
        </w:rPr>
        <w:t>. Botucatu, v.42, n.4, p.295-302, 2016.</w:t>
      </w:r>
    </w:p>
    <w:p w14:paraId="6CB62BAB" w14:textId="679CE620" w:rsidR="00254AFF" w:rsidRDefault="00254AFF" w:rsidP="003F6D94">
      <w:pPr>
        <w:spacing w:after="0" w:line="240" w:lineRule="auto"/>
        <w:ind w:firstLine="0"/>
        <w:jc w:val="left"/>
        <w:rPr>
          <w:shd w:val="clear" w:color="auto" w:fill="FFFFFF"/>
        </w:rPr>
      </w:pPr>
    </w:p>
    <w:p w14:paraId="093549A5" w14:textId="77777777" w:rsidR="00817EAE" w:rsidRPr="008D0421" w:rsidRDefault="00817EAE" w:rsidP="003F6D94">
      <w:pPr>
        <w:spacing w:after="0" w:line="240" w:lineRule="auto"/>
        <w:ind w:firstLine="0"/>
        <w:jc w:val="left"/>
        <w:rPr>
          <w:shd w:val="clear" w:color="auto" w:fill="FFFFFF"/>
        </w:rPr>
      </w:pPr>
    </w:p>
    <w:p w14:paraId="72A60F11" w14:textId="77777777" w:rsidR="00817EAE" w:rsidRDefault="00D00510" w:rsidP="003F6D94">
      <w:pPr>
        <w:spacing w:after="0" w:line="240" w:lineRule="auto"/>
        <w:ind w:firstLine="0"/>
        <w:jc w:val="left"/>
        <w:rPr>
          <w:rStyle w:val="article-title"/>
          <w:b/>
          <w:bCs/>
          <w:shd w:val="clear" w:color="auto" w:fill="FFFFFF"/>
        </w:rPr>
      </w:pPr>
      <w:hyperlink r:id="rId20" w:history="1">
        <w:r w:rsidR="00495E2C" w:rsidRPr="003B016F">
          <w:rPr>
            <w:rStyle w:val="Hyperlink"/>
            <w:color w:val="auto"/>
            <w:u w:val="none"/>
            <w:shd w:val="clear" w:color="auto" w:fill="FFFFFF"/>
          </w:rPr>
          <w:t>REIS, E. M.</w:t>
        </w:r>
      </w:hyperlink>
      <w:r w:rsidR="00495E2C" w:rsidRPr="003B016F">
        <w:rPr>
          <w:shd w:val="clear" w:color="auto" w:fill="FFFFFF"/>
        </w:rPr>
        <w:t>; </w:t>
      </w:r>
      <w:hyperlink r:id="rId21" w:history="1">
        <w:r w:rsidR="00495E2C" w:rsidRPr="003B016F">
          <w:rPr>
            <w:rStyle w:val="Hyperlink"/>
            <w:color w:val="auto"/>
            <w:u w:val="none"/>
            <w:shd w:val="clear" w:color="auto" w:fill="FFFFFF"/>
          </w:rPr>
          <w:t>CARREGAL, L. H.</w:t>
        </w:r>
      </w:hyperlink>
      <w:r w:rsidR="00495E2C" w:rsidRPr="003B016F">
        <w:rPr>
          <w:shd w:val="clear" w:color="auto" w:fill="FFFFFF"/>
        </w:rPr>
        <w:t>  &amp;  </w:t>
      </w:r>
      <w:hyperlink r:id="rId22" w:history="1">
        <w:r w:rsidR="00495E2C" w:rsidRPr="003B016F">
          <w:rPr>
            <w:rStyle w:val="Hyperlink"/>
            <w:color w:val="auto"/>
            <w:u w:val="none"/>
            <w:shd w:val="clear" w:color="auto" w:fill="FFFFFF"/>
          </w:rPr>
          <w:t>ZANATTA, M</w:t>
        </w:r>
      </w:hyperlink>
      <w:r w:rsidR="00495E2C" w:rsidRPr="003B016F">
        <w:rPr>
          <w:shd w:val="clear" w:color="auto" w:fill="FFFFFF"/>
        </w:rPr>
        <w:t xml:space="preserve">. </w:t>
      </w:r>
      <w:r w:rsidR="00495E2C" w:rsidRPr="003B016F">
        <w:rPr>
          <w:rStyle w:val="article-title"/>
          <w:b/>
          <w:bCs/>
          <w:shd w:val="clear" w:color="auto" w:fill="FFFFFF"/>
        </w:rPr>
        <w:t xml:space="preserve">Comparação da eficácia de </w:t>
      </w:r>
    </w:p>
    <w:p w14:paraId="3685855D" w14:textId="5C57079F" w:rsidR="00495E2C" w:rsidRDefault="00495E2C" w:rsidP="003F6D94">
      <w:pPr>
        <w:spacing w:after="0" w:line="240" w:lineRule="auto"/>
        <w:ind w:firstLine="0"/>
        <w:jc w:val="left"/>
        <w:rPr>
          <w:shd w:val="clear" w:color="auto" w:fill="FFFFFF"/>
        </w:rPr>
      </w:pPr>
      <w:r w:rsidRPr="003B016F">
        <w:rPr>
          <w:rStyle w:val="article-title"/>
          <w:b/>
          <w:bCs/>
          <w:shd w:val="clear" w:color="auto" w:fill="FFFFFF"/>
        </w:rPr>
        <w:t>fungicidas IQes, isolados ou em mistura com triazóis, no controle da ferrugem asiática da soja, safra 2016/17.</w:t>
      </w:r>
      <w:r w:rsidRPr="003B016F">
        <w:rPr>
          <w:b/>
          <w:iCs/>
          <w:shd w:val="clear" w:color="auto" w:fill="FFFFFF"/>
        </w:rPr>
        <w:t> Summa phytopathol</w:t>
      </w:r>
      <w:r w:rsidRPr="003B016F">
        <w:rPr>
          <w:i/>
          <w:iCs/>
          <w:shd w:val="clear" w:color="auto" w:fill="FFFFFF"/>
        </w:rPr>
        <w:t>.</w:t>
      </w:r>
      <w:r w:rsidRPr="003B016F">
        <w:rPr>
          <w:shd w:val="clear" w:color="auto" w:fill="FFFFFF"/>
        </w:rPr>
        <w:t> vol.45, n.1, pp.28-32. 2019</w:t>
      </w:r>
      <w:r w:rsidR="00ED230E">
        <w:rPr>
          <w:shd w:val="clear" w:color="auto" w:fill="FFFFFF"/>
        </w:rPr>
        <w:t>.</w:t>
      </w:r>
    </w:p>
    <w:p w14:paraId="11CC3FF2" w14:textId="77777777" w:rsidR="00817EAE" w:rsidRPr="003B016F" w:rsidRDefault="00817EAE" w:rsidP="003F6D94">
      <w:pPr>
        <w:spacing w:after="0" w:line="240" w:lineRule="auto"/>
        <w:ind w:firstLine="0"/>
        <w:jc w:val="left"/>
      </w:pPr>
    </w:p>
    <w:p w14:paraId="6D394860" w14:textId="77777777" w:rsidR="00AB5066" w:rsidRDefault="00AB5066" w:rsidP="003F6D94">
      <w:pPr>
        <w:spacing w:after="0" w:line="240" w:lineRule="auto"/>
        <w:ind w:firstLine="0"/>
        <w:jc w:val="left"/>
      </w:pPr>
    </w:p>
    <w:p w14:paraId="0846BA1F" w14:textId="0E01918B" w:rsidR="00495E2C" w:rsidRPr="003B016F" w:rsidRDefault="00495E2C" w:rsidP="003F6D94">
      <w:pPr>
        <w:spacing w:after="0" w:line="240" w:lineRule="auto"/>
        <w:ind w:firstLine="0"/>
        <w:jc w:val="left"/>
      </w:pPr>
      <w:r w:rsidRPr="003B016F">
        <w:t xml:space="preserve">REIS, E.M.; CASA, R.T. </w:t>
      </w:r>
      <w:r w:rsidRPr="003B016F">
        <w:rPr>
          <w:rStyle w:val="Forte"/>
        </w:rPr>
        <w:t>Doenças da soja: etiologia, sintomatologia, diagnose e manejo integrado</w:t>
      </w:r>
      <w:r w:rsidRPr="003B016F">
        <w:t>. Passo Fundo: Berthier, 2012, v. 1, 433p.</w:t>
      </w:r>
    </w:p>
    <w:p w14:paraId="47DF1B22" w14:textId="77777777" w:rsidR="00AB5066" w:rsidRDefault="00AB5066" w:rsidP="003F6D94">
      <w:pPr>
        <w:spacing w:after="0" w:line="240" w:lineRule="auto"/>
        <w:ind w:firstLine="0"/>
        <w:jc w:val="left"/>
      </w:pPr>
    </w:p>
    <w:p w14:paraId="03542453" w14:textId="499A84A2" w:rsidR="00495E2C" w:rsidRPr="003B016F" w:rsidRDefault="00495E2C" w:rsidP="003F6D94">
      <w:pPr>
        <w:spacing w:after="0" w:line="240" w:lineRule="auto"/>
        <w:ind w:firstLine="0"/>
        <w:jc w:val="left"/>
      </w:pPr>
      <w:r w:rsidRPr="003B016F">
        <w:t xml:space="preserve">REIS, E.M.; REIS, A.C.; CARMONA, M.A. </w:t>
      </w:r>
      <w:r w:rsidRPr="003B016F">
        <w:rPr>
          <w:b/>
        </w:rPr>
        <w:t>Manual de fungicidas: Guia para controle químico racional de doenças de plantas.</w:t>
      </w:r>
      <w:r w:rsidRPr="003B016F">
        <w:t xml:space="preserve"> 7º ed. Passo Fundo. </w:t>
      </w:r>
      <w:r w:rsidR="009358DF" w:rsidRPr="003B016F">
        <w:t>Ed. Universidade</w:t>
      </w:r>
      <w:r w:rsidRPr="003B016F">
        <w:t xml:space="preserve"> de Passo Fundo, 278p. 2016.</w:t>
      </w:r>
    </w:p>
    <w:p w14:paraId="66F90B71" w14:textId="63BDF0F1" w:rsidR="00AB5066" w:rsidRDefault="00AB5066" w:rsidP="003F6D94">
      <w:pPr>
        <w:spacing w:after="0" w:line="240" w:lineRule="auto"/>
        <w:ind w:firstLine="0"/>
        <w:jc w:val="left"/>
      </w:pPr>
    </w:p>
    <w:p w14:paraId="08D13914" w14:textId="77777777" w:rsidR="00817EAE" w:rsidRDefault="00817EAE" w:rsidP="003F6D94">
      <w:pPr>
        <w:spacing w:after="0" w:line="240" w:lineRule="auto"/>
        <w:ind w:firstLine="0"/>
        <w:jc w:val="left"/>
      </w:pPr>
    </w:p>
    <w:p w14:paraId="4498DE9F" w14:textId="5D875A7A" w:rsidR="00495E2C" w:rsidRDefault="00495E2C" w:rsidP="003F6D94">
      <w:pPr>
        <w:spacing w:after="0" w:line="240" w:lineRule="auto"/>
        <w:ind w:firstLine="0"/>
        <w:jc w:val="left"/>
      </w:pPr>
      <w:r w:rsidRPr="003B016F">
        <w:t>REUNIÃO DE PESQUISA DE SOJA DA REGIÃO SUL, 40, 2014, Pelotas. Indicações técnicas para a cultura da soja no Rio Grande do Sul e em Santa Catarina, safras 2014/2015 e 2015/2016. Pelotas: Embrapa Clima Temperado, 2014. 124p.</w:t>
      </w:r>
    </w:p>
    <w:p w14:paraId="2CA6EC96" w14:textId="77777777" w:rsidR="00817EAE" w:rsidRPr="003B016F" w:rsidRDefault="00817EAE" w:rsidP="003F6D94">
      <w:pPr>
        <w:spacing w:after="0" w:line="240" w:lineRule="auto"/>
        <w:ind w:firstLine="0"/>
        <w:jc w:val="left"/>
      </w:pPr>
    </w:p>
    <w:p w14:paraId="4F6FC3EF" w14:textId="77777777" w:rsidR="00AB5066" w:rsidRDefault="00AB5066" w:rsidP="003F6D94">
      <w:pPr>
        <w:spacing w:after="0" w:line="240" w:lineRule="auto"/>
        <w:ind w:firstLine="0"/>
        <w:jc w:val="left"/>
      </w:pPr>
    </w:p>
    <w:p w14:paraId="439546AB" w14:textId="1ACF1069" w:rsidR="00495E2C" w:rsidRDefault="00495E2C" w:rsidP="003F6D94">
      <w:pPr>
        <w:spacing w:after="0" w:line="240" w:lineRule="auto"/>
        <w:ind w:firstLine="0"/>
        <w:jc w:val="left"/>
        <w:rPr>
          <w:lang w:val="en-US"/>
        </w:rPr>
      </w:pPr>
      <w:r w:rsidRPr="003B016F">
        <w:t xml:space="preserve">ROESE, A.D.; MELO, C.L.P.; GOULART, A.C.P. Espaçamento entre linhas e severidade da ferrugem-asiática da soja.  </w:t>
      </w:r>
      <w:r w:rsidRPr="003B016F">
        <w:rPr>
          <w:b/>
          <w:lang w:val="en-US"/>
        </w:rPr>
        <w:t>Summa Phytopathologica</w:t>
      </w:r>
      <w:r w:rsidRPr="003B016F">
        <w:rPr>
          <w:lang w:val="en-US"/>
        </w:rPr>
        <w:t>, v.38, n.4, p.300-305, 2012.</w:t>
      </w:r>
    </w:p>
    <w:p w14:paraId="14B53E6D" w14:textId="77777777" w:rsidR="00817EAE" w:rsidRPr="003B016F" w:rsidRDefault="00817EAE" w:rsidP="003F6D94">
      <w:pPr>
        <w:spacing w:after="0" w:line="240" w:lineRule="auto"/>
        <w:ind w:firstLine="0"/>
        <w:jc w:val="left"/>
        <w:rPr>
          <w:lang w:val="en-US"/>
        </w:rPr>
      </w:pPr>
    </w:p>
    <w:p w14:paraId="165C4AB0" w14:textId="77777777" w:rsidR="00AB5066" w:rsidRDefault="00AB5066" w:rsidP="003F6D94">
      <w:pPr>
        <w:spacing w:after="0" w:line="240" w:lineRule="auto"/>
        <w:ind w:firstLine="0"/>
        <w:jc w:val="left"/>
        <w:rPr>
          <w:lang w:val="en-US"/>
        </w:rPr>
      </w:pPr>
    </w:p>
    <w:p w14:paraId="2D4896F0" w14:textId="0DBC92E6" w:rsidR="00495E2C" w:rsidRPr="003B016F" w:rsidRDefault="00495E2C" w:rsidP="003F6D94">
      <w:pPr>
        <w:spacing w:after="0" w:line="240" w:lineRule="auto"/>
        <w:ind w:firstLine="0"/>
        <w:jc w:val="left"/>
        <w:rPr>
          <w:lang w:val="en-US"/>
        </w:rPr>
      </w:pPr>
      <w:r w:rsidRPr="003B016F">
        <w:rPr>
          <w:lang w:val="en-US"/>
        </w:rPr>
        <w:t xml:space="preserve">ROSSI, R.L. First report of </w:t>
      </w:r>
      <w:r w:rsidRPr="003B016F">
        <w:rPr>
          <w:i/>
          <w:lang w:val="en-US"/>
        </w:rPr>
        <w:t>Phakopsora pachyrhizi</w:t>
      </w:r>
      <w:r w:rsidRPr="003B016F">
        <w:rPr>
          <w:lang w:val="en-US"/>
        </w:rPr>
        <w:t xml:space="preserve">, the causal organism of soybean rust in the province of Misiones, Argentina. </w:t>
      </w:r>
      <w:r w:rsidRPr="003B016F">
        <w:rPr>
          <w:b/>
          <w:lang w:val="en-US"/>
        </w:rPr>
        <w:t>Plant Disease</w:t>
      </w:r>
      <w:r w:rsidRPr="003B016F">
        <w:rPr>
          <w:lang w:val="en-US"/>
        </w:rPr>
        <w:t>, v.87, p.102, 2003. DOI: 10.1094/ PDIS.2003.87.1.102A.</w:t>
      </w:r>
    </w:p>
    <w:p w14:paraId="2DD6A28F" w14:textId="08288A82" w:rsidR="00AB5066" w:rsidRDefault="00AB5066" w:rsidP="003F6D94">
      <w:pPr>
        <w:spacing w:after="0" w:line="240" w:lineRule="auto"/>
        <w:ind w:firstLine="0"/>
        <w:jc w:val="left"/>
        <w:rPr>
          <w:lang w:val="en-US"/>
        </w:rPr>
      </w:pPr>
    </w:p>
    <w:p w14:paraId="16564577" w14:textId="77777777" w:rsidR="00817EAE" w:rsidRDefault="00817EAE" w:rsidP="003F6D94">
      <w:pPr>
        <w:spacing w:after="0" w:line="240" w:lineRule="auto"/>
        <w:ind w:firstLine="0"/>
        <w:jc w:val="left"/>
        <w:rPr>
          <w:lang w:val="en-US"/>
        </w:rPr>
      </w:pPr>
    </w:p>
    <w:p w14:paraId="46277845" w14:textId="6DAA0033" w:rsidR="00495E2C" w:rsidRPr="003B016F" w:rsidRDefault="00495E2C" w:rsidP="003F6D94">
      <w:pPr>
        <w:spacing w:after="0" w:line="240" w:lineRule="auto"/>
        <w:ind w:firstLine="0"/>
        <w:jc w:val="left"/>
        <w:rPr>
          <w:lang w:val="en-US"/>
        </w:rPr>
      </w:pPr>
      <w:r w:rsidRPr="003B016F">
        <w:rPr>
          <w:lang w:val="en-US"/>
        </w:rPr>
        <w:t xml:space="preserve">RYTTER, J.L.; DOWLER, W.M.; BROMFIELD, K.R. Additional alternative hosts of </w:t>
      </w:r>
      <w:r w:rsidRPr="003B016F">
        <w:rPr>
          <w:i/>
          <w:lang w:val="en-US"/>
        </w:rPr>
        <w:t>Phakopsora pachyrhizi</w:t>
      </w:r>
      <w:r w:rsidRPr="003B016F">
        <w:rPr>
          <w:lang w:val="en-US"/>
        </w:rPr>
        <w:t xml:space="preserve">, causal agent of soybean rust. </w:t>
      </w:r>
      <w:r w:rsidRPr="003B016F">
        <w:rPr>
          <w:b/>
          <w:lang w:val="en-US"/>
        </w:rPr>
        <w:t>Plant Disease</w:t>
      </w:r>
      <w:r w:rsidRPr="003B016F">
        <w:rPr>
          <w:lang w:val="en-US"/>
        </w:rPr>
        <w:t>, v.68, p.818‑819, 1984.</w:t>
      </w:r>
    </w:p>
    <w:p w14:paraId="5B8AB39C" w14:textId="05866C4E" w:rsidR="00AB5066" w:rsidRDefault="00AB5066" w:rsidP="003F6D94">
      <w:pPr>
        <w:pStyle w:val="Default"/>
        <w:rPr>
          <w:color w:val="auto"/>
        </w:rPr>
      </w:pPr>
    </w:p>
    <w:p w14:paraId="10F5A7AF" w14:textId="77777777" w:rsidR="00817EAE" w:rsidRDefault="00817EAE" w:rsidP="003F6D94">
      <w:pPr>
        <w:pStyle w:val="Default"/>
        <w:rPr>
          <w:color w:val="auto"/>
        </w:rPr>
      </w:pPr>
    </w:p>
    <w:p w14:paraId="26C9A181" w14:textId="3B2E92A8" w:rsidR="00495E2C" w:rsidRDefault="00495E2C" w:rsidP="003F6D94">
      <w:pPr>
        <w:pStyle w:val="Default"/>
        <w:rPr>
          <w:color w:val="auto"/>
        </w:rPr>
      </w:pPr>
      <w:r w:rsidRPr="003B016F">
        <w:rPr>
          <w:color w:val="auto"/>
        </w:rPr>
        <w:t xml:space="preserve">SAMOUCHA, Y. AND GISI, U. Systemicity and persistence of cymoxanil in mixture with oxadixyl and mancozeb against </w:t>
      </w:r>
      <w:r w:rsidRPr="003B016F">
        <w:rPr>
          <w:i/>
          <w:color w:val="auto"/>
        </w:rPr>
        <w:t>Phytophthora infestans</w:t>
      </w:r>
      <w:r w:rsidRPr="003B016F">
        <w:rPr>
          <w:color w:val="auto"/>
        </w:rPr>
        <w:t xml:space="preserve"> and </w:t>
      </w:r>
      <w:r w:rsidRPr="003B016F">
        <w:rPr>
          <w:i/>
          <w:color w:val="auto"/>
        </w:rPr>
        <w:t>Plasmopara viticola</w:t>
      </w:r>
      <w:r w:rsidRPr="003B016F">
        <w:rPr>
          <w:color w:val="auto"/>
        </w:rPr>
        <w:t xml:space="preserve">. </w:t>
      </w:r>
      <w:r w:rsidRPr="003B016F">
        <w:rPr>
          <w:b/>
          <w:color w:val="auto"/>
        </w:rPr>
        <w:t>Crop Prot.</w:t>
      </w:r>
      <w:r w:rsidRPr="003B016F">
        <w:rPr>
          <w:color w:val="auto"/>
        </w:rPr>
        <w:t xml:space="preserve"> v. 6. p. 393-398. 1987.</w:t>
      </w:r>
    </w:p>
    <w:p w14:paraId="04BD05B6" w14:textId="77777777" w:rsidR="00817EAE" w:rsidRPr="003B016F" w:rsidRDefault="00817EAE" w:rsidP="003F6D94">
      <w:pPr>
        <w:pStyle w:val="Default"/>
        <w:rPr>
          <w:color w:val="auto"/>
        </w:rPr>
      </w:pPr>
    </w:p>
    <w:p w14:paraId="2C184312" w14:textId="77777777" w:rsidR="00AB5066" w:rsidRDefault="00AB5066" w:rsidP="003F6D94">
      <w:pPr>
        <w:spacing w:after="0" w:line="240" w:lineRule="auto"/>
        <w:ind w:firstLine="0"/>
        <w:jc w:val="left"/>
        <w:rPr>
          <w:lang w:val="en-US"/>
        </w:rPr>
      </w:pPr>
    </w:p>
    <w:p w14:paraId="282A147C" w14:textId="73194927" w:rsidR="00495E2C" w:rsidRPr="003B016F" w:rsidRDefault="00495E2C" w:rsidP="003F6D94">
      <w:pPr>
        <w:spacing w:after="0" w:line="240" w:lineRule="auto"/>
        <w:ind w:firstLine="0"/>
        <w:jc w:val="left"/>
        <w:rPr>
          <w:lang w:val="en-US"/>
        </w:rPr>
      </w:pPr>
      <w:r w:rsidRPr="003B016F">
        <w:rPr>
          <w:lang w:val="en-US"/>
        </w:rPr>
        <w:t xml:space="preserve">SCHERM, H.; CHRISTIANO, R.S.C.; ESKER, P.D.; DEL PONTE, E.M.; GODOY, C.V. Quantitative review of fungicide efficacy trials for managing soybean rust in Brazil. </w:t>
      </w:r>
      <w:r w:rsidRPr="003B016F">
        <w:rPr>
          <w:b/>
          <w:lang w:val="en-US"/>
        </w:rPr>
        <w:t>Crop Protection</w:t>
      </w:r>
      <w:r w:rsidRPr="003B016F">
        <w:rPr>
          <w:lang w:val="en-US"/>
        </w:rPr>
        <w:t xml:space="preserve">, v.28, p.774‑782, 2009. </w:t>
      </w:r>
    </w:p>
    <w:p w14:paraId="443ACFD7" w14:textId="6290BFF4" w:rsidR="00AB5066" w:rsidRDefault="00AB5066" w:rsidP="003F6D94">
      <w:pPr>
        <w:spacing w:after="0" w:line="240" w:lineRule="auto"/>
        <w:ind w:firstLine="0"/>
        <w:jc w:val="left"/>
        <w:rPr>
          <w:lang w:val="en-US"/>
        </w:rPr>
      </w:pPr>
    </w:p>
    <w:p w14:paraId="6620CD41" w14:textId="77777777" w:rsidR="00817EAE" w:rsidRDefault="00817EAE" w:rsidP="003F6D94">
      <w:pPr>
        <w:spacing w:after="0" w:line="240" w:lineRule="auto"/>
        <w:ind w:firstLine="0"/>
        <w:jc w:val="left"/>
        <w:rPr>
          <w:lang w:val="en-US"/>
        </w:rPr>
      </w:pPr>
    </w:p>
    <w:p w14:paraId="2143739C" w14:textId="0BD56666" w:rsidR="00495E2C" w:rsidRDefault="00495E2C" w:rsidP="003F6D94">
      <w:pPr>
        <w:spacing w:after="0" w:line="240" w:lineRule="auto"/>
        <w:ind w:firstLine="0"/>
        <w:jc w:val="left"/>
        <w:rPr>
          <w:lang w:val="en-US"/>
        </w:rPr>
      </w:pPr>
      <w:r w:rsidRPr="003B016F">
        <w:rPr>
          <w:lang w:val="en-US"/>
        </w:rPr>
        <w:t xml:space="preserve">SCHMITZ, H.K.; MEDEIROS, C.A.; CRAIG, I.R.; STAMMLER, G. Sensitivity of </w:t>
      </w:r>
      <w:r w:rsidRPr="003B016F">
        <w:rPr>
          <w:i/>
          <w:lang w:val="en-US"/>
        </w:rPr>
        <w:t>Phakopsora pachyrhizi</w:t>
      </w:r>
      <w:r w:rsidRPr="003B016F">
        <w:rPr>
          <w:lang w:val="en-US"/>
        </w:rPr>
        <w:t xml:space="preserve"> towards quinone‑outside‑inhibitors and demethylation‑inhibitors, and corresponding resistance mechanisms. </w:t>
      </w:r>
      <w:r w:rsidRPr="003B016F">
        <w:rPr>
          <w:b/>
          <w:lang w:val="en-US"/>
        </w:rPr>
        <w:t>Pest Management Science</w:t>
      </w:r>
      <w:r w:rsidRPr="003B016F">
        <w:rPr>
          <w:lang w:val="en-US"/>
        </w:rPr>
        <w:t xml:space="preserve">, v.70, p.378‑388, 2013. </w:t>
      </w:r>
    </w:p>
    <w:p w14:paraId="14C60703" w14:textId="0C07BB29" w:rsidR="00817EAE" w:rsidRDefault="00817EAE" w:rsidP="003F6D94">
      <w:pPr>
        <w:spacing w:after="0" w:line="240" w:lineRule="auto"/>
        <w:ind w:firstLine="0"/>
        <w:jc w:val="left"/>
        <w:rPr>
          <w:lang w:val="en-US"/>
        </w:rPr>
      </w:pPr>
    </w:p>
    <w:p w14:paraId="1FA3C8CC" w14:textId="77777777" w:rsidR="00817EAE" w:rsidRPr="003B016F" w:rsidRDefault="00817EAE" w:rsidP="003F6D94">
      <w:pPr>
        <w:spacing w:after="0" w:line="240" w:lineRule="auto"/>
        <w:ind w:firstLine="0"/>
        <w:jc w:val="left"/>
        <w:rPr>
          <w:lang w:val="en-US"/>
        </w:rPr>
      </w:pPr>
    </w:p>
    <w:p w14:paraId="283B73C7" w14:textId="77777777" w:rsidR="00817EAE" w:rsidRDefault="00495E2C" w:rsidP="003F6D94">
      <w:pPr>
        <w:spacing w:after="0" w:line="240" w:lineRule="auto"/>
        <w:ind w:firstLine="0"/>
        <w:jc w:val="left"/>
        <w:rPr>
          <w:lang w:val="en-US"/>
        </w:rPr>
      </w:pPr>
      <w:r w:rsidRPr="003B016F">
        <w:rPr>
          <w:lang w:val="en-US"/>
        </w:rPr>
        <w:t xml:space="preserve">SCHNEIDER, R.W.; HOLIER, C.A.; WHITAM, H.K; PALM, M.E.; McKEMY, J.M.; </w:t>
      </w:r>
    </w:p>
    <w:p w14:paraId="0D466156" w14:textId="136F19BF" w:rsidR="00495E2C" w:rsidRPr="003B016F" w:rsidRDefault="00495E2C" w:rsidP="003F6D94">
      <w:pPr>
        <w:spacing w:after="0" w:line="240" w:lineRule="auto"/>
        <w:ind w:firstLine="0"/>
        <w:jc w:val="left"/>
        <w:rPr>
          <w:rStyle w:val="nlmstring-name2"/>
          <w:b w:val="0"/>
          <w:lang w:val="en-US"/>
        </w:rPr>
      </w:pPr>
      <w:r w:rsidRPr="003B016F">
        <w:rPr>
          <w:lang w:val="en-US"/>
        </w:rPr>
        <w:t xml:space="preserve">HERNÁNDEZ, J.R.; LEVY, L.; DEVRIES‑PATERSON, R. First report of soybean rust caused by </w:t>
      </w:r>
      <w:r w:rsidRPr="003B016F">
        <w:rPr>
          <w:i/>
          <w:lang w:val="en-US"/>
        </w:rPr>
        <w:t>Phakopsora pachyrhizi</w:t>
      </w:r>
      <w:r w:rsidRPr="003B016F">
        <w:rPr>
          <w:lang w:val="en-US"/>
        </w:rPr>
        <w:t xml:space="preserve"> in the continental United States. </w:t>
      </w:r>
      <w:r w:rsidRPr="003B016F">
        <w:rPr>
          <w:b/>
          <w:lang w:val="en-US"/>
        </w:rPr>
        <w:t>Plant Disease</w:t>
      </w:r>
      <w:r w:rsidRPr="003B016F">
        <w:rPr>
          <w:lang w:val="en-US"/>
        </w:rPr>
        <w:t>, v.89, p.774, 2005.</w:t>
      </w:r>
    </w:p>
    <w:p w14:paraId="1AA277BE" w14:textId="695AF6B9" w:rsidR="00AB5066" w:rsidRDefault="00AB5066" w:rsidP="003F6D94">
      <w:pPr>
        <w:spacing w:after="0" w:line="240" w:lineRule="auto"/>
        <w:ind w:firstLine="0"/>
        <w:jc w:val="left"/>
        <w:rPr>
          <w:rStyle w:val="nlmstring-name2"/>
          <w:b w:val="0"/>
          <w:lang w:val="en-US"/>
        </w:rPr>
      </w:pPr>
    </w:p>
    <w:p w14:paraId="5B914844" w14:textId="77777777" w:rsidR="00817EAE" w:rsidRDefault="00817EAE" w:rsidP="003F6D94">
      <w:pPr>
        <w:spacing w:after="0" w:line="240" w:lineRule="auto"/>
        <w:ind w:firstLine="0"/>
        <w:jc w:val="left"/>
        <w:rPr>
          <w:rStyle w:val="nlmstring-name2"/>
          <w:b w:val="0"/>
          <w:lang w:val="en-US"/>
        </w:rPr>
      </w:pPr>
    </w:p>
    <w:p w14:paraId="018E4066" w14:textId="1F444F49" w:rsidR="00495E2C" w:rsidRPr="003B016F" w:rsidRDefault="00495E2C" w:rsidP="003F6D94">
      <w:pPr>
        <w:spacing w:after="0" w:line="240" w:lineRule="auto"/>
        <w:ind w:firstLine="0"/>
        <w:jc w:val="left"/>
        <w:rPr>
          <w:lang w:val="en-US"/>
        </w:rPr>
      </w:pPr>
      <w:r w:rsidRPr="003B016F">
        <w:rPr>
          <w:rStyle w:val="nlmstring-name2"/>
          <w:b w:val="0"/>
          <w:lang w:val="en-US"/>
        </w:rPr>
        <w:t>SCONYERS, L. E.</w:t>
      </w:r>
      <w:r w:rsidRPr="003B016F">
        <w:rPr>
          <w:b/>
          <w:lang w:val="en-US"/>
        </w:rPr>
        <w:t xml:space="preserve">; </w:t>
      </w:r>
      <w:r w:rsidRPr="003B016F">
        <w:rPr>
          <w:rStyle w:val="nlmstring-name2"/>
          <w:b w:val="0"/>
          <w:lang w:val="en-US"/>
        </w:rPr>
        <w:t>KERMERAIT, R. C.</w:t>
      </w:r>
      <w:r w:rsidRPr="003B016F">
        <w:rPr>
          <w:b/>
          <w:lang w:val="en-US"/>
        </w:rPr>
        <w:t xml:space="preserve">; </w:t>
      </w:r>
      <w:r w:rsidRPr="003B016F">
        <w:rPr>
          <w:rStyle w:val="nlmstring-name2"/>
          <w:b w:val="0"/>
          <w:lang w:val="en-US"/>
        </w:rPr>
        <w:t>BROCK, J.</w:t>
      </w:r>
      <w:r w:rsidRPr="003B016F">
        <w:rPr>
          <w:b/>
          <w:lang w:val="en-US"/>
        </w:rPr>
        <w:t xml:space="preserve">; </w:t>
      </w:r>
      <w:r w:rsidRPr="003B016F">
        <w:rPr>
          <w:rStyle w:val="nlmstring-name2"/>
          <w:b w:val="0"/>
          <w:lang w:val="en-US"/>
        </w:rPr>
        <w:t>PHILLIPS, D. V.</w:t>
      </w:r>
      <w:r w:rsidRPr="003B016F">
        <w:rPr>
          <w:b/>
          <w:lang w:val="en-US"/>
        </w:rPr>
        <w:t xml:space="preserve">; </w:t>
      </w:r>
      <w:r w:rsidRPr="003B016F">
        <w:rPr>
          <w:rStyle w:val="nlmstring-name2"/>
          <w:b w:val="0"/>
          <w:lang w:val="en-US"/>
        </w:rPr>
        <w:t>JOST, P. H.</w:t>
      </w:r>
      <w:r w:rsidRPr="003B016F">
        <w:rPr>
          <w:b/>
          <w:lang w:val="en-US"/>
        </w:rPr>
        <w:t xml:space="preserve">; </w:t>
      </w:r>
      <w:r w:rsidRPr="003B016F">
        <w:rPr>
          <w:rStyle w:val="nlmstring-name2"/>
          <w:b w:val="0"/>
          <w:lang w:val="en-US"/>
        </w:rPr>
        <w:t>SIKORA, E. J.</w:t>
      </w:r>
      <w:r w:rsidRPr="003B016F">
        <w:rPr>
          <w:b/>
          <w:lang w:val="en-US"/>
        </w:rPr>
        <w:t xml:space="preserve">; </w:t>
      </w:r>
      <w:r w:rsidRPr="003B016F">
        <w:rPr>
          <w:rStyle w:val="nlmstring-name2"/>
          <w:b w:val="0"/>
          <w:lang w:val="en-US"/>
        </w:rPr>
        <w:t>GUTIERREZ-ESTRADA, A.</w:t>
      </w:r>
      <w:r w:rsidRPr="003B016F">
        <w:rPr>
          <w:b/>
          <w:lang w:val="en-US"/>
        </w:rPr>
        <w:t xml:space="preserve">; </w:t>
      </w:r>
      <w:r w:rsidRPr="003B016F">
        <w:rPr>
          <w:rStyle w:val="nlmstring-name2"/>
          <w:b w:val="0"/>
          <w:lang w:val="en-US"/>
        </w:rPr>
        <w:t>MUELLER, J. D.</w:t>
      </w:r>
      <w:r w:rsidRPr="003B016F">
        <w:rPr>
          <w:b/>
          <w:lang w:val="en-US"/>
        </w:rPr>
        <w:t xml:space="preserve">; </w:t>
      </w:r>
      <w:r w:rsidRPr="003B016F">
        <w:rPr>
          <w:rStyle w:val="nlmstring-name2"/>
          <w:b w:val="0"/>
          <w:lang w:val="en-US"/>
        </w:rPr>
        <w:t>MAROIS, J. J.</w:t>
      </w:r>
      <w:r w:rsidRPr="003B016F">
        <w:rPr>
          <w:b/>
          <w:lang w:val="en-US"/>
        </w:rPr>
        <w:t xml:space="preserve">; </w:t>
      </w:r>
      <w:r w:rsidRPr="003B016F">
        <w:rPr>
          <w:rStyle w:val="nlmstring-name2"/>
          <w:b w:val="0"/>
          <w:lang w:val="en-US"/>
        </w:rPr>
        <w:t>WRIGHT, D. L.</w:t>
      </w:r>
      <w:r w:rsidRPr="003B016F">
        <w:rPr>
          <w:b/>
          <w:lang w:val="en-US"/>
        </w:rPr>
        <w:t xml:space="preserve">; and </w:t>
      </w:r>
      <w:r w:rsidRPr="003B016F">
        <w:rPr>
          <w:rStyle w:val="nlmstring-name2"/>
          <w:b w:val="0"/>
          <w:lang w:val="en-US"/>
        </w:rPr>
        <w:t>HARMON, C. L.</w:t>
      </w:r>
      <w:r w:rsidRPr="003B016F">
        <w:rPr>
          <w:lang w:val="en-US"/>
        </w:rPr>
        <w:t xml:space="preserve"> Asian soybean rust development in 2005: A perspective from the Southeastern United States. </w:t>
      </w:r>
      <w:r w:rsidRPr="003B016F">
        <w:rPr>
          <w:b/>
          <w:lang w:val="en-US"/>
        </w:rPr>
        <w:t>APSnet Feature</w:t>
      </w:r>
      <w:r w:rsidRPr="003B016F">
        <w:rPr>
          <w:lang w:val="en-US"/>
        </w:rPr>
        <w:t xml:space="preserve">. Online publication. </w:t>
      </w:r>
      <w:r w:rsidRPr="003B016F">
        <w:rPr>
          <w:rStyle w:val="nlmyear"/>
          <w:lang w:val="en-US"/>
        </w:rPr>
        <w:t>2006</w:t>
      </w:r>
      <w:r w:rsidRPr="003B016F">
        <w:rPr>
          <w:lang w:val="en-US"/>
        </w:rPr>
        <w:t xml:space="preserve">. </w:t>
      </w:r>
      <w:hyperlink r:id="rId23" w:tgtFrame="_blank" w:history="1">
        <w:r w:rsidRPr="003B016F">
          <w:rPr>
            <w:rStyle w:val="Hyperlink"/>
            <w:rFonts w:eastAsiaTheme="majorEastAsia"/>
            <w:color w:val="auto"/>
            <w:u w:val="none"/>
            <w:lang w:val="en-US"/>
          </w:rPr>
          <w:t>https://www.apsnet.org/publications/apsnetfeatures/Pages/SoybeanRustDev.aspx</w:t>
        </w:r>
      </w:hyperlink>
    </w:p>
    <w:p w14:paraId="3AF8E04F" w14:textId="77777777" w:rsidR="00AB5066" w:rsidRPr="008D0421" w:rsidRDefault="00AB5066" w:rsidP="003F6D94">
      <w:pPr>
        <w:spacing w:after="0" w:line="240" w:lineRule="auto"/>
        <w:ind w:firstLine="0"/>
        <w:jc w:val="left"/>
        <w:rPr>
          <w:lang w:val="en-US"/>
        </w:rPr>
      </w:pPr>
    </w:p>
    <w:p w14:paraId="18340FA3" w14:textId="65D86DCB" w:rsidR="00495E2C" w:rsidRPr="003B016F" w:rsidRDefault="00495E2C" w:rsidP="003F6D94">
      <w:pPr>
        <w:spacing w:after="0" w:line="240" w:lineRule="auto"/>
        <w:ind w:firstLine="0"/>
        <w:jc w:val="left"/>
      </w:pPr>
      <w:r w:rsidRPr="003B016F">
        <w:rPr>
          <w:lang w:val="pt-PT"/>
        </w:rPr>
        <w:t>SEIXAS, C.D.S.; GODOY, C.V. 2007. Vazio sanitário: panorama nacional e medidas de monitoramento. Anais do simpósio brasileiro de ferrugem asiática da soja. Embrapa, Londrina, p 23–33.</w:t>
      </w:r>
    </w:p>
    <w:p w14:paraId="47CD9222" w14:textId="6F8E4353" w:rsidR="00AB5066" w:rsidRDefault="00AB5066" w:rsidP="003F6D94">
      <w:pPr>
        <w:spacing w:after="0" w:line="240" w:lineRule="auto"/>
        <w:ind w:firstLine="0"/>
        <w:jc w:val="left"/>
      </w:pPr>
    </w:p>
    <w:p w14:paraId="3FB9B333" w14:textId="77777777" w:rsidR="00817EAE" w:rsidRPr="008D0421" w:rsidRDefault="00817EAE" w:rsidP="003F6D94">
      <w:pPr>
        <w:spacing w:after="0" w:line="240" w:lineRule="auto"/>
        <w:ind w:firstLine="0"/>
        <w:jc w:val="left"/>
      </w:pPr>
    </w:p>
    <w:p w14:paraId="1B8D5C85" w14:textId="521C82AB" w:rsidR="00495E2C" w:rsidRDefault="00495E2C" w:rsidP="003F6D94">
      <w:pPr>
        <w:spacing w:after="0" w:line="240" w:lineRule="auto"/>
        <w:ind w:firstLine="0"/>
        <w:jc w:val="left"/>
        <w:rPr>
          <w:lang w:val="en-US"/>
        </w:rPr>
      </w:pPr>
      <w:r w:rsidRPr="003B016F">
        <w:rPr>
          <w:lang w:val="en-US"/>
        </w:rPr>
        <w:t xml:space="preserve">SIEROTZKI, H., and SCALLIET, G. 2013. A review of current knowledge of resistance aspects for the next-generation succinate dehydrogenase inhibitor fungicides. </w:t>
      </w:r>
      <w:r w:rsidRPr="003B016F">
        <w:rPr>
          <w:b/>
          <w:lang w:val="en-US"/>
        </w:rPr>
        <w:t>Phytopathology</w:t>
      </w:r>
      <w:r w:rsidRPr="003B016F">
        <w:rPr>
          <w:lang w:val="en-US"/>
        </w:rPr>
        <w:t>. v.103. p.880-887.</w:t>
      </w:r>
    </w:p>
    <w:p w14:paraId="2ACDBD7A" w14:textId="77777777" w:rsidR="00817EAE" w:rsidRPr="003B016F" w:rsidRDefault="00817EAE" w:rsidP="003F6D94">
      <w:pPr>
        <w:spacing w:after="0" w:line="240" w:lineRule="auto"/>
        <w:ind w:firstLine="0"/>
        <w:jc w:val="left"/>
        <w:rPr>
          <w:lang w:val="en-US"/>
        </w:rPr>
      </w:pPr>
    </w:p>
    <w:p w14:paraId="2D43BAA6" w14:textId="77777777" w:rsidR="00AB5066" w:rsidRDefault="00AB5066" w:rsidP="003F6D94">
      <w:pPr>
        <w:spacing w:after="0" w:line="240" w:lineRule="auto"/>
        <w:ind w:firstLine="0"/>
        <w:jc w:val="left"/>
        <w:rPr>
          <w:lang w:val="en-US"/>
        </w:rPr>
      </w:pPr>
    </w:p>
    <w:p w14:paraId="708759E8" w14:textId="346BF932" w:rsidR="00495E2C" w:rsidRPr="003B016F" w:rsidRDefault="00495E2C" w:rsidP="003F6D94">
      <w:pPr>
        <w:spacing w:after="0" w:line="240" w:lineRule="auto"/>
        <w:ind w:firstLine="0"/>
        <w:jc w:val="left"/>
        <w:rPr>
          <w:lang w:val="en-US"/>
        </w:rPr>
      </w:pPr>
      <w:r w:rsidRPr="003B016F">
        <w:rPr>
          <w:lang w:val="en-US"/>
        </w:rPr>
        <w:t xml:space="preserve">SIMÕES, K.; HAWLIK, A.; REHFUS, A.; GAVA, F.; STAMMLER, G. First detection of a SDH variant with reduced SDHI sensitivity in </w:t>
      </w:r>
      <w:r w:rsidRPr="003B016F">
        <w:rPr>
          <w:i/>
          <w:lang w:val="en-US"/>
        </w:rPr>
        <w:t xml:space="preserve">Phakopsora pachyrhizi. </w:t>
      </w:r>
      <w:r w:rsidRPr="003B016F">
        <w:rPr>
          <w:b/>
          <w:lang w:val="en-US"/>
        </w:rPr>
        <w:t xml:space="preserve">J Plant Dis Prot., </w:t>
      </w:r>
      <w:r w:rsidRPr="003B016F">
        <w:rPr>
          <w:lang w:val="en-US"/>
        </w:rPr>
        <w:t>v.124, p. 1-6, 2017.</w:t>
      </w:r>
    </w:p>
    <w:p w14:paraId="5DC5E872" w14:textId="31EAC59E" w:rsidR="00AB5066" w:rsidRDefault="00AB5066" w:rsidP="003F6D94">
      <w:pPr>
        <w:spacing w:after="0" w:line="240" w:lineRule="auto"/>
        <w:ind w:firstLine="0"/>
        <w:jc w:val="left"/>
        <w:rPr>
          <w:lang w:val="en-US"/>
        </w:rPr>
      </w:pPr>
    </w:p>
    <w:p w14:paraId="16ABFF24" w14:textId="77777777" w:rsidR="00817EAE" w:rsidRDefault="00817EAE" w:rsidP="003F6D94">
      <w:pPr>
        <w:spacing w:after="0" w:line="240" w:lineRule="auto"/>
        <w:ind w:firstLine="0"/>
        <w:jc w:val="left"/>
        <w:rPr>
          <w:lang w:val="en-US"/>
        </w:rPr>
      </w:pPr>
    </w:p>
    <w:p w14:paraId="3FE7A33E" w14:textId="5F67B928" w:rsidR="00495E2C" w:rsidRDefault="00495E2C" w:rsidP="003F6D94">
      <w:pPr>
        <w:spacing w:after="0" w:line="240" w:lineRule="auto"/>
        <w:ind w:firstLine="0"/>
        <w:jc w:val="left"/>
        <w:rPr>
          <w:lang w:val="en-US"/>
        </w:rPr>
      </w:pPr>
      <w:r w:rsidRPr="003B016F">
        <w:rPr>
          <w:lang w:val="en-US"/>
        </w:rPr>
        <w:t>SINCLAIR, J.B.; HARTMAN G.L. Management of Soybean Rust. In: Proceedings of the Soybean Rust Workshop, 1, 1995, Urban. Urbana: College of agricultural, Consumer, and Environmental Sciences, National Soybean Research Laboratory Publication, 1996.</w:t>
      </w:r>
    </w:p>
    <w:p w14:paraId="29370C66" w14:textId="77777777" w:rsidR="00817EAE" w:rsidRPr="003B016F" w:rsidRDefault="00817EAE" w:rsidP="003F6D94">
      <w:pPr>
        <w:spacing w:after="0" w:line="240" w:lineRule="auto"/>
        <w:ind w:firstLine="0"/>
        <w:jc w:val="left"/>
        <w:rPr>
          <w:lang w:val="en-US"/>
        </w:rPr>
      </w:pPr>
    </w:p>
    <w:p w14:paraId="3CDBF61C" w14:textId="77777777" w:rsidR="00AB5066" w:rsidRDefault="00AB5066" w:rsidP="003F6D94">
      <w:pPr>
        <w:spacing w:after="0" w:line="240" w:lineRule="auto"/>
        <w:ind w:firstLine="0"/>
        <w:jc w:val="left"/>
        <w:rPr>
          <w:lang w:val="en-US"/>
        </w:rPr>
      </w:pPr>
    </w:p>
    <w:p w14:paraId="05AE9340" w14:textId="3FE368DD" w:rsidR="00495E2C" w:rsidRDefault="00495E2C" w:rsidP="003F6D94">
      <w:pPr>
        <w:spacing w:after="0" w:line="240" w:lineRule="auto"/>
        <w:ind w:firstLine="0"/>
        <w:jc w:val="left"/>
        <w:rPr>
          <w:lang w:val="en-US"/>
        </w:rPr>
      </w:pPr>
      <w:r w:rsidRPr="003B016F">
        <w:rPr>
          <w:lang w:val="en-US"/>
        </w:rPr>
        <w:t xml:space="preserve">SINCLAIR, J.B.; HARTMAN, G.L. Soybean rust. In: HARTMAN, G.L.; SINCLAIR, J.B.; RUPE, J.C. (Eds.) </w:t>
      </w:r>
      <w:r w:rsidRPr="003B016F">
        <w:rPr>
          <w:b/>
          <w:bCs/>
          <w:lang w:val="en-US"/>
        </w:rPr>
        <w:t>Compendium of soybean diseases</w:t>
      </w:r>
      <w:r w:rsidRPr="003B016F">
        <w:rPr>
          <w:lang w:val="en-US"/>
        </w:rPr>
        <w:t>. 4a ed. St. Paul EUA. APS Press. p.3-4, 1999.</w:t>
      </w:r>
    </w:p>
    <w:p w14:paraId="123ACEE3" w14:textId="77777777" w:rsidR="00817EAE" w:rsidRPr="003B016F" w:rsidRDefault="00817EAE" w:rsidP="003F6D94">
      <w:pPr>
        <w:spacing w:after="0" w:line="240" w:lineRule="auto"/>
        <w:ind w:firstLine="0"/>
        <w:jc w:val="left"/>
        <w:rPr>
          <w:lang w:val="en-US"/>
        </w:rPr>
      </w:pPr>
    </w:p>
    <w:p w14:paraId="30ABF781" w14:textId="77777777" w:rsidR="00AB5066" w:rsidRDefault="00AB5066" w:rsidP="003F6D94">
      <w:pPr>
        <w:spacing w:after="0" w:line="240" w:lineRule="auto"/>
        <w:ind w:firstLine="0"/>
        <w:jc w:val="left"/>
        <w:rPr>
          <w:lang w:val="en-US"/>
        </w:rPr>
      </w:pPr>
    </w:p>
    <w:p w14:paraId="462C65DF" w14:textId="5D7D72DA" w:rsidR="00495E2C" w:rsidRPr="003B016F" w:rsidRDefault="00495E2C" w:rsidP="003F6D94">
      <w:pPr>
        <w:spacing w:after="0" w:line="240" w:lineRule="auto"/>
        <w:ind w:firstLine="0"/>
        <w:jc w:val="left"/>
        <w:rPr>
          <w:lang w:val="en-US"/>
        </w:rPr>
      </w:pPr>
      <w:r w:rsidRPr="003B016F">
        <w:rPr>
          <w:lang w:val="en-US"/>
        </w:rPr>
        <w:t xml:space="preserve">SINGH, B.B.; THAPLIYAL, P.N. Breeding for resistance to soybean rust in India. In: FORD, R.E.; SINCLAIR, J.B. (Ed.). </w:t>
      </w:r>
      <w:r w:rsidRPr="003B016F">
        <w:rPr>
          <w:b/>
          <w:lang w:val="en-US"/>
        </w:rPr>
        <w:t>Rust of soybean: the problem and research needs.</w:t>
      </w:r>
      <w:r w:rsidRPr="003B016F">
        <w:rPr>
          <w:lang w:val="en-US"/>
        </w:rPr>
        <w:t xml:space="preserve"> Urbana: University of Illinois, 1977. p. 62-65. (INTSOY. Series, 12). </w:t>
      </w:r>
    </w:p>
    <w:p w14:paraId="2E189D96" w14:textId="751FA3D1" w:rsidR="00AB5066" w:rsidRDefault="00AB5066" w:rsidP="003F6D94">
      <w:pPr>
        <w:spacing w:after="0" w:line="240" w:lineRule="auto"/>
        <w:ind w:firstLine="0"/>
        <w:jc w:val="left"/>
        <w:rPr>
          <w:lang w:val="en-US"/>
        </w:rPr>
      </w:pPr>
    </w:p>
    <w:p w14:paraId="59DC8275" w14:textId="77777777" w:rsidR="00817EAE" w:rsidRDefault="00817EAE" w:rsidP="003F6D94">
      <w:pPr>
        <w:spacing w:after="0" w:line="240" w:lineRule="auto"/>
        <w:ind w:firstLine="0"/>
        <w:jc w:val="left"/>
        <w:rPr>
          <w:lang w:val="en-US"/>
        </w:rPr>
      </w:pPr>
    </w:p>
    <w:p w14:paraId="15608846" w14:textId="5042CF54" w:rsidR="00495E2C" w:rsidRPr="003B016F" w:rsidRDefault="00495E2C" w:rsidP="003F6D94">
      <w:pPr>
        <w:spacing w:after="0" w:line="240" w:lineRule="auto"/>
        <w:ind w:firstLine="0"/>
        <w:jc w:val="left"/>
        <w:rPr>
          <w:lang w:val="en-US"/>
        </w:rPr>
      </w:pPr>
      <w:r w:rsidRPr="003B016F">
        <w:rPr>
          <w:lang w:val="en-US"/>
        </w:rPr>
        <w:t xml:space="preserve">SLAMINKO, T. L.; MILES, M. R.; FREDERICK, R. D.; BONDE, M. R.; HARTMAN, G. L. New legume hosts of </w:t>
      </w:r>
      <w:r w:rsidRPr="003B016F">
        <w:rPr>
          <w:i/>
          <w:iCs/>
          <w:lang w:val="en-US"/>
        </w:rPr>
        <w:t>Phakopsora</w:t>
      </w:r>
      <w:r w:rsidRPr="003B016F">
        <w:rPr>
          <w:lang w:val="en-US"/>
        </w:rPr>
        <w:t xml:space="preserve"> </w:t>
      </w:r>
      <w:r w:rsidRPr="003B016F">
        <w:rPr>
          <w:i/>
          <w:iCs/>
          <w:lang w:val="en-US"/>
        </w:rPr>
        <w:t xml:space="preserve">pachyrhizi </w:t>
      </w:r>
      <w:r w:rsidRPr="003B016F">
        <w:rPr>
          <w:lang w:val="en-US"/>
        </w:rPr>
        <w:t xml:space="preserve">based on greenhouse evaluations. </w:t>
      </w:r>
      <w:r w:rsidRPr="003B016F">
        <w:rPr>
          <w:b/>
          <w:iCs/>
          <w:lang w:val="en-US"/>
        </w:rPr>
        <w:t>Plant Disease</w:t>
      </w:r>
      <w:r w:rsidRPr="003B016F">
        <w:rPr>
          <w:lang w:val="en-US"/>
        </w:rPr>
        <w:t>, v. 92, n. 5, p. 767-771, 2008.</w:t>
      </w:r>
    </w:p>
    <w:p w14:paraId="347E24BE" w14:textId="7B85B451" w:rsidR="00AB5066" w:rsidRDefault="00AB5066" w:rsidP="003F6D94">
      <w:pPr>
        <w:spacing w:after="0" w:line="240" w:lineRule="auto"/>
        <w:ind w:firstLine="0"/>
        <w:jc w:val="left"/>
        <w:rPr>
          <w:lang w:val="en-US"/>
        </w:rPr>
      </w:pPr>
    </w:p>
    <w:p w14:paraId="53638441" w14:textId="77777777" w:rsidR="00817EAE" w:rsidRDefault="00817EAE" w:rsidP="003F6D94">
      <w:pPr>
        <w:spacing w:after="0" w:line="240" w:lineRule="auto"/>
        <w:ind w:firstLine="0"/>
        <w:jc w:val="left"/>
        <w:rPr>
          <w:lang w:val="en-US"/>
        </w:rPr>
      </w:pPr>
    </w:p>
    <w:p w14:paraId="000D937A" w14:textId="2BD5A322" w:rsidR="00B72CB2" w:rsidRDefault="00495E2C" w:rsidP="003F6D94">
      <w:pPr>
        <w:spacing w:after="0" w:line="240" w:lineRule="auto"/>
        <w:ind w:firstLine="0"/>
        <w:jc w:val="left"/>
      </w:pPr>
      <w:r w:rsidRPr="003B016F">
        <w:rPr>
          <w:lang w:val="en-US"/>
        </w:rPr>
        <w:t xml:space="preserve">SOARES, R.M.; AKAMATSU, H.; YAMANAKA, N.; SUENAGA, K.; YAMAOKA, Y.; IVACOVICH, A.; MOREL, W.; JANEGITZ, T. </w:t>
      </w:r>
      <w:r w:rsidRPr="003B016F">
        <w:rPr>
          <w:b/>
          <w:lang w:val="en-US"/>
        </w:rPr>
        <w:t xml:space="preserve">Variabilidade patogênica do fungo </w:t>
      </w:r>
      <w:r w:rsidRPr="003B016F">
        <w:rPr>
          <w:b/>
          <w:i/>
          <w:lang w:val="en-US"/>
        </w:rPr>
        <w:t>Phakopsora pachyrhizi.</w:t>
      </w:r>
      <w:r w:rsidRPr="003B016F">
        <w:rPr>
          <w:b/>
          <w:lang w:val="en-US"/>
        </w:rPr>
        <w:t xml:space="preserve"> </w:t>
      </w:r>
      <w:r w:rsidRPr="003B016F">
        <w:t xml:space="preserve">Parte I – projeto ferrugem da soja JIRCAS/Embrapa Soja/ CRIA/ INTA/Tsukuba University. </w:t>
      </w:r>
    </w:p>
    <w:p w14:paraId="3DE009F2" w14:textId="77777777" w:rsidR="00817EAE" w:rsidRDefault="00817EAE" w:rsidP="003F6D94">
      <w:pPr>
        <w:spacing w:after="0" w:line="240" w:lineRule="auto"/>
        <w:ind w:firstLine="0"/>
        <w:jc w:val="left"/>
      </w:pPr>
    </w:p>
    <w:p w14:paraId="4EAA8D14" w14:textId="77777777" w:rsidR="00AB5066" w:rsidRPr="008D0421" w:rsidRDefault="00AB5066" w:rsidP="003F6D94">
      <w:pPr>
        <w:spacing w:after="0" w:line="240" w:lineRule="auto"/>
        <w:ind w:firstLine="0"/>
        <w:jc w:val="left"/>
      </w:pPr>
    </w:p>
    <w:p w14:paraId="3FBB0676" w14:textId="665464C3" w:rsidR="00B72CB2" w:rsidRDefault="00495E2C" w:rsidP="003F6D94">
      <w:pPr>
        <w:spacing w:after="0" w:line="240" w:lineRule="auto"/>
        <w:ind w:firstLine="0"/>
        <w:jc w:val="left"/>
        <w:rPr>
          <w:lang w:val="en-US"/>
        </w:rPr>
      </w:pPr>
      <w:r w:rsidRPr="003B016F">
        <w:rPr>
          <w:lang w:val="en-US"/>
        </w:rPr>
        <w:t xml:space="preserve">SOUSA, P. F. C.; ALVES, E.; CASTRO, H. A. Effect of temperature on teliospores development of </w:t>
      </w:r>
      <w:r w:rsidRPr="003B016F">
        <w:rPr>
          <w:i/>
          <w:lang w:val="en-US"/>
        </w:rPr>
        <w:t>Phakopsora pachyrhizi</w:t>
      </w:r>
      <w:r w:rsidRPr="003B016F">
        <w:rPr>
          <w:lang w:val="en-US"/>
        </w:rPr>
        <w:t xml:space="preserve"> in soybean leaflets. </w:t>
      </w:r>
      <w:r w:rsidRPr="003B016F">
        <w:rPr>
          <w:b/>
          <w:lang w:val="en-US"/>
        </w:rPr>
        <w:t>Summa Phytopathologica</w:t>
      </w:r>
      <w:r w:rsidRPr="003B016F">
        <w:rPr>
          <w:lang w:val="en-US"/>
        </w:rPr>
        <w:t xml:space="preserve">. v.32, n.3, p.227-231, 2006. </w:t>
      </w:r>
    </w:p>
    <w:p w14:paraId="2D352E86" w14:textId="56EA6467" w:rsidR="00AB5066" w:rsidRDefault="00AB5066" w:rsidP="003F6D94">
      <w:pPr>
        <w:spacing w:after="0" w:line="240" w:lineRule="auto"/>
        <w:ind w:firstLine="0"/>
        <w:jc w:val="left"/>
        <w:rPr>
          <w:lang w:val="en-US"/>
        </w:rPr>
      </w:pPr>
    </w:p>
    <w:p w14:paraId="791A94F0" w14:textId="77777777" w:rsidR="00817EAE" w:rsidRDefault="00817EAE" w:rsidP="003F6D94">
      <w:pPr>
        <w:spacing w:after="0" w:line="240" w:lineRule="auto"/>
        <w:ind w:firstLine="0"/>
        <w:jc w:val="left"/>
        <w:rPr>
          <w:lang w:val="en-US"/>
        </w:rPr>
      </w:pPr>
    </w:p>
    <w:p w14:paraId="03ABC5E1" w14:textId="7FF32090" w:rsidR="00B72CB2" w:rsidRDefault="00495E2C" w:rsidP="003F6D94">
      <w:pPr>
        <w:spacing w:after="0" w:line="240" w:lineRule="auto"/>
        <w:ind w:firstLine="0"/>
        <w:jc w:val="left"/>
      </w:pPr>
      <w:r w:rsidRPr="00B72CB2">
        <w:rPr>
          <w:lang w:val="en-US"/>
        </w:rPr>
        <w:t xml:space="preserve">STAUB, T. Fungicide resistance: practical experience and anti resistance strategies and the role of integrated use. </w:t>
      </w:r>
      <w:r w:rsidRPr="003B016F">
        <w:rPr>
          <w:b/>
        </w:rPr>
        <w:t>Ann. Rev. Phytopathol.</w:t>
      </w:r>
      <w:r w:rsidRPr="003B016F">
        <w:t xml:space="preserve"> v. 29. p. 421-422. 1991.</w:t>
      </w:r>
    </w:p>
    <w:p w14:paraId="68DE0521" w14:textId="77777777" w:rsidR="00AB5066" w:rsidRDefault="00AB5066" w:rsidP="003F6D94">
      <w:pPr>
        <w:spacing w:after="0" w:line="240" w:lineRule="auto"/>
        <w:ind w:firstLine="0"/>
        <w:jc w:val="left"/>
      </w:pPr>
    </w:p>
    <w:p w14:paraId="68DA41D1" w14:textId="0BD0AD02" w:rsidR="00B72CB2" w:rsidRDefault="00495E2C" w:rsidP="003F6D94">
      <w:pPr>
        <w:spacing w:after="0" w:line="240" w:lineRule="auto"/>
        <w:ind w:firstLine="0"/>
        <w:jc w:val="left"/>
      </w:pPr>
      <w:r w:rsidRPr="003B016F">
        <w:t xml:space="preserve">STEFANELLO, M.T.; MARQUES, L.N.; PINTO, F.F.; RAMOS, J.P. de; CADORE, P.C.; BALARDIN, R.C. Dinâmica do controle químico de </w:t>
      </w:r>
      <w:r w:rsidRPr="003B016F">
        <w:rPr>
          <w:i/>
        </w:rPr>
        <w:t>Phakopsora pachyrhizi</w:t>
      </w:r>
      <w:r w:rsidRPr="003B016F">
        <w:t xml:space="preserve"> em plantas de soja submetidas a diferentes regimes hídricos</w:t>
      </w:r>
      <w:r w:rsidRPr="003B016F">
        <w:rPr>
          <w:b/>
        </w:rPr>
        <w:t>. Arq. Inst. Biol.</w:t>
      </w:r>
      <w:r w:rsidRPr="003B016F">
        <w:t xml:space="preserve"> v.83, p.1-6, 2016.</w:t>
      </w:r>
    </w:p>
    <w:p w14:paraId="5F89D5E7" w14:textId="77777777" w:rsidR="00817EAE" w:rsidRDefault="00817EAE" w:rsidP="003F6D94">
      <w:pPr>
        <w:spacing w:after="0" w:line="240" w:lineRule="auto"/>
        <w:ind w:firstLine="0"/>
        <w:jc w:val="left"/>
      </w:pPr>
    </w:p>
    <w:p w14:paraId="14740CE4" w14:textId="77777777" w:rsidR="00AB5066" w:rsidRDefault="00AB5066" w:rsidP="003F6D94">
      <w:pPr>
        <w:spacing w:after="0" w:line="240" w:lineRule="auto"/>
        <w:ind w:firstLine="0"/>
        <w:jc w:val="left"/>
      </w:pPr>
    </w:p>
    <w:p w14:paraId="0C05B87E" w14:textId="45DFF741" w:rsidR="00495E2C" w:rsidRDefault="00495E2C" w:rsidP="003F6D94">
      <w:pPr>
        <w:spacing w:after="0" w:line="240" w:lineRule="auto"/>
        <w:ind w:firstLine="0"/>
        <w:jc w:val="left"/>
      </w:pPr>
      <w:r w:rsidRPr="003B016F">
        <w:t xml:space="preserve">TMG. Tropical Melhoramento &amp; Genética. Disponível em:&lt; </w:t>
      </w:r>
      <w:hyperlink r:id="rId24" w:history="1">
        <w:r w:rsidRPr="003B016F">
          <w:rPr>
            <w:rStyle w:val="Hyperlink"/>
            <w:rFonts w:eastAsiaTheme="majorEastAsia"/>
            <w:color w:val="auto"/>
            <w:u w:val="none"/>
          </w:rPr>
          <w:t>http://tmg.agr.br/cultivares/soja</w:t>
        </w:r>
      </w:hyperlink>
      <w:r w:rsidRPr="003B016F">
        <w:t xml:space="preserve"> &gt;. Acesso em: 23 mai. 2017.</w:t>
      </w:r>
    </w:p>
    <w:p w14:paraId="3C1D4783" w14:textId="77777777" w:rsidR="00817EAE" w:rsidRPr="003B016F" w:rsidRDefault="00817EAE" w:rsidP="003F6D94">
      <w:pPr>
        <w:spacing w:after="0" w:line="240" w:lineRule="auto"/>
        <w:ind w:firstLine="0"/>
        <w:jc w:val="left"/>
      </w:pPr>
    </w:p>
    <w:p w14:paraId="0D698F19" w14:textId="77777777" w:rsidR="001E6F8C" w:rsidRPr="008D0421" w:rsidRDefault="001E6F8C" w:rsidP="003F6D94">
      <w:pPr>
        <w:spacing w:after="0" w:line="240" w:lineRule="auto"/>
        <w:ind w:firstLine="0"/>
        <w:jc w:val="left"/>
      </w:pPr>
    </w:p>
    <w:p w14:paraId="19AF2325" w14:textId="0A6CDD11" w:rsidR="00495E2C" w:rsidRPr="003B016F" w:rsidRDefault="00495E2C" w:rsidP="003F6D94">
      <w:pPr>
        <w:spacing w:after="0" w:line="240" w:lineRule="auto"/>
        <w:ind w:firstLine="0"/>
        <w:jc w:val="left"/>
        <w:rPr>
          <w:lang w:val="en-US"/>
        </w:rPr>
      </w:pPr>
      <w:r w:rsidRPr="008D0421">
        <w:t xml:space="preserve">TRENTIN, R.; HELDWEIN, A.B.; STRECK, N.A.; TRENTIN, G.; SILVA, J.C. da. </w:t>
      </w:r>
      <w:r w:rsidRPr="003B016F">
        <w:t xml:space="preserve">Subperíodos fenológicos e ciclo da soja conforme grupos de maturidade e datas de semeadura. </w:t>
      </w:r>
      <w:r w:rsidRPr="003B016F">
        <w:rPr>
          <w:b/>
          <w:lang w:val="en-US"/>
        </w:rPr>
        <w:t>Pesq. agropec. bras.</w:t>
      </w:r>
      <w:r w:rsidRPr="003B016F">
        <w:rPr>
          <w:lang w:val="en-US"/>
        </w:rPr>
        <w:t>. Brasília. v.48, n.7, p.703-713, jul. 2013.</w:t>
      </w:r>
    </w:p>
    <w:p w14:paraId="0AD4B598" w14:textId="4A4D50B2" w:rsidR="001E6F8C" w:rsidRDefault="001E6F8C" w:rsidP="003F6D94">
      <w:pPr>
        <w:spacing w:after="0" w:line="240" w:lineRule="auto"/>
        <w:ind w:firstLine="0"/>
        <w:jc w:val="left"/>
        <w:rPr>
          <w:lang w:val="en-US"/>
        </w:rPr>
      </w:pPr>
    </w:p>
    <w:p w14:paraId="131D89EB" w14:textId="77777777" w:rsidR="00817EAE" w:rsidRDefault="00817EAE" w:rsidP="003F6D94">
      <w:pPr>
        <w:spacing w:after="0" w:line="240" w:lineRule="auto"/>
        <w:ind w:firstLine="0"/>
        <w:jc w:val="left"/>
        <w:rPr>
          <w:lang w:val="en-US"/>
        </w:rPr>
      </w:pPr>
    </w:p>
    <w:p w14:paraId="3CCAEE1C" w14:textId="25A37538" w:rsidR="00495E2C" w:rsidRPr="003B016F" w:rsidRDefault="00495E2C" w:rsidP="003F6D94">
      <w:pPr>
        <w:spacing w:after="0" w:line="240" w:lineRule="auto"/>
        <w:ind w:firstLine="0"/>
        <w:jc w:val="left"/>
      </w:pPr>
      <w:r w:rsidRPr="003B016F">
        <w:rPr>
          <w:lang w:val="en-US"/>
        </w:rPr>
        <w:t xml:space="preserve">TSCHANZ, A. T. 1984: </w:t>
      </w:r>
      <w:r w:rsidRPr="003B016F">
        <w:rPr>
          <w:b/>
          <w:lang w:val="en-US"/>
        </w:rPr>
        <w:t>Soybean Rust Epidemiology: Final Report</w:t>
      </w:r>
      <w:r w:rsidRPr="003B016F">
        <w:rPr>
          <w:lang w:val="en-US"/>
        </w:rPr>
        <w:t xml:space="preserve">. Asian Vegetable Research and Development Center, Shanhua, Taiwan. </w:t>
      </w:r>
      <w:r w:rsidRPr="003B016F">
        <w:t>157 p.</w:t>
      </w:r>
    </w:p>
    <w:p w14:paraId="53E069C5" w14:textId="6F40BA42" w:rsidR="001E6F8C" w:rsidRDefault="001E6F8C" w:rsidP="003F6D94">
      <w:pPr>
        <w:spacing w:after="0" w:line="240" w:lineRule="auto"/>
        <w:ind w:firstLine="0"/>
        <w:jc w:val="left"/>
      </w:pPr>
    </w:p>
    <w:p w14:paraId="21367788" w14:textId="77777777" w:rsidR="00817EAE" w:rsidRDefault="00817EAE" w:rsidP="003F6D94">
      <w:pPr>
        <w:spacing w:after="0" w:line="240" w:lineRule="auto"/>
        <w:ind w:firstLine="0"/>
        <w:jc w:val="left"/>
      </w:pPr>
    </w:p>
    <w:p w14:paraId="15DB0CBB" w14:textId="1D47504D" w:rsidR="00495E2C" w:rsidRPr="003B016F" w:rsidRDefault="00495E2C" w:rsidP="003F6D94">
      <w:pPr>
        <w:spacing w:after="0" w:line="240" w:lineRule="auto"/>
        <w:ind w:firstLine="0"/>
        <w:jc w:val="left"/>
      </w:pPr>
      <w:r w:rsidRPr="003B016F">
        <w:t xml:space="preserve">TSCHURTSCHENTHALER, N. N.; VIEIRA, E. S. N.; DALLA NORA, T.; SCHUSTER, I. Variabilidade genética de </w:t>
      </w:r>
      <w:r w:rsidRPr="003B016F">
        <w:rPr>
          <w:i/>
          <w:iCs/>
        </w:rPr>
        <w:t xml:space="preserve">Phakopsora pachyrhizi </w:t>
      </w:r>
      <w:r w:rsidRPr="003B016F">
        <w:t xml:space="preserve">avaliada por meio de marcadores microssatélites. </w:t>
      </w:r>
      <w:r w:rsidRPr="003B016F">
        <w:rPr>
          <w:b/>
          <w:bCs/>
        </w:rPr>
        <w:t>Pesquisa agropecuária brasileira</w:t>
      </w:r>
      <w:r w:rsidRPr="003B016F">
        <w:t>, v. 47, n. 2, p. 181-186, 2012.</w:t>
      </w:r>
    </w:p>
    <w:p w14:paraId="25E49DD7" w14:textId="41945221" w:rsidR="001E6F8C" w:rsidRDefault="001E6F8C" w:rsidP="003F6D94">
      <w:pPr>
        <w:spacing w:after="0" w:line="240" w:lineRule="auto"/>
        <w:ind w:firstLine="0"/>
        <w:jc w:val="left"/>
      </w:pPr>
    </w:p>
    <w:p w14:paraId="721F9EE4" w14:textId="77777777" w:rsidR="00817EAE" w:rsidRDefault="00817EAE" w:rsidP="003F6D94">
      <w:pPr>
        <w:spacing w:after="0" w:line="240" w:lineRule="auto"/>
        <w:ind w:firstLine="0"/>
        <w:jc w:val="left"/>
      </w:pPr>
    </w:p>
    <w:p w14:paraId="5C9A47C2" w14:textId="63469590" w:rsidR="00495E2C" w:rsidRPr="003B016F" w:rsidRDefault="00495E2C" w:rsidP="003F6D94">
      <w:pPr>
        <w:spacing w:after="0" w:line="240" w:lineRule="auto"/>
        <w:ind w:firstLine="0"/>
        <w:jc w:val="left"/>
      </w:pPr>
      <w:r w:rsidRPr="003B016F">
        <w:t xml:space="preserve">TWIZEYIMANA, M.; OJIAMBO, P. S.; HAUDENSHIELD, J. S.; CAETANO-ANOLLÉS; PEDLEY, K. F.; BANDYOPADHYAY, R. et al. </w:t>
      </w:r>
      <w:r w:rsidRPr="003B016F">
        <w:rPr>
          <w:lang w:val="en-GB"/>
        </w:rPr>
        <w:t xml:space="preserve">Genetic structure and diversity of </w:t>
      </w:r>
      <w:r w:rsidRPr="003B016F">
        <w:rPr>
          <w:rStyle w:val="nfase"/>
          <w:spacing w:val="1"/>
          <w:lang w:val="en-GB"/>
        </w:rPr>
        <w:t>Phakopsora pachyrhizi</w:t>
      </w:r>
      <w:r w:rsidRPr="003B016F">
        <w:rPr>
          <w:lang w:val="en-GB"/>
        </w:rPr>
        <w:t xml:space="preserve"> isolates from soybean. </w:t>
      </w:r>
      <w:r w:rsidRPr="003B016F">
        <w:rPr>
          <w:rStyle w:val="nfase"/>
          <w:b/>
          <w:spacing w:val="1"/>
        </w:rPr>
        <w:t>Plant Pathology</w:t>
      </w:r>
      <w:r w:rsidRPr="003B016F">
        <w:rPr>
          <w:rStyle w:val="nfase"/>
          <w:spacing w:val="1"/>
        </w:rPr>
        <w:t>, v.60</w:t>
      </w:r>
      <w:r w:rsidRPr="003B016F">
        <w:rPr>
          <w:i/>
        </w:rPr>
        <w:t>. p</w:t>
      </w:r>
      <w:r w:rsidRPr="003B016F">
        <w:t>. 719–729. 2011.</w:t>
      </w:r>
    </w:p>
    <w:p w14:paraId="52FAD010" w14:textId="421F880A" w:rsidR="001E6F8C" w:rsidRDefault="001E6F8C" w:rsidP="003F6D94">
      <w:pPr>
        <w:spacing w:after="0" w:line="240" w:lineRule="auto"/>
        <w:ind w:firstLine="0"/>
        <w:jc w:val="left"/>
      </w:pPr>
    </w:p>
    <w:p w14:paraId="4EB2C12C" w14:textId="77777777" w:rsidR="00817EAE" w:rsidRDefault="00817EAE" w:rsidP="003F6D94">
      <w:pPr>
        <w:spacing w:after="0" w:line="240" w:lineRule="auto"/>
        <w:ind w:firstLine="0"/>
        <w:jc w:val="left"/>
      </w:pPr>
    </w:p>
    <w:p w14:paraId="25BFCC4C" w14:textId="4E88037E" w:rsidR="00495E2C" w:rsidRPr="008D0421" w:rsidRDefault="00495E2C" w:rsidP="003F6D94">
      <w:pPr>
        <w:spacing w:after="0" w:line="240" w:lineRule="auto"/>
        <w:ind w:firstLine="0"/>
        <w:jc w:val="left"/>
        <w:rPr>
          <w:lang w:val="en-US"/>
        </w:rPr>
      </w:pPr>
      <w:r w:rsidRPr="003B016F">
        <w:t xml:space="preserve">VALE, F.X.R.; ZAMBOLIM, L.; CHAVES, G.M. Efeito do binômio temperaturaduração do molhamento foliar sobre a infecção por </w:t>
      </w:r>
      <w:r w:rsidRPr="003B016F">
        <w:rPr>
          <w:i/>
        </w:rPr>
        <w:t>Phakopsora pachyrhizi</w:t>
      </w:r>
      <w:r w:rsidRPr="003B016F">
        <w:t xml:space="preserve"> em soja. </w:t>
      </w:r>
      <w:r w:rsidRPr="008D0421">
        <w:rPr>
          <w:b/>
          <w:lang w:val="en-US"/>
        </w:rPr>
        <w:t>Fitopatologia Brasileira</w:t>
      </w:r>
      <w:r w:rsidRPr="008D0421">
        <w:rPr>
          <w:lang w:val="en-US"/>
        </w:rPr>
        <w:t>, Brasília DF, v.15, n.3, pg. 200-202, 1990.</w:t>
      </w:r>
    </w:p>
    <w:p w14:paraId="390AC2DD" w14:textId="3AA99126" w:rsidR="001E6F8C" w:rsidRDefault="001E6F8C" w:rsidP="003F6D94">
      <w:pPr>
        <w:spacing w:after="0" w:line="240" w:lineRule="auto"/>
        <w:ind w:firstLine="0"/>
        <w:jc w:val="left"/>
        <w:rPr>
          <w:lang w:val="en-US"/>
        </w:rPr>
      </w:pPr>
    </w:p>
    <w:p w14:paraId="16322251" w14:textId="77777777" w:rsidR="00817EAE" w:rsidRDefault="00817EAE" w:rsidP="003F6D94">
      <w:pPr>
        <w:spacing w:after="0" w:line="240" w:lineRule="auto"/>
        <w:ind w:firstLine="0"/>
        <w:jc w:val="left"/>
        <w:rPr>
          <w:lang w:val="en-US"/>
        </w:rPr>
      </w:pPr>
    </w:p>
    <w:p w14:paraId="595DD0F5" w14:textId="1C5B4A28" w:rsidR="00495E2C" w:rsidRDefault="00495E2C" w:rsidP="003F6D94">
      <w:pPr>
        <w:spacing w:after="0" w:line="240" w:lineRule="auto"/>
        <w:ind w:firstLine="0"/>
        <w:jc w:val="left"/>
        <w:rPr>
          <w:lang w:val="en-US"/>
        </w:rPr>
      </w:pPr>
      <w:r w:rsidRPr="003B016F">
        <w:rPr>
          <w:lang w:val="en-US"/>
        </w:rPr>
        <w:t xml:space="preserve">Van TUYL, J. M. Acquired resistance to carboxin in </w:t>
      </w:r>
      <w:r w:rsidRPr="003B016F">
        <w:rPr>
          <w:i/>
          <w:lang w:val="en-US"/>
        </w:rPr>
        <w:t>Aspergillus nidulans.</w:t>
      </w:r>
      <w:r w:rsidRPr="003B016F">
        <w:rPr>
          <w:lang w:val="en-US"/>
        </w:rPr>
        <w:t xml:space="preserve"> </w:t>
      </w:r>
      <w:r w:rsidRPr="008D0421">
        <w:rPr>
          <w:b/>
          <w:lang w:val="en-US"/>
        </w:rPr>
        <w:t>Neth. J. Plant Pathol.</w:t>
      </w:r>
      <w:r w:rsidRPr="008D0421">
        <w:rPr>
          <w:lang w:val="en-US"/>
        </w:rPr>
        <w:t xml:space="preserve"> v.81, p.122-123, 1975.</w:t>
      </w:r>
    </w:p>
    <w:p w14:paraId="75389401" w14:textId="77777777" w:rsidR="00817EAE" w:rsidRPr="008D0421" w:rsidRDefault="00817EAE" w:rsidP="003F6D94">
      <w:pPr>
        <w:spacing w:after="0" w:line="240" w:lineRule="auto"/>
        <w:ind w:firstLine="0"/>
        <w:jc w:val="left"/>
        <w:rPr>
          <w:shd w:val="clear" w:color="auto" w:fill="FFFFFF"/>
          <w:lang w:val="en-US"/>
        </w:rPr>
      </w:pPr>
    </w:p>
    <w:p w14:paraId="429DB133" w14:textId="77777777" w:rsidR="001E6F8C" w:rsidRPr="008D0421" w:rsidRDefault="001E6F8C" w:rsidP="003F6D94">
      <w:pPr>
        <w:spacing w:after="0" w:line="240" w:lineRule="auto"/>
        <w:ind w:firstLine="0"/>
        <w:jc w:val="left"/>
        <w:rPr>
          <w:shd w:val="clear" w:color="auto" w:fill="FFFFFF"/>
          <w:lang w:val="en-US"/>
        </w:rPr>
      </w:pPr>
    </w:p>
    <w:p w14:paraId="745F54CB" w14:textId="6CE259D8" w:rsidR="00495E2C" w:rsidRPr="003B016F" w:rsidRDefault="00495E2C" w:rsidP="003F6D94">
      <w:pPr>
        <w:spacing w:after="0" w:line="240" w:lineRule="auto"/>
        <w:ind w:firstLine="0"/>
        <w:jc w:val="left"/>
        <w:rPr>
          <w:shd w:val="clear" w:color="auto" w:fill="FFFFFF"/>
          <w:lang w:val="en-US"/>
        </w:rPr>
      </w:pPr>
      <w:r w:rsidRPr="003B016F">
        <w:rPr>
          <w:shd w:val="clear" w:color="auto" w:fill="FFFFFF"/>
        </w:rPr>
        <w:t xml:space="preserve">XAVIER, S.A.; KOGA, L.J.; BARROS, D.C.M.; </w:t>
      </w:r>
      <w:r w:rsidRPr="003B016F">
        <w:rPr>
          <w:bdr w:val="none" w:sz="0" w:space="0" w:color="auto" w:frame="1"/>
          <w:shd w:val="clear" w:color="auto" w:fill="FFFFFF"/>
        </w:rPr>
        <w:t xml:space="preserve">CANTERI, </w:t>
      </w:r>
      <w:r w:rsidRPr="003B016F">
        <w:t>M.G.</w:t>
      </w:r>
      <w:r w:rsidRPr="003B016F">
        <w:rPr>
          <w:shd w:val="clear" w:color="auto" w:fill="FFFFFF"/>
        </w:rPr>
        <w:t>; LOPES, I.L.N.;</w:t>
      </w:r>
      <w:r w:rsidRPr="003B016F">
        <w:rPr>
          <w:rStyle w:val="apple-converted-space"/>
          <w:shd w:val="clear" w:color="auto" w:fill="FFFFFF"/>
        </w:rPr>
        <w:t xml:space="preserve"> </w:t>
      </w:r>
      <w:r w:rsidRPr="003B016F">
        <w:rPr>
          <w:bCs/>
          <w:bdr w:val="none" w:sz="0" w:space="0" w:color="auto" w:frame="1"/>
          <w:shd w:val="clear" w:color="auto" w:fill="FFFFFF"/>
        </w:rPr>
        <w:t>GODOY, C.V</w:t>
      </w:r>
      <w:r w:rsidRPr="003B016F">
        <w:rPr>
          <w:b/>
          <w:bCs/>
          <w:bdr w:val="none" w:sz="0" w:space="0" w:color="auto" w:frame="1"/>
          <w:shd w:val="clear" w:color="auto" w:fill="FFFFFF"/>
        </w:rPr>
        <w:t>.</w:t>
      </w:r>
      <w:r w:rsidRPr="003B016F">
        <w:rPr>
          <w:shd w:val="clear" w:color="auto" w:fill="FFFFFF"/>
        </w:rPr>
        <w:t xml:space="preserve"> Variação da sensibilidade de populações de </w:t>
      </w:r>
      <w:r w:rsidRPr="003B016F">
        <w:rPr>
          <w:i/>
          <w:shd w:val="clear" w:color="auto" w:fill="FFFFFF"/>
        </w:rPr>
        <w:t>Phakopsora pachyrhizi</w:t>
      </w:r>
      <w:r w:rsidRPr="003B016F">
        <w:rPr>
          <w:shd w:val="clear" w:color="auto" w:fill="FFFFFF"/>
        </w:rPr>
        <w:t xml:space="preserve"> a fungicidas inibidores da desmetilação no Brasil. </w:t>
      </w:r>
      <w:r w:rsidRPr="003B016F">
        <w:rPr>
          <w:b/>
          <w:shd w:val="clear" w:color="auto" w:fill="FFFFFF"/>
          <w:lang w:val="en-US"/>
        </w:rPr>
        <w:t>Summa Phytopathologica,</w:t>
      </w:r>
      <w:r w:rsidRPr="003B016F">
        <w:rPr>
          <w:shd w:val="clear" w:color="auto" w:fill="FFFFFF"/>
          <w:lang w:val="en-US"/>
        </w:rPr>
        <w:t xml:space="preserve"> v. 41, p. 191-196, 2015.</w:t>
      </w:r>
    </w:p>
    <w:p w14:paraId="4392B445" w14:textId="1692E267" w:rsidR="001E6F8C" w:rsidRDefault="001E6F8C" w:rsidP="003F6D94">
      <w:pPr>
        <w:spacing w:after="0" w:line="240" w:lineRule="auto"/>
        <w:ind w:firstLine="0"/>
        <w:jc w:val="left"/>
        <w:rPr>
          <w:lang w:val="en-US"/>
        </w:rPr>
      </w:pPr>
    </w:p>
    <w:p w14:paraId="1C043C99" w14:textId="77777777" w:rsidR="00817EAE" w:rsidRDefault="00817EAE" w:rsidP="003F6D94">
      <w:pPr>
        <w:spacing w:after="0" w:line="240" w:lineRule="auto"/>
        <w:ind w:firstLine="0"/>
        <w:jc w:val="left"/>
        <w:rPr>
          <w:lang w:val="en-US"/>
        </w:rPr>
      </w:pPr>
    </w:p>
    <w:p w14:paraId="56E71856" w14:textId="69956F61" w:rsidR="00495E2C" w:rsidRDefault="00495E2C" w:rsidP="003F6D94">
      <w:pPr>
        <w:spacing w:after="0" w:line="240" w:lineRule="auto"/>
        <w:ind w:firstLine="0"/>
        <w:jc w:val="left"/>
        <w:rPr>
          <w:lang w:val="en-US"/>
        </w:rPr>
      </w:pPr>
      <w:r w:rsidRPr="003B016F">
        <w:rPr>
          <w:lang w:val="en-US"/>
        </w:rPr>
        <w:t xml:space="preserve">XAVIER, S.A.; MARTINS, D.C.; FANTIN, L.H.; CANTERI, M.G. Older leaf tissues in younger plants are more susceptible to soybean rust.  </w:t>
      </w:r>
      <w:r w:rsidRPr="003B016F">
        <w:rPr>
          <w:b/>
          <w:lang w:val="en-US"/>
        </w:rPr>
        <w:t>Acta Scientiarum. Agronomy</w:t>
      </w:r>
      <w:r w:rsidRPr="003B016F">
        <w:rPr>
          <w:lang w:val="en-US"/>
        </w:rPr>
        <w:t>. Maringá, v. 39, n. 1, p. 17-24, Jan.-Mar. 2017.</w:t>
      </w:r>
    </w:p>
    <w:p w14:paraId="24DEC61D" w14:textId="77777777" w:rsidR="00817EAE" w:rsidRPr="003B016F" w:rsidRDefault="00817EAE" w:rsidP="003F6D94">
      <w:pPr>
        <w:spacing w:after="0" w:line="240" w:lineRule="auto"/>
        <w:ind w:firstLine="0"/>
        <w:jc w:val="left"/>
        <w:rPr>
          <w:lang w:val="en-US"/>
        </w:rPr>
      </w:pPr>
    </w:p>
    <w:p w14:paraId="0DBB0F5A" w14:textId="77777777" w:rsidR="001E6F8C" w:rsidRDefault="001E6F8C" w:rsidP="003F6D94">
      <w:pPr>
        <w:spacing w:after="0" w:line="240" w:lineRule="auto"/>
        <w:ind w:firstLine="0"/>
        <w:jc w:val="left"/>
        <w:rPr>
          <w:lang w:val="en-US"/>
        </w:rPr>
      </w:pPr>
    </w:p>
    <w:p w14:paraId="7A9D7168" w14:textId="11631344" w:rsidR="00495E2C" w:rsidRDefault="00495E2C" w:rsidP="003F6D94">
      <w:pPr>
        <w:spacing w:after="0" w:line="240" w:lineRule="auto"/>
        <w:ind w:firstLine="0"/>
        <w:jc w:val="left"/>
        <w:rPr>
          <w:lang w:val="en-US"/>
        </w:rPr>
      </w:pPr>
      <w:r w:rsidRPr="003B016F">
        <w:rPr>
          <w:lang w:val="en-US"/>
        </w:rPr>
        <w:t xml:space="preserve">YAMAOKA, Y.; FUJIWARA, Y.; KAKISHIMA, M.; KATSUYA, K.; YAMADA, K.; HAGIWARA, H. Pathogenic races of </w:t>
      </w:r>
      <w:r w:rsidRPr="003B016F">
        <w:rPr>
          <w:i/>
          <w:lang w:val="en-US"/>
        </w:rPr>
        <w:t>Phakopsora pachyrhizi</w:t>
      </w:r>
      <w:r w:rsidRPr="003B016F">
        <w:rPr>
          <w:lang w:val="en-US"/>
        </w:rPr>
        <w:t xml:space="preserve"> on soybean and wild host plants collected in Japan. </w:t>
      </w:r>
      <w:r w:rsidRPr="003B016F">
        <w:rPr>
          <w:b/>
          <w:lang w:val="en-US"/>
        </w:rPr>
        <w:t>Journal of General Plant and Pathology</w:t>
      </w:r>
      <w:r w:rsidRPr="003B016F">
        <w:rPr>
          <w:lang w:val="en-US"/>
        </w:rPr>
        <w:t>, v.68, p.52-56, 2002.</w:t>
      </w:r>
    </w:p>
    <w:p w14:paraId="20E6CB2E" w14:textId="77777777" w:rsidR="00817EAE" w:rsidRPr="003B016F" w:rsidRDefault="00817EAE" w:rsidP="003F6D94">
      <w:pPr>
        <w:spacing w:after="0" w:line="240" w:lineRule="auto"/>
        <w:ind w:firstLine="0"/>
        <w:jc w:val="left"/>
        <w:rPr>
          <w:lang w:val="en-US"/>
        </w:rPr>
      </w:pPr>
    </w:p>
    <w:p w14:paraId="6AB114C2" w14:textId="77777777" w:rsidR="001E6F8C" w:rsidRDefault="001E6F8C" w:rsidP="003F6D94">
      <w:pPr>
        <w:spacing w:after="0" w:line="240" w:lineRule="auto"/>
        <w:ind w:firstLine="0"/>
        <w:jc w:val="left"/>
        <w:rPr>
          <w:lang w:val="en-US"/>
        </w:rPr>
      </w:pPr>
    </w:p>
    <w:p w14:paraId="196F72F3" w14:textId="5C48AA10" w:rsidR="00495E2C" w:rsidRPr="003B016F" w:rsidRDefault="00495E2C" w:rsidP="003F6D94">
      <w:pPr>
        <w:spacing w:after="0" w:line="240" w:lineRule="auto"/>
        <w:ind w:firstLine="0"/>
        <w:jc w:val="left"/>
        <w:rPr>
          <w:lang w:val="en-US"/>
        </w:rPr>
      </w:pPr>
      <w:r w:rsidRPr="003B016F">
        <w:rPr>
          <w:lang w:val="en-US"/>
        </w:rPr>
        <w:t xml:space="preserve">YANG, X. B.; ROYER, M. H.; TSCHANZ, A. T.; TSIA, B. Y. Analysis and quantification of soybean rust epidemics from seventy-three sequential planting experiments. </w:t>
      </w:r>
      <w:r w:rsidRPr="003B016F">
        <w:rPr>
          <w:b/>
          <w:lang w:val="en-US"/>
        </w:rPr>
        <w:t xml:space="preserve">Phytopathology </w:t>
      </w:r>
      <w:r w:rsidRPr="003B016F">
        <w:rPr>
          <w:lang w:val="en-US"/>
        </w:rPr>
        <w:t>v. 80. p. 1421-1427. 1990.</w:t>
      </w:r>
    </w:p>
    <w:p w14:paraId="1FC39E1E" w14:textId="510D7562" w:rsidR="001E6F8C" w:rsidRDefault="001E6F8C" w:rsidP="003F6D94">
      <w:pPr>
        <w:spacing w:after="0" w:line="240" w:lineRule="auto"/>
        <w:ind w:firstLine="0"/>
        <w:jc w:val="left"/>
        <w:rPr>
          <w:lang w:val="en-US"/>
        </w:rPr>
      </w:pPr>
    </w:p>
    <w:p w14:paraId="0C5D09FF" w14:textId="77777777" w:rsidR="00817EAE" w:rsidRDefault="00817EAE" w:rsidP="003F6D94">
      <w:pPr>
        <w:spacing w:after="0" w:line="240" w:lineRule="auto"/>
        <w:ind w:firstLine="0"/>
        <w:jc w:val="left"/>
        <w:rPr>
          <w:lang w:val="en-US"/>
        </w:rPr>
      </w:pPr>
    </w:p>
    <w:p w14:paraId="639988A7" w14:textId="2676345D" w:rsidR="00495E2C" w:rsidRPr="003B016F" w:rsidRDefault="00495E2C" w:rsidP="003F6D94">
      <w:pPr>
        <w:spacing w:after="0" w:line="240" w:lineRule="auto"/>
        <w:ind w:firstLine="0"/>
        <w:jc w:val="left"/>
        <w:rPr>
          <w:lang w:val="en-US"/>
        </w:rPr>
      </w:pPr>
      <w:r w:rsidRPr="003B016F">
        <w:rPr>
          <w:lang w:val="en-US"/>
        </w:rPr>
        <w:t xml:space="preserve">YANG, X.B.; TSCHANZ, A.T., DOWLER, W.M.; WANG, T.C. Development of yield loss models in relation to reductions of components of soybeans infected with Phakopsora pachyrhizi. </w:t>
      </w:r>
      <w:r w:rsidRPr="003B016F">
        <w:rPr>
          <w:b/>
          <w:lang w:val="en-US"/>
        </w:rPr>
        <w:t>Phytopathology</w:t>
      </w:r>
      <w:r w:rsidRPr="003B016F">
        <w:rPr>
          <w:lang w:val="en-US"/>
        </w:rPr>
        <w:t>, St. Paul, v.81, pg. 1420-1426. 1991.</w:t>
      </w:r>
    </w:p>
    <w:p w14:paraId="3D176022" w14:textId="6855237F" w:rsidR="001E6F8C" w:rsidRDefault="001E6F8C" w:rsidP="003F6D94">
      <w:pPr>
        <w:spacing w:after="0" w:line="240" w:lineRule="auto"/>
        <w:ind w:firstLine="0"/>
        <w:jc w:val="left"/>
        <w:rPr>
          <w:lang w:val="en-US"/>
        </w:rPr>
      </w:pPr>
    </w:p>
    <w:p w14:paraId="253FB141" w14:textId="77777777" w:rsidR="00817EAE" w:rsidRDefault="00817EAE" w:rsidP="003F6D94">
      <w:pPr>
        <w:spacing w:after="0" w:line="240" w:lineRule="auto"/>
        <w:ind w:firstLine="0"/>
        <w:jc w:val="left"/>
        <w:rPr>
          <w:lang w:val="en-US"/>
        </w:rPr>
      </w:pPr>
    </w:p>
    <w:p w14:paraId="1F580F65" w14:textId="2E959F92" w:rsidR="00495E2C" w:rsidRDefault="00495E2C" w:rsidP="003F6D94">
      <w:pPr>
        <w:spacing w:after="0" w:line="240" w:lineRule="auto"/>
        <w:ind w:firstLine="0"/>
        <w:jc w:val="left"/>
        <w:rPr>
          <w:lang w:val="en-US"/>
        </w:rPr>
      </w:pPr>
      <w:r w:rsidRPr="003B016F">
        <w:rPr>
          <w:lang w:val="en-US"/>
        </w:rPr>
        <w:t xml:space="preserve">YEH, C. C.; TSCHANZ, A. T. and SINCLAIR, J. B. Induced teliospore formation by </w:t>
      </w:r>
      <w:r w:rsidRPr="003B016F">
        <w:rPr>
          <w:i/>
          <w:iCs/>
          <w:lang w:val="en-US"/>
        </w:rPr>
        <w:t xml:space="preserve">Phakopsora pachyrhizi </w:t>
      </w:r>
      <w:r w:rsidRPr="003B016F">
        <w:rPr>
          <w:lang w:val="en-US"/>
        </w:rPr>
        <w:t xml:space="preserve">on soybean and other hosts. </w:t>
      </w:r>
      <w:r w:rsidRPr="003B016F">
        <w:rPr>
          <w:b/>
          <w:iCs/>
          <w:lang w:val="en-US"/>
        </w:rPr>
        <w:t>Phytophatology</w:t>
      </w:r>
      <w:r w:rsidRPr="003B016F">
        <w:rPr>
          <w:i/>
          <w:iCs/>
          <w:lang w:val="en-US"/>
        </w:rPr>
        <w:t xml:space="preserve">, </w:t>
      </w:r>
      <w:r w:rsidRPr="003B016F">
        <w:rPr>
          <w:lang w:val="en-US"/>
        </w:rPr>
        <w:t>St. Paul, v. 71, p. 1111-1112, 1981.</w:t>
      </w:r>
    </w:p>
    <w:p w14:paraId="00DE2C02" w14:textId="177FD698" w:rsidR="0022592C" w:rsidRDefault="0022592C" w:rsidP="003F6D94">
      <w:pPr>
        <w:spacing w:after="0" w:line="240" w:lineRule="auto"/>
        <w:ind w:firstLine="0"/>
        <w:jc w:val="left"/>
        <w:rPr>
          <w:lang w:val="en-US"/>
        </w:rPr>
      </w:pPr>
    </w:p>
    <w:p w14:paraId="1E583FBD" w14:textId="77777777" w:rsidR="00817EAE" w:rsidRPr="003B016F" w:rsidRDefault="00817EAE" w:rsidP="003F6D94">
      <w:pPr>
        <w:spacing w:after="0" w:line="240" w:lineRule="auto"/>
        <w:ind w:firstLine="0"/>
        <w:jc w:val="left"/>
        <w:rPr>
          <w:lang w:val="en-US"/>
        </w:rPr>
      </w:pPr>
    </w:p>
    <w:p w14:paraId="700BC7D6" w14:textId="3A920A2E" w:rsidR="00495E2C" w:rsidRDefault="00495E2C" w:rsidP="003F6D94">
      <w:pPr>
        <w:spacing w:after="0" w:line="240" w:lineRule="auto"/>
        <w:ind w:firstLine="0"/>
        <w:jc w:val="left"/>
      </w:pPr>
      <w:r w:rsidRPr="003B016F">
        <w:rPr>
          <w:lang w:val="en-US"/>
        </w:rPr>
        <w:t xml:space="preserve">YORINORI, J. T.; and MOREL, W. P. 2002. </w:t>
      </w:r>
      <w:r w:rsidRPr="003B016F">
        <w:rPr>
          <w:b/>
        </w:rPr>
        <w:t>Ferrugem da soja (</w:t>
      </w:r>
      <w:r w:rsidRPr="003B016F">
        <w:rPr>
          <w:b/>
          <w:i/>
        </w:rPr>
        <w:t>Phakopsora pachyhrizi</w:t>
      </w:r>
      <w:r w:rsidRPr="003B016F">
        <w:rPr>
          <w:b/>
        </w:rPr>
        <w:t>): Alerta: Embrapa</w:t>
      </w:r>
      <w:r w:rsidRPr="003B016F">
        <w:t>. Centro Nacional de Pesquisa de Soja, Londrina, Brazil.</w:t>
      </w:r>
    </w:p>
    <w:p w14:paraId="0F9D5C5B" w14:textId="77777777" w:rsidR="00817EAE" w:rsidRPr="003B016F" w:rsidRDefault="00817EAE" w:rsidP="003F6D94">
      <w:pPr>
        <w:spacing w:after="0" w:line="240" w:lineRule="auto"/>
        <w:ind w:firstLine="0"/>
        <w:jc w:val="left"/>
      </w:pPr>
    </w:p>
    <w:p w14:paraId="6749B696" w14:textId="77777777" w:rsidR="0022592C" w:rsidRDefault="0022592C" w:rsidP="003F6D94">
      <w:pPr>
        <w:spacing w:after="0" w:line="240" w:lineRule="auto"/>
        <w:ind w:firstLine="0"/>
        <w:jc w:val="left"/>
      </w:pPr>
    </w:p>
    <w:p w14:paraId="4E8E49AE" w14:textId="664B069E" w:rsidR="00495E2C" w:rsidRPr="003B016F" w:rsidRDefault="00495E2C" w:rsidP="003F6D94">
      <w:pPr>
        <w:spacing w:after="0" w:line="240" w:lineRule="auto"/>
        <w:ind w:firstLine="0"/>
        <w:jc w:val="left"/>
      </w:pPr>
      <w:r w:rsidRPr="003B016F">
        <w:t xml:space="preserve">YORINORI, J. T.; NUNES JUNIOR, J.; LAZZAROTTO, J. J. </w:t>
      </w:r>
      <w:r w:rsidRPr="003B016F">
        <w:rPr>
          <w:b/>
        </w:rPr>
        <w:t>Ferrugem “asiática” da soja no Brasil: evolução, importância econômica e controle.</w:t>
      </w:r>
      <w:r w:rsidRPr="003B016F">
        <w:t xml:space="preserve"> Londrina: Embrapa Soja, 2004, 36p.</w:t>
      </w:r>
    </w:p>
    <w:p w14:paraId="05B02104" w14:textId="77777777" w:rsidR="0022592C" w:rsidRDefault="0022592C" w:rsidP="003F6D94">
      <w:pPr>
        <w:spacing w:after="0" w:line="240" w:lineRule="auto"/>
        <w:ind w:firstLine="0"/>
        <w:jc w:val="left"/>
      </w:pPr>
    </w:p>
    <w:p w14:paraId="4A78B465" w14:textId="22ECDA24" w:rsidR="00B72CB2" w:rsidRDefault="00495E2C" w:rsidP="003F6D94">
      <w:pPr>
        <w:spacing w:after="0" w:line="240" w:lineRule="auto"/>
        <w:ind w:firstLine="0"/>
        <w:jc w:val="left"/>
      </w:pPr>
      <w:r w:rsidRPr="008D0421">
        <w:t>YORINORI, J.T.; PAIVA, W.M.; FREDERICK, R.D.; COSTAMILAN, L.M.; BERTAGNOLLI, P.F.; HARTMAN, G.E.; GODOY, C.V.; NUNES JR., J. Epidemics of soybean rust (</w:t>
      </w:r>
      <w:r w:rsidRPr="008D0421">
        <w:rPr>
          <w:i/>
          <w:iCs/>
        </w:rPr>
        <w:t>Phakopsora pachyrhizi</w:t>
      </w:r>
      <w:r w:rsidRPr="008D0421">
        <w:t xml:space="preserve">) in Brazil and Paraguay from 2001 to 2003. </w:t>
      </w:r>
      <w:r w:rsidRPr="003B016F">
        <w:rPr>
          <w:b/>
          <w:iCs/>
        </w:rPr>
        <w:t>Plant Disease</w:t>
      </w:r>
      <w:r w:rsidRPr="003B016F">
        <w:t>, St. Paul, v.89, p.675-677, 2005.</w:t>
      </w:r>
    </w:p>
    <w:p w14:paraId="73794AB3" w14:textId="77777777" w:rsidR="00817EAE" w:rsidRDefault="00817EAE" w:rsidP="003F6D94">
      <w:pPr>
        <w:spacing w:after="0" w:line="240" w:lineRule="auto"/>
        <w:ind w:firstLine="0"/>
        <w:jc w:val="left"/>
      </w:pPr>
    </w:p>
    <w:p w14:paraId="0977E42B" w14:textId="77777777" w:rsidR="0022592C" w:rsidRDefault="0022592C" w:rsidP="003F6D94">
      <w:pPr>
        <w:spacing w:after="0" w:line="240" w:lineRule="auto"/>
        <w:ind w:firstLine="0"/>
        <w:jc w:val="left"/>
      </w:pPr>
    </w:p>
    <w:p w14:paraId="64FBB597" w14:textId="0F33BB01" w:rsidR="00495E2C" w:rsidRDefault="00495E2C" w:rsidP="003F6D94">
      <w:pPr>
        <w:spacing w:after="0" w:line="240" w:lineRule="auto"/>
        <w:ind w:firstLine="0"/>
        <w:jc w:val="left"/>
      </w:pPr>
      <w:r w:rsidRPr="003B016F">
        <w:t xml:space="preserve">ZAMBENEDETTI, E. B.; ALVES, E.; ARAÚJO, D. V. Eventos dos processos de pré-penetração, penetração e colonização de </w:t>
      </w:r>
      <w:r w:rsidRPr="003B016F">
        <w:rPr>
          <w:i/>
          <w:iCs/>
        </w:rPr>
        <w:t>Phakopsora</w:t>
      </w:r>
      <w:r w:rsidRPr="003B016F">
        <w:t xml:space="preserve"> </w:t>
      </w:r>
      <w:r w:rsidRPr="003B016F">
        <w:rPr>
          <w:i/>
          <w:iCs/>
        </w:rPr>
        <w:t xml:space="preserve">pachyrhizi </w:t>
      </w:r>
      <w:r w:rsidRPr="003B016F">
        <w:t xml:space="preserve">em folíolos de soja. </w:t>
      </w:r>
      <w:r w:rsidRPr="003B016F">
        <w:rPr>
          <w:b/>
          <w:iCs/>
        </w:rPr>
        <w:t>Fitopatologia Brasileira</w:t>
      </w:r>
      <w:r w:rsidRPr="003B016F">
        <w:t>, v. 32, n. 2, p. 156-160, 2007b.</w:t>
      </w:r>
    </w:p>
    <w:p w14:paraId="4E99C026" w14:textId="77777777" w:rsidR="00817EAE" w:rsidRPr="003B016F" w:rsidRDefault="00817EAE" w:rsidP="003F6D94">
      <w:pPr>
        <w:spacing w:after="0" w:line="240" w:lineRule="auto"/>
        <w:ind w:firstLine="0"/>
        <w:jc w:val="left"/>
      </w:pPr>
    </w:p>
    <w:p w14:paraId="568BCAAB" w14:textId="77777777" w:rsidR="0022592C" w:rsidRDefault="0022592C" w:rsidP="003F6D94">
      <w:pPr>
        <w:spacing w:after="0" w:line="240" w:lineRule="auto"/>
        <w:ind w:firstLine="0"/>
        <w:jc w:val="left"/>
      </w:pPr>
    </w:p>
    <w:p w14:paraId="27725C5D" w14:textId="7B6D40C7" w:rsidR="00495E2C" w:rsidRDefault="00495E2C" w:rsidP="003F6D94">
      <w:pPr>
        <w:spacing w:after="0" w:line="240" w:lineRule="auto"/>
        <w:ind w:firstLine="0"/>
        <w:jc w:val="left"/>
        <w:rPr>
          <w:lang w:val="en-US"/>
        </w:rPr>
      </w:pPr>
      <w:r w:rsidRPr="003B016F">
        <w:t xml:space="preserve">ZAMBENEDETTI, E. B.; ALVES, E.; POZZA, E. A.; ARAÚJO, D. V. Germinação de urediniósporos de </w:t>
      </w:r>
      <w:r w:rsidRPr="003B016F">
        <w:rPr>
          <w:i/>
          <w:iCs/>
        </w:rPr>
        <w:t xml:space="preserve">Phakopsora pachyrhizi </w:t>
      </w:r>
      <w:r w:rsidRPr="003B016F">
        <w:t xml:space="preserve">em diferentes métodos de armazenamento. </w:t>
      </w:r>
      <w:r w:rsidRPr="003B016F">
        <w:rPr>
          <w:b/>
          <w:iCs/>
          <w:lang w:val="en-US"/>
        </w:rPr>
        <w:t>Summa Phytopathologica</w:t>
      </w:r>
      <w:r w:rsidRPr="003B016F">
        <w:rPr>
          <w:lang w:val="en-US"/>
        </w:rPr>
        <w:t>, v.33, n. 1, p. 83-85, 2007.</w:t>
      </w:r>
    </w:p>
    <w:p w14:paraId="295AFD5E" w14:textId="77777777" w:rsidR="00817EAE" w:rsidRPr="0022592C" w:rsidRDefault="00817EAE" w:rsidP="003F6D94">
      <w:pPr>
        <w:spacing w:after="0" w:line="240" w:lineRule="auto"/>
        <w:ind w:firstLine="0"/>
        <w:jc w:val="left"/>
        <w:rPr>
          <w:b/>
          <w:iCs/>
          <w:lang w:val="en-US"/>
        </w:rPr>
      </w:pPr>
    </w:p>
    <w:p w14:paraId="063368D5" w14:textId="77777777" w:rsidR="0022592C" w:rsidRDefault="0022592C" w:rsidP="003F6D94">
      <w:pPr>
        <w:spacing w:after="0" w:line="240" w:lineRule="auto"/>
        <w:ind w:firstLine="0"/>
        <w:jc w:val="left"/>
        <w:rPr>
          <w:lang w:val="en-US"/>
        </w:rPr>
      </w:pPr>
    </w:p>
    <w:p w14:paraId="0A2A50DA" w14:textId="44E7A861" w:rsidR="00971D9C" w:rsidRDefault="00495E2C" w:rsidP="003F6D94">
      <w:pPr>
        <w:spacing w:after="0" w:line="240" w:lineRule="auto"/>
        <w:ind w:firstLine="0"/>
        <w:jc w:val="left"/>
      </w:pPr>
      <w:r w:rsidRPr="003B016F">
        <w:rPr>
          <w:lang w:val="en-US"/>
        </w:rPr>
        <w:t xml:space="preserve">ZIDEK, J. 2007. </w:t>
      </w:r>
      <w:r w:rsidRPr="004B0A23">
        <w:rPr>
          <w:b/>
          <w:i/>
          <w:lang w:val="en-US"/>
        </w:rPr>
        <w:t xml:space="preserve">Phakopsora pachyrhizi </w:t>
      </w:r>
      <w:r w:rsidRPr="003B016F">
        <w:rPr>
          <w:b/>
          <w:lang w:val="en-US"/>
        </w:rPr>
        <w:t>urediniospore escape from a soybean canopy</w:t>
      </w:r>
      <w:r w:rsidRPr="003B016F">
        <w:rPr>
          <w:lang w:val="en-US"/>
        </w:rPr>
        <w:t xml:space="preserve">. </w:t>
      </w:r>
      <w:r w:rsidRPr="003B016F">
        <w:t>State College: Pennsylvania State University, p. 125.</w:t>
      </w:r>
    </w:p>
    <w:p w14:paraId="09B3C55A" w14:textId="50A6BF39" w:rsidR="00B72CB2" w:rsidRDefault="00B72CB2" w:rsidP="003F6D94">
      <w:pPr>
        <w:spacing w:after="0" w:line="240" w:lineRule="auto"/>
        <w:ind w:firstLine="0"/>
        <w:jc w:val="left"/>
      </w:pPr>
    </w:p>
    <w:p w14:paraId="2802CA05" w14:textId="0E0CF344" w:rsidR="00B72CB2" w:rsidRDefault="00B72CB2" w:rsidP="00B72CB2">
      <w:pPr>
        <w:ind w:firstLine="0"/>
        <w:jc w:val="left"/>
      </w:pPr>
    </w:p>
    <w:p w14:paraId="209EF9FC" w14:textId="0DE8F4DE" w:rsidR="00971D9C" w:rsidRPr="00B7238F" w:rsidRDefault="00971D9C" w:rsidP="003B016F">
      <w:pPr>
        <w:rPr>
          <w:color w:val="000000" w:themeColor="text1"/>
        </w:rPr>
      </w:pPr>
    </w:p>
    <w:p w14:paraId="3D06A497" w14:textId="1FAA4B27" w:rsidR="00971D9C" w:rsidRPr="00B7238F" w:rsidRDefault="005C1F79" w:rsidP="00D32CD0">
      <w:pPr>
        <w:pStyle w:val="Ttulo1"/>
        <w:jc w:val="center"/>
      </w:pPr>
      <w:bookmarkStart w:id="311" w:name="_Toc22568296"/>
      <w:r w:rsidRPr="00B7238F">
        <w:t>ANEXOS</w:t>
      </w:r>
      <w:bookmarkEnd w:id="311"/>
    </w:p>
    <w:p w14:paraId="42A30515" w14:textId="77777777" w:rsidR="00495E2C" w:rsidRPr="00B7238F" w:rsidRDefault="00495E2C" w:rsidP="00B7238F">
      <w:pPr>
        <w:pStyle w:val="Default"/>
        <w:spacing w:line="360" w:lineRule="auto"/>
        <w:rPr>
          <w:color w:val="000000" w:themeColor="text1"/>
          <w:lang w:val="pt-BR"/>
        </w:rPr>
      </w:pPr>
    </w:p>
    <w:p w14:paraId="73A4BCE8" w14:textId="5465117B" w:rsidR="007A64C8" w:rsidRPr="007A64C8" w:rsidRDefault="00D32CD0" w:rsidP="00817EAE">
      <w:pPr>
        <w:pStyle w:val="Ttulo2"/>
        <w:spacing w:before="0" w:after="0" w:line="240" w:lineRule="auto"/>
        <w:rPr>
          <w:color w:val="000000" w:themeColor="text1"/>
        </w:rPr>
      </w:pPr>
      <w:bookmarkStart w:id="312" w:name="_Toc22568297"/>
      <w:r w:rsidRPr="008B1FB0">
        <w:rPr>
          <w:rStyle w:val="Ttulo2Char"/>
        </w:rPr>
        <w:t>ANEXO</w:t>
      </w:r>
      <w:r w:rsidRPr="00B7238F">
        <w:t xml:space="preserve"> </w:t>
      </w:r>
      <w:r w:rsidR="00B170EA" w:rsidRPr="00B7238F">
        <w:t>1. Contrastes estatísticos, médias e probabilidade</w:t>
      </w:r>
      <w:r w:rsidR="00081316" w:rsidRPr="00B7238F">
        <w:t xml:space="preserve"> de significância</w:t>
      </w:r>
      <w:r w:rsidR="00B170EA" w:rsidRPr="00B7238F">
        <w:t xml:space="preserve"> realizados pelo teste t, com os resultados observados na </w:t>
      </w:r>
      <w:r w:rsidR="00B170EA" w:rsidRPr="00B7238F">
        <w:rPr>
          <w:bCs/>
        </w:rPr>
        <w:t xml:space="preserve">avaliação de programas de aplicações de fungicidas na ocorrência e frequência da mutação I86F em populações de </w:t>
      </w:r>
      <w:r w:rsidR="00B170EA" w:rsidRPr="00B7238F">
        <w:rPr>
          <w:bCs/>
          <w:i/>
          <w:iCs/>
        </w:rPr>
        <w:t xml:space="preserve">Phakopsora pachyrhizi </w:t>
      </w:r>
      <w:r w:rsidR="00B170EA" w:rsidRPr="00B7238F">
        <w:rPr>
          <w:rFonts w:eastAsiaTheme="minorEastAsia"/>
          <w:bCs/>
          <w:kern w:val="24"/>
        </w:rPr>
        <w:t>Lages, 2019.</w:t>
      </w:r>
      <w:bookmarkStart w:id="313" w:name="_Hlk16081256"/>
      <w:bookmarkEnd w:id="285"/>
      <w:bookmarkEnd w:id="312"/>
      <w:r w:rsidR="007A64C8" w:rsidRPr="007A64C8">
        <w:rPr>
          <w:color w:val="000000" w:themeColor="text1"/>
        </w:rPr>
        <w:t xml:space="preserve"> </w:t>
      </w:r>
    </w:p>
    <w:p w14:paraId="11F001F3" w14:textId="77777777" w:rsidR="007A64C8" w:rsidRPr="007A64C8" w:rsidRDefault="007A64C8" w:rsidP="007A64C8">
      <w:pPr>
        <w:spacing w:after="0" w:line="240" w:lineRule="auto"/>
        <w:ind w:firstLine="0"/>
        <w:jc w:val="left"/>
        <w:rPr>
          <w:color w:val="000000" w:themeColor="text1"/>
        </w:rPr>
      </w:pPr>
    </w:p>
    <w:tbl>
      <w:tblPr>
        <w:tblW w:w="8880" w:type="dxa"/>
        <w:tblCellMar>
          <w:left w:w="0" w:type="dxa"/>
          <w:right w:w="0" w:type="dxa"/>
        </w:tblCellMar>
        <w:tblLook w:val="0600" w:firstRow="0" w:lastRow="0" w:firstColumn="0" w:lastColumn="0" w:noHBand="1" w:noVBand="1"/>
      </w:tblPr>
      <w:tblGrid>
        <w:gridCol w:w="1945"/>
        <w:gridCol w:w="3247"/>
        <w:gridCol w:w="441"/>
        <w:gridCol w:w="3247"/>
      </w:tblGrid>
      <w:tr w:rsidR="007A64C8" w:rsidRPr="007A64C8" w14:paraId="1E206B53" w14:textId="77777777" w:rsidTr="00D74DA1">
        <w:trPr>
          <w:trHeight w:val="387"/>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F878FE2" w14:textId="77777777" w:rsidR="007A64C8" w:rsidRPr="007A64C8" w:rsidRDefault="007A64C8" w:rsidP="007A64C8">
            <w:pPr>
              <w:autoSpaceDE/>
              <w:autoSpaceDN/>
              <w:adjustRightInd/>
              <w:spacing w:after="0" w:line="240" w:lineRule="auto"/>
              <w:ind w:firstLine="0"/>
              <w:jc w:val="center"/>
              <w:rPr>
                <w:rFonts w:eastAsia="Times New Roman"/>
                <w:b/>
                <w:sz w:val="20"/>
                <w:szCs w:val="20"/>
                <w:lang w:eastAsia="pt-BR"/>
              </w:rPr>
            </w:pPr>
            <w:r w:rsidRPr="007A64C8">
              <w:rPr>
                <w:rFonts w:eastAsia="Times New Roman"/>
                <w:b/>
                <w:sz w:val="20"/>
                <w:szCs w:val="20"/>
                <w:lang w:eastAsia="pt-BR"/>
              </w:rPr>
              <w:t>Contraste 1</w:t>
            </w:r>
          </w:p>
        </w:tc>
        <w:tc>
          <w:tcPr>
            <w:tcW w:w="32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EA7AB51" w14:textId="77777777" w:rsidR="007A64C8" w:rsidRPr="007A64C8" w:rsidRDefault="007A64C8" w:rsidP="007A64C8">
            <w:pPr>
              <w:autoSpaceDE/>
              <w:autoSpaceDN/>
              <w:adjustRightInd/>
              <w:spacing w:after="0" w:line="240" w:lineRule="auto"/>
              <w:ind w:firstLine="0"/>
              <w:jc w:val="center"/>
              <w:textAlignment w:val="bottom"/>
              <w:rPr>
                <w:rFonts w:eastAsia="Times New Roman"/>
                <w:b/>
                <w:sz w:val="20"/>
                <w:szCs w:val="20"/>
                <w:lang w:eastAsia="pt-BR"/>
              </w:rPr>
            </w:pPr>
            <w:r w:rsidRPr="007A64C8">
              <w:rPr>
                <w:rFonts w:eastAsia="Times New Roman"/>
                <w:b/>
                <w:color w:val="000000"/>
                <w:kern w:val="24"/>
                <w:sz w:val="20"/>
                <w:szCs w:val="20"/>
                <w:lang w:eastAsia="pt-BR"/>
              </w:rPr>
              <w:t>Testemunha c/ e s/ fungicida</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1641094" w14:textId="77777777" w:rsidR="007A64C8" w:rsidRPr="007A64C8" w:rsidRDefault="007A64C8" w:rsidP="007A64C8">
            <w:pPr>
              <w:autoSpaceDE/>
              <w:autoSpaceDN/>
              <w:adjustRightInd/>
              <w:spacing w:after="0" w:line="240" w:lineRule="auto"/>
              <w:ind w:firstLine="0"/>
              <w:jc w:val="center"/>
              <w:textAlignment w:val="bottom"/>
              <w:rPr>
                <w:rFonts w:eastAsia="Times New Roman"/>
                <w:b/>
                <w:sz w:val="20"/>
                <w:szCs w:val="20"/>
                <w:lang w:eastAsia="pt-BR"/>
              </w:rPr>
            </w:pPr>
            <w:r w:rsidRPr="007A64C8">
              <w:rPr>
                <w:rFonts w:eastAsia="Times New Roman"/>
                <w:b/>
                <w:color w:val="000000"/>
                <w:kern w:val="24"/>
                <w:sz w:val="20"/>
                <w:szCs w:val="20"/>
                <w:lang w:eastAsia="pt-BR"/>
              </w:rPr>
              <w:t>x</w:t>
            </w:r>
          </w:p>
        </w:tc>
        <w:tc>
          <w:tcPr>
            <w:tcW w:w="32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6DCC28D" w14:textId="77777777" w:rsidR="007A64C8" w:rsidRPr="007A64C8" w:rsidRDefault="007A64C8" w:rsidP="007A64C8">
            <w:pPr>
              <w:autoSpaceDE/>
              <w:autoSpaceDN/>
              <w:adjustRightInd/>
              <w:spacing w:after="0" w:line="240" w:lineRule="auto"/>
              <w:ind w:firstLine="0"/>
              <w:jc w:val="center"/>
              <w:textAlignment w:val="bottom"/>
              <w:rPr>
                <w:rFonts w:eastAsia="Times New Roman"/>
                <w:b/>
                <w:sz w:val="20"/>
                <w:szCs w:val="20"/>
                <w:lang w:eastAsia="pt-BR"/>
              </w:rPr>
            </w:pPr>
            <w:r w:rsidRPr="007A64C8">
              <w:rPr>
                <w:rFonts w:eastAsia="Times New Roman"/>
                <w:b/>
                <w:color w:val="000000"/>
                <w:kern w:val="24"/>
                <w:sz w:val="20"/>
                <w:szCs w:val="20"/>
                <w:lang w:eastAsia="pt-BR"/>
              </w:rPr>
              <w:t>Prog. Apl. com carbox.</w:t>
            </w:r>
          </w:p>
        </w:tc>
      </w:tr>
      <w:tr w:rsidR="007A64C8" w:rsidRPr="007A64C8" w14:paraId="74521AFA" w14:textId="77777777" w:rsidTr="00D74DA1">
        <w:trPr>
          <w:trHeight w:val="387"/>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CC2094C"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Contraste</w:t>
            </w:r>
          </w:p>
        </w:tc>
        <w:tc>
          <w:tcPr>
            <w:tcW w:w="32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AEB80A7"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(T1 + T8)</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7B34A8D" w14:textId="77777777" w:rsidR="007A64C8" w:rsidRPr="007A64C8" w:rsidRDefault="007A64C8" w:rsidP="007A64C8">
            <w:pPr>
              <w:autoSpaceDE/>
              <w:autoSpaceDN/>
              <w:adjustRightInd/>
              <w:spacing w:after="0" w:line="240" w:lineRule="auto"/>
              <w:ind w:firstLine="0"/>
              <w:jc w:val="center"/>
              <w:rPr>
                <w:rFonts w:eastAsia="Times New Roman"/>
                <w:sz w:val="20"/>
                <w:szCs w:val="20"/>
                <w:lang w:eastAsia="pt-BR"/>
              </w:rPr>
            </w:pPr>
          </w:p>
        </w:tc>
        <w:tc>
          <w:tcPr>
            <w:tcW w:w="32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43FF2CB"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(T2 + T3 + T4 + T5 + T6 + T7)</w:t>
            </w:r>
          </w:p>
        </w:tc>
      </w:tr>
      <w:tr w:rsidR="007A64C8" w:rsidRPr="007A64C8" w14:paraId="13CA9BCE" w14:textId="77777777" w:rsidTr="00D74DA1">
        <w:trPr>
          <w:trHeight w:val="323"/>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0CE1E2BB"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Média</w:t>
            </w:r>
          </w:p>
        </w:tc>
        <w:tc>
          <w:tcPr>
            <w:tcW w:w="3240" w:type="dxa"/>
            <w:tcBorders>
              <w:top w:val="nil"/>
              <w:left w:val="nil"/>
              <w:bottom w:val="nil"/>
              <w:right w:val="nil"/>
            </w:tcBorders>
            <w:shd w:val="clear" w:color="auto" w:fill="D6DCE5"/>
            <w:tcMar>
              <w:top w:w="15" w:type="dxa"/>
              <w:left w:w="15" w:type="dxa"/>
              <w:bottom w:w="0" w:type="dxa"/>
              <w:right w:w="15" w:type="dxa"/>
            </w:tcMar>
            <w:vAlign w:val="center"/>
            <w:hideMark/>
          </w:tcPr>
          <w:p w14:paraId="50C3E7CA"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10,4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06A011A5" w14:textId="77777777" w:rsidR="007A64C8" w:rsidRPr="007A64C8" w:rsidRDefault="007A64C8" w:rsidP="007A64C8">
            <w:pPr>
              <w:autoSpaceDE/>
              <w:autoSpaceDN/>
              <w:adjustRightInd/>
              <w:spacing w:after="0" w:line="240" w:lineRule="auto"/>
              <w:ind w:firstLine="0"/>
              <w:jc w:val="center"/>
              <w:rPr>
                <w:rFonts w:eastAsia="Times New Roman"/>
                <w:sz w:val="20"/>
                <w:szCs w:val="20"/>
                <w:lang w:eastAsia="pt-BR"/>
              </w:rPr>
            </w:pPr>
          </w:p>
        </w:tc>
        <w:tc>
          <w:tcPr>
            <w:tcW w:w="3240" w:type="dxa"/>
            <w:tcBorders>
              <w:top w:val="nil"/>
              <w:left w:val="nil"/>
              <w:bottom w:val="nil"/>
              <w:right w:val="nil"/>
            </w:tcBorders>
            <w:shd w:val="clear" w:color="auto" w:fill="D6DCE5"/>
            <w:tcMar>
              <w:top w:w="15" w:type="dxa"/>
              <w:left w:w="15" w:type="dxa"/>
              <w:bottom w:w="0" w:type="dxa"/>
              <w:right w:w="15" w:type="dxa"/>
            </w:tcMar>
            <w:vAlign w:val="center"/>
            <w:hideMark/>
          </w:tcPr>
          <w:p w14:paraId="45D19193"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33,7</w:t>
            </w:r>
          </w:p>
        </w:tc>
      </w:tr>
      <w:tr w:rsidR="007A64C8" w:rsidRPr="007A64C8" w14:paraId="0CC87A79" w14:textId="77777777" w:rsidTr="00D74DA1">
        <w:trPr>
          <w:trHeight w:val="323"/>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5EC7FAC9"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Probabilidade(p)</w:t>
            </w:r>
          </w:p>
        </w:tc>
        <w:tc>
          <w:tcPr>
            <w:tcW w:w="3240" w:type="dxa"/>
            <w:tcBorders>
              <w:top w:val="nil"/>
              <w:left w:val="nil"/>
              <w:bottom w:val="nil"/>
              <w:right w:val="nil"/>
            </w:tcBorders>
            <w:shd w:val="clear" w:color="auto" w:fill="auto"/>
            <w:tcMar>
              <w:top w:w="15" w:type="dxa"/>
              <w:left w:w="15" w:type="dxa"/>
              <w:bottom w:w="0" w:type="dxa"/>
              <w:right w:w="15" w:type="dxa"/>
            </w:tcMar>
            <w:vAlign w:val="center"/>
            <w:hideMark/>
          </w:tcPr>
          <w:p w14:paraId="38ECDFC4" w14:textId="77777777" w:rsidR="007A64C8" w:rsidRPr="007A64C8" w:rsidRDefault="007A64C8" w:rsidP="007A64C8">
            <w:pPr>
              <w:autoSpaceDE/>
              <w:autoSpaceDN/>
              <w:adjustRightInd/>
              <w:spacing w:after="0" w:line="240" w:lineRule="auto"/>
              <w:ind w:firstLine="0"/>
              <w:jc w:val="center"/>
              <w:textAlignment w:val="bottom"/>
              <w:rPr>
                <w:rFonts w:eastAsia="Times New Roman"/>
                <w:sz w:val="20"/>
                <w:szCs w:val="20"/>
                <w:lang w:eastAsia="pt-BR"/>
              </w:rPr>
            </w:pPr>
            <w:r w:rsidRPr="007A64C8">
              <w:rPr>
                <w:rFonts w:eastAsia="Times New Roman"/>
                <w:color w:val="000000"/>
                <w:kern w:val="24"/>
                <w:sz w:val="20"/>
                <w:szCs w:val="20"/>
                <w:lang w:eastAsia="pt-BR"/>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72512782" w14:textId="77777777" w:rsidR="007A64C8" w:rsidRPr="007A64C8" w:rsidRDefault="007A64C8" w:rsidP="007A64C8">
            <w:pPr>
              <w:autoSpaceDE/>
              <w:autoSpaceDN/>
              <w:adjustRightInd/>
              <w:spacing w:after="0" w:line="240" w:lineRule="auto"/>
              <w:ind w:firstLine="0"/>
              <w:jc w:val="center"/>
              <w:rPr>
                <w:rFonts w:eastAsia="Times New Roman"/>
                <w:sz w:val="20"/>
                <w:szCs w:val="20"/>
                <w:lang w:eastAsia="pt-BR"/>
              </w:rPr>
            </w:pPr>
          </w:p>
        </w:tc>
        <w:tc>
          <w:tcPr>
            <w:tcW w:w="3240" w:type="dxa"/>
            <w:tcBorders>
              <w:top w:val="nil"/>
              <w:left w:val="nil"/>
              <w:bottom w:val="nil"/>
              <w:right w:val="nil"/>
            </w:tcBorders>
            <w:shd w:val="clear" w:color="auto" w:fill="auto"/>
            <w:tcMar>
              <w:top w:w="15" w:type="dxa"/>
              <w:left w:w="15" w:type="dxa"/>
              <w:bottom w:w="0" w:type="dxa"/>
              <w:right w:w="15" w:type="dxa"/>
            </w:tcMar>
            <w:vAlign w:val="center"/>
            <w:hideMark/>
          </w:tcPr>
          <w:p w14:paraId="2E65A71B" w14:textId="77777777" w:rsidR="007A64C8" w:rsidRPr="007A64C8" w:rsidRDefault="007A64C8" w:rsidP="007A64C8">
            <w:pPr>
              <w:autoSpaceDE/>
              <w:autoSpaceDN/>
              <w:adjustRightInd/>
              <w:spacing w:after="0" w:line="240" w:lineRule="auto"/>
              <w:ind w:firstLine="0"/>
              <w:jc w:val="center"/>
              <w:rPr>
                <w:rFonts w:eastAsia="Times New Roman"/>
                <w:sz w:val="20"/>
                <w:szCs w:val="20"/>
                <w:lang w:eastAsia="pt-BR"/>
              </w:rPr>
            </w:pPr>
          </w:p>
        </w:tc>
      </w:tr>
    </w:tbl>
    <w:p w14:paraId="020F2843"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3DA696EA"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A883D93" w14:textId="77777777" w:rsidR="007A64C8" w:rsidRPr="007A64C8" w:rsidRDefault="007A64C8" w:rsidP="007A64C8">
            <w:pPr>
              <w:autoSpaceDE/>
              <w:autoSpaceDN/>
              <w:adjustRightInd/>
              <w:spacing w:after="0" w:line="360" w:lineRule="auto"/>
              <w:ind w:firstLine="0"/>
              <w:jc w:val="center"/>
              <w:rPr>
                <w:sz w:val="20"/>
                <w:szCs w:val="20"/>
              </w:rPr>
            </w:pPr>
            <w:r w:rsidRPr="007A64C8">
              <w:rPr>
                <w:rFonts w:eastAsia="Times New Roman"/>
                <w:b/>
                <w:sz w:val="20"/>
                <w:szCs w:val="20"/>
                <w:lang w:eastAsia="pt-BR"/>
              </w:rPr>
              <w:t>Contraste 2</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7AF02D3"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Testemunha c/ e s/ fungicida</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00C420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14CE2D3"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Prog. Apl. com carbox.</w:t>
            </w:r>
          </w:p>
        </w:tc>
      </w:tr>
      <w:tr w:rsidR="007A64C8" w:rsidRPr="007A64C8" w14:paraId="035B8723"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AF855D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400FF5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(T1 + T8)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5510407"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0143C5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14 DAP</w:t>
            </w:r>
            <w:r w:rsidRPr="007A64C8">
              <w:rPr>
                <w:sz w:val="20"/>
                <w:szCs w:val="20"/>
                <w:vertAlign w:val="subscript"/>
              </w:rPr>
              <w:t>0</w:t>
            </w:r>
          </w:p>
        </w:tc>
      </w:tr>
      <w:tr w:rsidR="007A64C8" w:rsidRPr="007A64C8" w14:paraId="58A87DE1"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695BFFA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96BEE3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10,5</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0C9E2BBE"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2B00CC4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23,4</w:t>
            </w:r>
          </w:p>
        </w:tc>
      </w:tr>
      <w:tr w:rsidR="007A64C8" w:rsidRPr="007A64C8" w14:paraId="0C8E694C"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52F1F74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27A8572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00235BE4"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6788F791" w14:textId="77777777" w:rsidR="007A64C8" w:rsidRPr="007A64C8" w:rsidRDefault="007A64C8" w:rsidP="007A64C8">
            <w:pPr>
              <w:autoSpaceDE/>
              <w:autoSpaceDN/>
              <w:adjustRightInd/>
              <w:spacing w:after="0" w:line="360" w:lineRule="auto"/>
              <w:ind w:firstLine="0"/>
              <w:jc w:val="center"/>
              <w:rPr>
                <w:sz w:val="20"/>
                <w:szCs w:val="20"/>
              </w:rPr>
            </w:pPr>
          </w:p>
        </w:tc>
      </w:tr>
    </w:tbl>
    <w:p w14:paraId="4E6A2E86"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367C6F4F"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A87A112"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03B19F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Testemunha c/ e s/ fungicida</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65EE355"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143F0DF"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Prog. Apl. com carbox.</w:t>
            </w:r>
          </w:p>
        </w:tc>
      </w:tr>
      <w:tr w:rsidR="007A64C8" w:rsidRPr="007A64C8" w14:paraId="0D00E3C0"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EC6EA7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01CA22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(T1 + T8) 28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584A4DB"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CB5295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28 DAP</w:t>
            </w:r>
            <w:r w:rsidRPr="007A64C8">
              <w:rPr>
                <w:sz w:val="20"/>
                <w:szCs w:val="20"/>
                <w:vertAlign w:val="subscript"/>
              </w:rPr>
              <w:t>0</w:t>
            </w:r>
          </w:p>
        </w:tc>
      </w:tr>
      <w:tr w:rsidR="007A64C8" w:rsidRPr="007A64C8" w14:paraId="17BF3F95"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762E061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EAD0CF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13</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2FD7C4A3"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39F77B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37,4</w:t>
            </w:r>
          </w:p>
        </w:tc>
      </w:tr>
      <w:tr w:rsidR="007A64C8" w:rsidRPr="007A64C8" w14:paraId="0E01B121"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1EF6E3C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008D79C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4E848B86"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DE9662D" w14:textId="77777777" w:rsidR="007A64C8" w:rsidRPr="007A64C8" w:rsidRDefault="007A64C8" w:rsidP="007A64C8">
            <w:pPr>
              <w:autoSpaceDE/>
              <w:autoSpaceDN/>
              <w:adjustRightInd/>
              <w:spacing w:after="0" w:line="360" w:lineRule="auto"/>
              <w:ind w:firstLine="0"/>
              <w:jc w:val="center"/>
              <w:rPr>
                <w:sz w:val="20"/>
                <w:szCs w:val="20"/>
              </w:rPr>
            </w:pPr>
          </w:p>
        </w:tc>
      </w:tr>
    </w:tbl>
    <w:p w14:paraId="71F4FE3A"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2D153527"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EC9DC99"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4</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120B838"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Testemunha c/ e s/ fungicida</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F47FFA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826A1AC"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Prog. Apl. com carbox.</w:t>
            </w:r>
          </w:p>
        </w:tc>
      </w:tr>
      <w:tr w:rsidR="007A64C8" w:rsidRPr="007A64C8" w14:paraId="0BE22B19"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1A4E1B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73634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(T1 + T8) 42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EB446B3"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5092BC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42 DAP</w:t>
            </w:r>
            <w:r w:rsidRPr="007A64C8">
              <w:rPr>
                <w:sz w:val="20"/>
                <w:szCs w:val="20"/>
                <w:vertAlign w:val="subscript"/>
              </w:rPr>
              <w:t>0</w:t>
            </w:r>
          </w:p>
        </w:tc>
      </w:tr>
      <w:tr w:rsidR="007A64C8" w:rsidRPr="007A64C8" w14:paraId="31BF7E9D"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7E9C067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42B0FFC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8,5</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1B50B17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1B5AD2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40,3</w:t>
            </w:r>
          </w:p>
        </w:tc>
      </w:tr>
      <w:tr w:rsidR="007A64C8" w:rsidRPr="007A64C8" w14:paraId="3DB6213C"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1A692CA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FE29E1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43D7C4A0"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79F1A06" w14:textId="77777777" w:rsidR="007A64C8" w:rsidRPr="007A64C8" w:rsidRDefault="007A64C8" w:rsidP="007A64C8">
            <w:pPr>
              <w:autoSpaceDE/>
              <w:autoSpaceDN/>
              <w:adjustRightInd/>
              <w:spacing w:after="0" w:line="360" w:lineRule="auto"/>
              <w:ind w:firstLine="0"/>
              <w:jc w:val="center"/>
              <w:rPr>
                <w:sz w:val="20"/>
                <w:szCs w:val="20"/>
              </w:rPr>
            </w:pPr>
          </w:p>
        </w:tc>
      </w:tr>
    </w:tbl>
    <w:p w14:paraId="0F25D876"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01B5B803" w14:textId="77777777" w:rsidTr="00D74DA1">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9EDDC4B"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5</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528F046"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Testemunha c/ e s/ fungicida</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E96B520"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6AF64A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Prog. Apl. com carbox.</w:t>
            </w:r>
          </w:p>
        </w:tc>
      </w:tr>
      <w:tr w:rsidR="007A64C8" w:rsidRPr="007A64C8" w14:paraId="4A86B2AB"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360EDE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894AF1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(T1 + T8) 56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B0CBCFF"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2BB67B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56 DAP</w:t>
            </w:r>
            <w:r w:rsidRPr="007A64C8">
              <w:rPr>
                <w:sz w:val="20"/>
                <w:szCs w:val="20"/>
                <w:vertAlign w:val="subscript"/>
              </w:rPr>
              <w:t>0</w:t>
            </w:r>
          </w:p>
        </w:tc>
      </w:tr>
      <w:tr w:rsidR="007A64C8" w:rsidRPr="007A64C8" w14:paraId="3538C9FA"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2C81262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71A0C24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9,7</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3F4A65DA"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2432357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33,7</w:t>
            </w:r>
          </w:p>
        </w:tc>
      </w:tr>
      <w:tr w:rsidR="007A64C8" w:rsidRPr="007A64C8" w14:paraId="66A89DE3"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5EA94FD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2067D02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49A95018"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7F728015" w14:textId="77777777" w:rsidR="007A64C8" w:rsidRPr="007A64C8" w:rsidRDefault="007A64C8" w:rsidP="007A64C8">
            <w:pPr>
              <w:autoSpaceDE/>
              <w:autoSpaceDN/>
              <w:adjustRightInd/>
              <w:spacing w:after="0" w:line="360" w:lineRule="auto"/>
              <w:ind w:firstLine="0"/>
              <w:jc w:val="center"/>
              <w:rPr>
                <w:sz w:val="20"/>
                <w:szCs w:val="20"/>
              </w:rPr>
            </w:pPr>
          </w:p>
        </w:tc>
      </w:tr>
    </w:tbl>
    <w:p w14:paraId="6DBDFBD5" w14:textId="77777777" w:rsidR="007A64C8" w:rsidRPr="007A64C8" w:rsidRDefault="007A64C8" w:rsidP="007A64C8">
      <w:pPr>
        <w:autoSpaceDE/>
        <w:autoSpaceDN/>
        <w:adjustRightInd/>
        <w:spacing w:after="0" w:line="360" w:lineRule="auto"/>
        <w:ind w:firstLine="0"/>
        <w:jc w:val="center"/>
        <w:rPr>
          <w:sz w:val="20"/>
          <w:szCs w:val="20"/>
        </w:rPr>
      </w:pPr>
    </w:p>
    <w:p w14:paraId="2C730993" w14:textId="77777777" w:rsidR="007A64C8" w:rsidRPr="007A64C8" w:rsidRDefault="007A64C8" w:rsidP="007A64C8">
      <w:pPr>
        <w:autoSpaceDE/>
        <w:autoSpaceDN/>
        <w:adjustRightInd/>
        <w:spacing w:after="0" w:line="360" w:lineRule="auto"/>
        <w:ind w:firstLine="0"/>
        <w:jc w:val="center"/>
        <w:rPr>
          <w:sz w:val="20"/>
          <w:szCs w:val="20"/>
        </w:rPr>
      </w:pPr>
    </w:p>
    <w:p w14:paraId="54431528" w14:textId="77777777" w:rsidR="007A64C8" w:rsidRPr="007A64C8" w:rsidRDefault="007A64C8" w:rsidP="007A64C8">
      <w:pPr>
        <w:autoSpaceDE/>
        <w:autoSpaceDN/>
        <w:adjustRightInd/>
        <w:spacing w:after="0" w:line="360" w:lineRule="auto"/>
        <w:ind w:firstLine="0"/>
        <w:jc w:val="center"/>
        <w:rPr>
          <w:sz w:val="20"/>
          <w:szCs w:val="20"/>
        </w:rPr>
      </w:pPr>
    </w:p>
    <w:p w14:paraId="2C8F87AF" w14:textId="77777777" w:rsidR="007A64C8" w:rsidRPr="007A64C8" w:rsidRDefault="007A64C8" w:rsidP="007A64C8">
      <w:pPr>
        <w:autoSpaceDE/>
        <w:autoSpaceDN/>
        <w:adjustRightInd/>
        <w:spacing w:after="0" w:line="360" w:lineRule="auto"/>
        <w:ind w:firstLine="0"/>
        <w:jc w:val="center"/>
        <w:rPr>
          <w:sz w:val="20"/>
          <w:szCs w:val="20"/>
        </w:rPr>
      </w:pPr>
    </w:p>
    <w:tbl>
      <w:tblPr>
        <w:tblW w:w="8789" w:type="dxa"/>
        <w:tblCellMar>
          <w:left w:w="0" w:type="dxa"/>
          <w:right w:w="0" w:type="dxa"/>
        </w:tblCellMar>
        <w:tblLook w:val="0600" w:firstRow="0" w:lastRow="0" w:firstColumn="0" w:lastColumn="0" w:noHBand="1" w:noVBand="1"/>
      </w:tblPr>
      <w:tblGrid>
        <w:gridCol w:w="1945"/>
        <w:gridCol w:w="3287"/>
        <w:gridCol w:w="441"/>
        <w:gridCol w:w="3116"/>
      </w:tblGrid>
      <w:tr w:rsidR="007A64C8" w:rsidRPr="007A64C8" w14:paraId="1D31E0F5" w14:textId="77777777" w:rsidTr="00D74DA1">
        <w:trPr>
          <w:trHeight w:val="446"/>
        </w:trPr>
        <w:tc>
          <w:tcPr>
            <w:tcW w:w="19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9550A7C"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6</w:t>
            </w:r>
          </w:p>
        </w:tc>
        <w:tc>
          <w:tcPr>
            <w:tcW w:w="328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E7FFC94"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14 DAP0</w:t>
            </w:r>
          </w:p>
        </w:tc>
        <w:tc>
          <w:tcPr>
            <w:tcW w:w="44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F09A92F"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116"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0AC4DCF"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28 DAP0</w:t>
            </w:r>
          </w:p>
        </w:tc>
      </w:tr>
      <w:tr w:rsidR="007A64C8" w:rsidRPr="007A64C8" w14:paraId="14BF16DF" w14:textId="77777777" w:rsidTr="00D74DA1">
        <w:trPr>
          <w:trHeight w:val="673"/>
        </w:trPr>
        <w:tc>
          <w:tcPr>
            <w:tcW w:w="19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D8FDA1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8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2AD877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14 DAP</w:t>
            </w:r>
            <w:r w:rsidRPr="007A64C8">
              <w:rPr>
                <w:sz w:val="20"/>
                <w:szCs w:val="20"/>
                <w:vertAlign w:val="subscript"/>
              </w:rPr>
              <w:t>0</w:t>
            </w:r>
          </w:p>
        </w:tc>
        <w:tc>
          <w:tcPr>
            <w:tcW w:w="44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6325FB5" w14:textId="77777777" w:rsidR="007A64C8" w:rsidRPr="007A64C8" w:rsidRDefault="007A64C8" w:rsidP="007A64C8">
            <w:pPr>
              <w:autoSpaceDE/>
              <w:autoSpaceDN/>
              <w:adjustRightInd/>
              <w:spacing w:after="0" w:line="360" w:lineRule="auto"/>
              <w:ind w:firstLine="0"/>
              <w:jc w:val="center"/>
              <w:rPr>
                <w:sz w:val="20"/>
                <w:szCs w:val="20"/>
              </w:rPr>
            </w:pPr>
          </w:p>
        </w:tc>
        <w:tc>
          <w:tcPr>
            <w:tcW w:w="311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58E722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28 DAP</w:t>
            </w:r>
            <w:r w:rsidRPr="007A64C8">
              <w:rPr>
                <w:sz w:val="20"/>
                <w:szCs w:val="20"/>
                <w:vertAlign w:val="subscript"/>
              </w:rPr>
              <w:t>0</w:t>
            </w:r>
          </w:p>
        </w:tc>
      </w:tr>
      <w:tr w:rsidR="007A64C8" w:rsidRPr="007A64C8" w14:paraId="161ED5EB" w14:textId="77777777" w:rsidTr="00D74DA1">
        <w:trPr>
          <w:trHeight w:val="372"/>
        </w:trPr>
        <w:tc>
          <w:tcPr>
            <w:tcW w:w="1945" w:type="dxa"/>
            <w:tcBorders>
              <w:top w:val="nil"/>
              <w:left w:val="nil"/>
              <w:bottom w:val="nil"/>
              <w:right w:val="nil"/>
            </w:tcBorders>
            <w:shd w:val="clear" w:color="auto" w:fill="D6DCE5"/>
            <w:tcMar>
              <w:top w:w="15" w:type="dxa"/>
              <w:left w:w="15" w:type="dxa"/>
              <w:bottom w:w="0" w:type="dxa"/>
              <w:right w:w="15" w:type="dxa"/>
            </w:tcMar>
            <w:vAlign w:val="center"/>
            <w:hideMark/>
          </w:tcPr>
          <w:p w14:paraId="01DD196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87" w:type="dxa"/>
            <w:tcBorders>
              <w:top w:val="nil"/>
              <w:left w:val="nil"/>
              <w:bottom w:val="nil"/>
              <w:right w:val="nil"/>
            </w:tcBorders>
            <w:shd w:val="clear" w:color="auto" w:fill="D6DCE5"/>
            <w:tcMar>
              <w:top w:w="15" w:type="dxa"/>
              <w:left w:w="15" w:type="dxa"/>
              <w:bottom w:w="0" w:type="dxa"/>
              <w:right w:w="15" w:type="dxa"/>
            </w:tcMar>
            <w:vAlign w:val="center"/>
            <w:hideMark/>
          </w:tcPr>
          <w:p w14:paraId="1A24DE6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23,4</w:t>
            </w:r>
          </w:p>
        </w:tc>
        <w:tc>
          <w:tcPr>
            <w:tcW w:w="441" w:type="dxa"/>
            <w:tcBorders>
              <w:top w:val="nil"/>
              <w:left w:val="nil"/>
              <w:bottom w:val="nil"/>
              <w:right w:val="nil"/>
            </w:tcBorders>
            <w:shd w:val="clear" w:color="auto" w:fill="D6DCE5"/>
            <w:tcMar>
              <w:top w:w="15" w:type="dxa"/>
              <w:left w:w="15" w:type="dxa"/>
              <w:bottom w:w="0" w:type="dxa"/>
              <w:right w:w="15" w:type="dxa"/>
            </w:tcMar>
            <w:vAlign w:val="center"/>
            <w:hideMark/>
          </w:tcPr>
          <w:p w14:paraId="13743E82" w14:textId="77777777" w:rsidR="007A64C8" w:rsidRPr="007A64C8" w:rsidRDefault="007A64C8" w:rsidP="007A64C8">
            <w:pPr>
              <w:autoSpaceDE/>
              <w:autoSpaceDN/>
              <w:adjustRightInd/>
              <w:spacing w:after="0" w:line="360" w:lineRule="auto"/>
              <w:ind w:firstLine="0"/>
              <w:jc w:val="center"/>
              <w:rPr>
                <w:sz w:val="20"/>
                <w:szCs w:val="20"/>
              </w:rPr>
            </w:pPr>
          </w:p>
        </w:tc>
        <w:tc>
          <w:tcPr>
            <w:tcW w:w="3116" w:type="dxa"/>
            <w:tcBorders>
              <w:top w:val="nil"/>
              <w:left w:val="nil"/>
              <w:bottom w:val="nil"/>
              <w:right w:val="nil"/>
            </w:tcBorders>
            <w:shd w:val="clear" w:color="auto" w:fill="D6DCE5"/>
            <w:tcMar>
              <w:top w:w="15" w:type="dxa"/>
              <w:left w:w="15" w:type="dxa"/>
              <w:bottom w:w="0" w:type="dxa"/>
              <w:right w:w="15" w:type="dxa"/>
            </w:tcMar>
            <w:vAlign w:val="center"/>
            <w:hideMark/>
          </w:tcPr>
          <w:p w14:paraId="6D8EB0B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37,8</w:t>
            </w:r>
          </w:p>
        </w:tc>
      </w:tr>
    </w:tbl>
    <w:p w14:paraId="38016613" w14:textId="77777777" w:rsidR="007A64C8" w:rsidRPr="007A64C8" w:rsidRDefault="007A64C8" w:rsidP="007A64C8">
      <w:pPr>
        <w:autoSpaceDE/>
        <w:autoSpaceDN/>
        <w:adjustRightInd/>
        <w:spacing w:after="0" w:line="360" w:lineRule="auto"/>
        <w:ind w:firstLine="0"/>
        <w:jc w:val="center"/>
        <w:rPr>
          <w:sz w:val="20"/>
          <w:szCs w:val="20"/>
        </w:rPr>
      </w:pPr>
    </w:p>
    <w:p w14:paraId="28B5A83E"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4BAF767F" w14:textId="77777777" w:rsidTr="00D74DA1">
        <w:trPr>
          <w:trHeight w:val="36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C0414FC"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7</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3A5E5CF"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28 DAP0</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E6DFD02"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C900227"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42 DAP0</w:t>
            </w:r>
          </w:p>
        </w:tc>
      </w:tr>
      <w:tr w:rsidR="007A64C8" w:rsidRPr="007A64C8" w14:paraId="455D01C2"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561C84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34DBD2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85DC407"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03611F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28 DAP</w:t>
            </w:r>
            <w:r w:rsidRPr="007A64C8">
              <w:rPr>
                <w:sz w:val="20"/>
                <w:szCs w:val="20"/>
                <w:vertAlign w:val="subscript"/>
              </w:rPr>
              <w:t>0</w:t>
            </w:r>
          </w:p>
        </w:tc>
      </w:tr>
      <w:tr w:rsidR="007A64C8" w:rsidRPr="007A64C8" w14:paraId="6A612A84" w14:textId="77777777" w:rsidTr="00D74DA1">
        <w:trPr>
          <w:trHeight w:val="36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1C194A1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13B38C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37,4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27FF0D61"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7EB1143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40,3</w:t>
            </w:r>
          </w:p>
        </w:tc>
      </w:tr>
      <w:tr w:rsidR="007A64C8" w:rsidRPr="007A64C8" w14:paraId="03710D81"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CA8EE2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67C4629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74065B2B"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32E4828C" w14:textId="77777777" w:rsidR="007A64C8" w:rsidRPr="007A64C8" w:rsidRDefault="007A64C8" w:rsidP="007A64C8">
            <w:pPr>
              <w:autoSpaceDE/>
              <w:autoSpaceDN/>
              <w:adjustRightInd/>
              <w:spacing w:after="0" w:line="360" w:lineRule="auto"/>
              <w:ind w:firstLine="0"/>
              <w:jc w:val="center"/>
              <w:rPr>
                <w:sz w:val="20"/>
                <w:szCs w:val="20"/>
              </w:rPr>
            </w:pPr>
          </w:p>
        </w:tc>
      </w:tr>
    </w:tbl>
    <w:p w14:paraId="231FBCC5"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7381E567" w14:textId="77777777" w:rsidTr="00D74DA1">
        <w:trPr>
          <w:trHeight w:val="36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399A02B"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8</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7A259D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42 DAP0</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A5DDDE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E17D637"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56 DAP0</w:t>
            </w:r>
          </w:p>
        </w:tc>
      </w:tr>
      <w:tr w:rsidR="007A64C8" w:rsidRPr="007A64C8" w14:paraId="2954A488"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94A902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C8861F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722ECA4"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1DD13F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28 DAP</w:t>
            </w:r>
            <w:r w:rsidRPr="007A64C8">
              <w:rPr>
                <w:sz w:val="20"/>
                <w:szCs w:val="20"/>
                <w:vertAlign w:val="subscript"/>
              </w:rPr>
              <w:t>0</w:t>
            </w:r>
          </w:p>
        </w:tc>
      </w:tr>
      <w:tr w:rsidR="007A64C8" w:rsidRPr="007A64C8" w14:paraId="237B5786"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2F38C42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2FCA08B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40,3</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74BC9085"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10121D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33,7</w:t>
            </w:r>
          </w:p>
        </w:tc>
      </w:tr>
      <w:tr w:rsidR="007A64C8" w:rsidRPr="007A64C8" w14:paraId="0C310426"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4DD9682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287E6A0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0,037</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14B6E225"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70E571E" w14:textId="77777777" w:rsidR="007A64C8" w:rsidRPr="007A64C8" w:rsidRDefault="007A64C8" w:rsidP="007A64C8">
            <w:pPr>
              <w:autoSpaceDE/>
              <w:autoSpaceDN/>
              <w:adjustRightInd/>
              <w:spacing w:after="0" w:line="360" w:lineRule="auto"/>
              <w:ind w:firstLine="0"/>
              <w:jc w:val="center"/>
              <w:rPr>
                <w:sz w:val="20"/>
                <w:szCs w:val="20"/>
              </w:rPr>
            </w:pPr>
          </w:p>
        </w:tc>
      </w:tr>
    </w:tbl>
    <w:p w14:paraId="4F78EF02"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18DC316C" w14:textId="77777777" w:rsidTr="00D74DA1">
        <w:trPr>
          <w:trHeight w:val="366"/>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D760B52"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9</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49D42B2"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14 DAP0</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01494E3"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0A0835C"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42 DAP0</w:t>
            </w:r>
          </w:p>
        </w:tc>
      </w:tr>
      <w:tr w:rsidR="007A64C8" w:rsidRPr="007A64C8" w14:paraId="0FC75F3C" w14:textId="77777777" w:rsidTr="00D74DA1">
        <w:trPr>
          <w:trHeight w:val="551"/>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260CAE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6551BD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A1A0715"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38E93C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28 DAP</w:t>
            </w:r>
            <w:r w:rsidRPr="007A64C8">
              <w:rPr>
                <w:sz w:val="20"/>
                <w:szCs w:val="20"/>
                <w:vertAlign w:val="subscript"/>
              </w:rPr>
              <w:t>0</w:t>
            </w:r>
          </w:p>
        </w:tc>
      </w:tr>
      <w:tr w:rsidR="007A64C8" w:rsidRPr="007A64C8" w14:paraId="03A5211F" w14:textId="77777777" w:rsidTr="00D74DA1">
        <w:trPr>
          <w:trHeight w:val="305"/>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6E9D278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E02891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23,4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6251F46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7D1AAE7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40,3</w:t>
            </w:r>
          </w:p>
        </w:tc>
      </w:tr>
      <w:tr w:rsidR="007A64C8" w:rsidRPr="007A64C8" w14:paraId="48177968" w14:textId="77777777" w:rsidTr="00D74DA1">
        <w:trPr>
          <w:trHeight w:val="305"/>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70F453C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683F48B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ED4A61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EF56B06" w14:textId="77777777" w:rsidR="007A64C8" w:rsidRPr="007A64C8" w:rsidRDefault="007A64C8" w:rsidP="007A64C8">
            <w:pPr>
              <w:autoSpaceDE/>
              <w:autoSpaceDN/>
              <w:adjustRightInd/>
              <w:spacing w:after="0" w:line="360" w:lineRule="auto"/>
              <w:ind w:firstLine="0"/>
              <w:jc w:val="center"/>
              <w:rPr>
                <w:sz w:val="20"/>
                <w:szCs w:val="20"/>
              </w:rPr>
            </w:pPr>
          </w:p>
        </w:tc>
      </w:tr>
    </w:tbl>
    <w:p w14:paraId="47995569"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263DD233" w14:textId="77777777" w:rsidTr="00D74DA1">
        <w:trPr>
          <w:trHeight w:val="36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06E73AF"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10</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858F8EA"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14 DAP0</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851D18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5E0A599"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56 DAP0</w:t>
            </w:r>
          </w:p>
        </w:tc>
      </w:tr>
      <w:tr w:rsidR="007A64C8" w:rsidRPr="007A64C8" w14:paraId="26C0E8CE"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CB5AC6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0A4600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05FB76"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98CB9C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28 DAP</w:t>
            </w:r>
            <w:r w:rsidRPr="007A64C8">
              <w:rPr>
                <w:sz w:val="20"/>
                <w:szCs w:val="20"/>
                <w:vertAlign w:val="subscript"/>
              </w:rPr>
              <w:t>0</w:t>
            </w:r>
          </w:p>
        </w:tc>
      </w:tr>
      <w:tr w:rsidR="007A64C8" w:rsidRPr="007A64C8" w14:paraId="1063BBFD"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51B0001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67FFBF8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23,4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59647E94"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7F58E55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33,7</w:t>
            </w:r>
          </w:p>
        </w:tc>
      </w:tr>
      <w:tr w:rsidR="007A64C8" w:rsidRPr="007A64C8" w14:paraId="0766D4B8"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5D2F89F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03CD87C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0,002</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7EDEA119"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3DD74B0C" w14:textId="77777777" w:rsidR="007A64C8" w:rsidRPr="007A64C8" w:rsidRDefault="007A64C8" w:rsidP="007A64C8">
            <w:pPr>
              <w:autoSpaceDE/>
              <w:autoSpaceDN/>
              <w:adjustRightInd/>
              <w:spacing w:after="0" w:line="360" w:lineRule="auto"/>
              <w:ind w:firstLine="0"/>
              <w:jc w:val="center"/>
              <w:rPr>
                <w:sz w:val="20"/>
                <w:szCs w:val="20"/>
              </w:rPr>
            </w:pPr>
          </w:p>
        </w:tc>
      </w:tr>
    </w:tbl>
    <w:p w14:paraId="0EFB43A7"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70C2B83E" w14:textId="77777777" w:rsidTr="00D74DA1">
        <w:trPr>
          <w:trHeight w:val="36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85F28F8"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11</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5B3A0F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28 DAP0</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733DD27"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BB819C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56 DAP0</w:t>
            </w:r>
          </w:p>
        </w:tc>
      </w:tr>
      <w:tr w:rsidR="007A64C8" w:rsidRPr="007A64C8" w14:paraId="155D14D1"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9231C8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30975F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CFFCE10"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C91184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 T5 + T6 + T7) 28 DAP</w:t>
            </w:r>
            <w:r w:rsidRPr="007A64C8">
              <w:rPr>
                <w:sz w:val="20"/>
                <w:szCs w:val="20"/>
                <w:vertAlign w:val="subscript"/>
              </w:rPr>
              <w:t>0</w:t>
            </w:r>
          </w:p>
        </w:tc>
      </w:tr>
      <w:tr w:rsidR="007A64C8" w:rsidRPr="007A64C8" w14:paraId="55D2D233"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2EF4523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6E03F6D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37,4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292108D8"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735D1A9C"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33,7</w:t>
            </w:r>
          </w:p>
        </w:tc>
      </w:tr>
      <w:tr w:rsidR="007A64C8" w:rsidRPr="007A64C8" w14:paraId="5A4F02F5"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13D6CE5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32B7857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45885BEE"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B3BA5A9" w14:textId="77777777" w:rsidR="007A64C8" w:rsidRPr="007A64C8" w:rsidRDefault="007A64C8" w:rsidP="007A64C8">
            <w:pPr>
              <w:autoSpaceDE/>
              <w:autoSpaceDN/>
              <w:adjustRightInd/>
              <w:spacing w:after="0" w:line="360" w:lineRule="auto"/>
              <w:ind w:firstLine="0"/>
              <w:jc w:val="center"/>
              <w:rPr>
                <w:sz w:val="20"/>
                <w:szCs w:val="20"/>
              </w:rPr>
            </w:pPr>
          </w:p>
        </w:tc>
      </w:tr>
    </w:tbl>
    <w:p w14:paraId="2431648C" w14:textId="77777777" w:rsidR="007A64C8" w:rsidRPr="007A64C8" w:rsidRDefault="007A64C8" w:rsidP="007A64C8">
      <w:pPr>
        <w:autoSpaceDE/>
        <w:autoSpaceDN/>
        <w:adjustRightInd/>
        <w:spacing w:after="0" w:line="360" w:lineRule="auto"/>
        <w:ind w:firstLine="0"/>
        <w:jc w:val="center"/>
        <w:rPr>
          <w:sz w:val="20"/>
          <w:szCs w:val="20"/>
        </w:rPr>
      </w:pPr>
    </w:p>
    <w:p w14:paraId="15EB05C9" w14:textId="77777777" w:rsidR="007A64C8" w:rsidRPr="007A64C8" w:rsidRDefault="007A64C8" w:rsidP="007A64C8">
      <w:pPr>
        <w:autoSpaceDE/>
        <w:autoSpaceDN/>
        <w:adjustRightInd/>
        <w:spacing w:after="0" w:line="360" w:lineRule="auto"/>
        <w:ind w:firstLine="0"/>
        <w:jc w:val="center"/>
        <w:rPr>
          <w:sz w:val="20"/>
          <w:szCs w:val="20"/>
        </w:rPr>
      </w:pPr>
    </w:p>
    <w:p w14:paraId="7449A8F6"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2160F9F4"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8E3E75E"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12</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A2FE0AE"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1</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9CB63C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ABEB636"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2</w:t>
            </w:r>
          </w:p>
        </w:tc>
      </w:tr>
      <w:tr w:rsidR="007A64C8" w:rsidRPr="007A64C8" w14:paraId="17722E2D" w14:textId="77777777" w:rsidTr="00D74DA1">
        <w:trPr>
          <w:trHeight w:val="30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061D24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3CD5A1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80706B1"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0988D5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(T5 + T6 + T7)</w:t>
            </w:r>
          </w:p>
        </w:tc>
      </w:tr>
      <w:tr w:rsidR="007A64C8" w:rsidRPr="007A64C8" w14:paraId="0D05E811"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12622E5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B98B01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28,7</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0BA79508"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370D1C5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38,7</w:t>
            </w:r>
          </w:p>
        </w:tc>
      </w:tr>
      <w:tr w:rsidR="007A64C8" w:rsidRPr="007A64C8" w14:paraId="2EB48C11"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36A4843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6070A94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 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D1B5306"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7C4CF088" w14:textId="77777777" w:rsidR="007A64C8" w:rsidRPr="007A64C8" w:rsidRDefault="007A64C8" w:rsidP="007A64C8">
            <w:pPr>
              <w:autoSpaceDE/>
              <w:autoSpaceDN/>
              <w:adjustRightInd/>
              <w:spacing w:after="0" w:line="360" w:lineRule="auto"/>
              <w:ind w:firstLine="0"/>
              <w:jc w:val="center"/>
              <w:rPr>
                <w:sz w:val="20"/>
                <w:szCs w:val="20"/>
              </w:rPr>
            </w:pPr>
          </w:p>
        </w:tc>
      </w:tr>
    </w:tbl>
    <w:p w14:paraId="5F6E28FD" w14:textId="77777777" w:rsidR="007A64C8" w:rsidRPr="007A64C8" w:rsidRDefault="007A64C8" w:rsidP="007A64C8">
      <w:pPr>
        <w:autoSpaceDE/>
        <w:autoSpaceDN/>
        <w:adjustRightInd/>
        <w:spacing w:after="0" w:line="360" w:lineRule="auto"/>
        <w:ind w:firstLine="0"/>
        <w:jc w:val="left"/>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1C36B7F6"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0275052"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13</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F412E89"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1</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2A301F5"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28ED2B8"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2</w:t>
            </w:r>
          </w:p>
        </w:tc>
      </w:tr>
      <w:tr w:rsidR="007A64C8" w:rsidRPr="007A64C8" w14:paraId="6F77BE13"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3C070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BE7376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045D89E"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293E9A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(T5 + T6 + T7) 14 DAP</w:t>
            </w:r>
            <w:r w:rsidRPr="007A64C8">
              <w:rPr>
                <w:sz w:val="20"/>
                <w:szCs w:val="20"/>
                <w:vertAlign w:val="subscript"/>
              </w:rPr>
              <w:t>0</w:t>
            </w:r>
          </w:p>
        </w:tc>
      </w:tr>
      <w:tr w:rsidR="007A64C8" w:rsidRPr="007A64C8" w14:paraId="1E4DA8ED"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5FC3DC4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77E5A57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21,2</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4009D019"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381315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25,7</w:t>
            </w:r>
          </w:p>
        </w:tc>
      </w:tr>
      <w:tr w:rsidR="007A64C8" w:rsidRPr="007A64C8" w14:paraId="705FD897"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4563DE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B927EEC"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E1BE4B2"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6F216D02" w14:textId="77777777" w:rsidR="007A64C8" w:rsidRPr="007A64C8" w:rsidRDefault="007A64C8" w:rsidP="007A64C8">
            <w:pPr>
              <w:autoSpaceDE/>
              <w:autoSpaceDN/>
              <w:adjustRightInd/>
              <w:spacing w:after="0" w:line="360" w:lineRule="auto"/>
              <w:ind w:firstLine="0"/>
              <w:jc w:val="center"/>
              <w:rPr>
                <w:sz w:val="20"/>
                <w:szCs w:val="20"/>
              </w:rPr>
            </w:pPr>
          </w:p>
        </w:tc>
      </w:tr>
    </w:tbl>
    <w:p w14:paraId="2805043B"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67415B45"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3800A26"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14</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2122EE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1</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E9EC26A"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B953C9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2</w:t>
            </w:r>
          </w:p>
        </w:tc>
      </w:tr>
      <w:tr w:rsidR="007A64C8" w:rsidRPr="007A64C8" w14:paraId="4984F3C2"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15742A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BA5D42C"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28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3C94FF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D0E52A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(T5 + T6 + T7) 28 DAP</w:t>
            </w:r>
            <w:r w:rsidRPr="007A64C8">
              <w:rPr>
                <w:sz w:val="20"/>
                <w:szCs w:val="20"/>
                <w:vertAlign w:val="subscript"/>
              </w:rPr>
              <w:t>0</w:t>
            </w:r>
          </w:p>
        </w:tc>
      </w:tr>
      <w:tr w:rsidR="007A64C8" w:rsidRPr="007A64C8" w14:paraId="3766D68C"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0C882A5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ECC8B9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31,8</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68150197"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8EAEBD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43</w:t>
            </w:r>
          </w:p>
        </w:tc>
      </w:tr>
      <w:tr w:rsidR="007A64C8" w:rsidRPr="007A64C8" w14:paraId="04910C12"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7F41963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22CC8A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0,0003</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B19535A"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759F8A7E" w14:textId="77777777" w:rsidR="007A64C8" w:rsidRPr="007A64C8" w:rsidRDefault="007A64C8" w:rsidP="007A64C8">
            <w:pPr>
              <w:autoSpaceDE/>
              <w:autoSpaceDN/>
              <w:adjustRightInd/>
              <w:spacing w:after="0" w:line="360" w:lineRule="auto"/>
              <w:ind w:firstLine="0"/>
              <w:jc w:val="center"/>
              <w:rPr>
                <w:sz w:val="20"/>
                <w:szCs w:val="20"/>
              </w:rPr>
            </w:pPr>
          </w:p>
        </w:tc>
      </w:tr>
    </w:tbl>
    <w:p w14:paraId="4B88D199"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6F40DF52"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ADDCA39"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15</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9A3DF47"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1</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EB94FDA"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6394CB7"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2</w:t>
            </w:r>
          </w:p>
        </w:tc>
      </w:tr>
      <w:tr w:rsidR="007A64C8" w:rsidRPr="007A64C8" w14:paraId="5EFBDF11"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6C43AA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10A3DC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42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0F0EED6"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6073EA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(T5 + T6 + T7) 42 DAP</w:t>
            </w:r>
            <w:r w:rsidRPr="007A64C8">
              <w:rPr>
                <w:sz w:val="20"/>
                <w:szCs w:val="20"/>
                <w:vertAlign w:val="subscript"/>
              </w:rPr>
              <w:t>0</w:t>
            </w:r>
          </w:p>
        </w:tc>
      </w:tr>
      <w:tr w:rsidR="007A64C8" w:rsidRPr="007A64C8" w14:paraId="0104AB9B"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7FA96AC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21738D0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31,3</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68F5E28A"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3C00AD4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49,3</w:t>
            </w:r>
          </w:p>
        </w:tc>
      </w:tr>
      <w:tr w:rsidR="007A64C8" w:rsidRPr="007A64C8" w14:paraId="564FFF23"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B3803D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EF93C1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 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A82CE34"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672D778B" w14:textId="77777777" w:rsidR="007A64C8" w:rsidRPr="007A64C8" w:rsidRDefault="007A64C8" w:rsidP="007A64C8">
            <w:pPr>
              <w:autoSpaceDE/>
              <w:autoSpaceDN/>
              <w:adjustRightInd/>
              <w:spacing w:after="0" w:line="360" w:lineRule="auto"/>
              <w:ind w:firstLine="0"/>
              <w:jc w:val="center"/>
              <w:rPr>
                <w:sz w:val="20"/>
                <w:szCs w:val="20"/>
              </w:rPr>
            </w:pPr>
          </w:p>
        </w:tc>
      </w:tr>
    </w:tbl>
    <w:p w14:paraId="55FBD447"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317B1E98"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90B9D95"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16</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DA9254A"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1</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D08384A"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F642F66"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Carbox. 2</w:t>
            </w:r>
          </w:p>
        </w:tc>
      </w:tr>
      <w:tr w:rsidR="007A64C8" w:rsidRPr="007A64C8" w14:paraId="7A6BBE1A"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B516C1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DAC4AA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T3 + T4) 56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5B9C203"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254CDE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(T5 + T6 + T7) 56 DAP</w:t>
            </w:r>
            <w:r w:rsidRPr="007A64C8">
              <w:rPr>
                <w:sz w:val="20"/>
                <w:szCs w:val="20"/>
                <w:vertAlign w:val="subscript"/>
              </w:rPr>
              <w:t>0</w:t>
            </w:r>
          </w:p>
        </w:tc>
      </w:tr>
      <w:tr w:rsidR="007A64C8" w:rsidRPr="007A64C8" w14:paraId="36844442"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1268EB9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E22314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30,5</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60C8760F"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566096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36,9</w:t>
            </w:r>
          </w:p>
        </w:tc>
      </w:tr>
      <w:tr w:rsidR="007A64C8" w:rsidRPr="007A64C8" w14:paraId="56C40ADA"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0B3B718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027EB11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15D8F68"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0D537BE0" w14:textId="77777777" w:rsidR="007A64C8" w:rsidRPr="007A64C8" w:rsidRDefault="007A64C8" w:rsidP="007A64C8">
            <w:pPr>
              <w:autoSpaceDE/>
              <w:autoSpaceDN/>
              <w:adjustRightInd/>
              <w:spacing w:after="0" w:line="360" w:lineRule="auto"/>
              <w:ind w:firstLine="0"/>
              <w:jc w:val="center"/>
              <w:rPr>
                <w:sz w:val="20"/>
                <w:szCs w:val="20"/>
              </w:rPr>
            </w:pPr>
          </w:p>
        </w:tc>
      </w:tr>
    </w:tbl>
    <w:p w14:paraId="39E13C2A"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5D3B67F4"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0CDF17A"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17</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7B57D1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88D5FF5"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2A70A1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r>
      <w:tr w:rsidR="007A64C8" w:rsidRPr="007A64C8" w14:paraId="11761283" w14:textId="77777777" w:rsidTr="00D74DA1">
        <w:trPr>
          <w:trHeight w:val="30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B0FD3A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938BB7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07C845E"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3EEF69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w:t>
            </w:r>
          </w:p>
        </w:tc>
      </w:tr>
      <w:tr w:rsidR="007A64C8" w:rsidRPr="007A64C8" w14:paraId="41F00242"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79B0EC6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36A09D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30,4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6607DEC2"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6F9A30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32,6</w:t>
            </w:r>
          </w:p>
        </w:tc>
      </w:tr>
      <w:tr w:rsidR="007A64C8" w:rsidRPr="007A64C8" w14:paraId="383C849A"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F93791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7993C6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CAEF51D"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3EFE2E21" w14:textId="77777777" w:rsidR="007A64C8" w:rsidRPr="007A64C8" w:rsidRDefault="007A64C8" w:rsidP="007A64C8">
            <w:pPr>
              <w:autoSpaceDE/>
              <w:autoSpaceDN/>
              <w:adjustRightInd/>
              <w:spacing w:after="0" w:line="360" w:lineRule="auto"/>
              <w:ind w:firstLine="0"/>
              <w:jc w:val="center"/>
              <w:rPr>
                <w:sz w:val="20"/>
                <w:szCs w:val="20"/>
              </w:rPr>
            </w:pPr>
          </w:p>
        </w:tc>
      </w:tr>
    </w:tbl>
    <w:p w14:paraId="04B7CEE8"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005BBBAB" w14:textId="77777777" w:rsidTr="00D74DA1">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A894E49"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18</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08CFC3F"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BB5B96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59781CE"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r>
      <w:tr w:rsidR="007A64C8" w:rsidRPr="007A64C8" w14:paraId="33FC7EBD"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A3B3DF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DC4814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 28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6A0352A"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B248B3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 28 DAP</w:t>
            </w:r>
            <w:r w:rsidRPr="007A64C8">
              <w:rPr>
                <w:sz w:val="20"/>
                <w:szCs w:val="20"/>
                <w:vertAlign w:val="subscript"/>
              </w:rPr>
              <w:t>0</w:t>
            </w:r>
          </w:p>
        </w:tc>
      </w:tr>
      <w:tr w:rsidR="007A64C8" w:rsidRPr="007A64C8" w14:paraId="57B8472F"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7896EB6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0D0D67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37,8</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76C027D5"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44C514B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33,3</w:t>
            </w:r>
          </w:p>
        </w:tc>
      </w:tr>
      <w:tr w:rsidR="007A64C8" w:rsidRPr="007A64C8" w14:paraId="089A0EC0"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538FB15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A93133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07554987"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6DF26F05" w14:textId="77777777" w:rsidR="007A64C8" w:rsidRPr="007A64C8" w:rsidRDefault="007A64C8" w:rsidP="007A64C8">
            <w:pPr>
              <w:autoSpaceDE/>
              <w:autoSpaceDN/>
              <w:adjustRightInd/>
              <w:spacing w:after="0" w:line="360" w:lineRule="auto"/>
              <w:ind w:firstLine="0"/>
              <w:jc w:val="center"/>
              <w:rPr>
                <w:sz w:val="20"/>
                <w:szCs w:val="20"/>
              </w:rPr>
            </w:pPr>
          </w:p>
        </w:tc>
      </w:tr>
    </w:tbl>
    <w:p w14:paraId="1934A003" w14:textId="77777777" w:rsidR="007A64C8" w:rsidRPr="007A64C8" w:rsidRDefault="007A64C8" w:rsidP="007A64C8">
      <w:pPr>
        <w:autoSpaceDE/>
        <w:autoSpaceDN/>
        <w:adjustRightInd/>
        <w:spacing w:after="0" w:line="360" w:lineRule="auto"/>
        <w:ind w:firstLine="0"/>
        <w:jc w:val="center"/>
        <w:rPr>
          <w:sz w:val="20"/>
          <w:szCs w:val="20"/>
        </w:rPr>
      </w:pPr>
    </w:p>
    <w:p w14:paraId="12EB58C7" w14:textId="77777777" w:rsidR="007A64C8" w:rsidRPr="007A64C8" w:rsidRDefault="007A64C8" w:rsidP="007A64C8">
      <w:pPr>
        <w:autoSpaceDE/>
        <w:autoSpaceDN/>
        <w:adjustRightInd/>
        <w:spacing w:after="0" w:line="360" w:lineRule="auto"/>
        <w:ind w:firstLine="0"/>
        <w:jc w:val="center"/>
        <w:rPr>
          <w:sz w:val="20"/>
          <w:szCs w:val="20"/>
        </w:rPr>
      </w:pPr>
    </w:p>
    <w:p w14:paraId="69B97AEB" w14:textId="77777777" w:rsidR="007A64C8" w:rsidRPr="007A64C8" w:rsidRDefault="007A64C8" w:rsidP="007A64C8">
      <w:pPr>
        <w:autoSpaceDE/>
        <w:autoSpaceDN/>
        <w:adjustRightInd/>
        <w:spacing w:after="0" w:line="360" w:lineRule="auto"/>
        <w:ind w:firstLine="0"/>
        <w:jc w:val="center"/>
        <w:rPr>
          <w:sz w:val="20"/>
          <w:szCs w:val="20"/>
        </w:rPr>
      </w:pPr>
    </w:p>
    <w:p w14:paraId="0BAD8528"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4364DA9D"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ADA05B5"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19</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919B0BE"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99E4782"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82A21F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r>
      <w:tr w:rsidR="007A64C8" w:rsidRPr="007A64C8" w14:paraId="1BD9BDC5"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F239E7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483F90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 42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5F45BCD"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72A96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 42 DAP</w:t>
            </w:r>
            <w:r w:rsidRPr="007A64C8">
              <w:rPr>
                <w:sz w:val="20"/>
                <w:szCs w:val="20"/>
                <w:vertAlign w:val="subscript"/>
              </w:rPr>
              <w:t>0</w:t>
            </w:r>
          </w:p>
        </w:tc>
      </w:tr>
      <w:tr w:rsidR="007A64C8" w:rsidRPr="007A64C8" w14:paraId="4CA8887A"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0B51F10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619877C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38,5</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3138E0A5"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6E0EE65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38,3</w:t>
            </w:r>
          </w:p>
        </w:tc>
      </w:tr>
      <w:tr w:rsidR="007A64C8" w:rsidRPr="007A64C8" w14:paraId="6BEEA647"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7888928C"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2A6B0A1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676E9FF8"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9FBCCDB" w14:textId="77777777" w:rsidR="007A64C8" w:rsidRPr="007A64C8" w:rsidRDefault="007A64C8" w:rsidP="007A64C8">
            <w:pPr>
              <w:autoSpaceDE/>
              <w:autoSpaceDN/>
              <w:adjustRightInd/>
              <w:spacing w:after="0" w:line="360" w:lineRule="auto"/>
              <w:ind w:firstLine="0"/>
              <w:jc w:val="center"/>
              <w:rPr>
                <w:sz w:val="20"/>
                <w:szCs w:val="20"/>
              </w:rPr>
            </w:pPr>
          </w:p>
        </w:tc>
      </w:tr>
    </w:tbl>
    <w:p w14:paraId="3D6DDEE4" w14:textId="77777777" w:rsidR="007A64C8" w:rsidRPr="007A64C8" w:rsidRDefault="007A64C8" w:rsidP="007A64C8">
      <w:pPr>
        <w:autoSpaceDE/>
        <w:autoSpaceDN/>
        <w:adjustRightInd/>
        <w:spacing w:after="0" w:line="360" w:lineRule="auto"/>
        <w:ind w:firstLine="0"/>
        <w:jc w:val="left"/>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16547CCF"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B0C964A"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20</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CEE56F8"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E8B49E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09DF1DE"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r>
      <w:tr w:rsidR="007A64C8" w:rsidRPr="007A64C8" w14:paraId="52C7B104"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244DCA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6D1C92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 56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91E0EB9"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1277BD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 56 DAP</w:t>
            </w:r>
            <w:r w:rsidRPr="007A64C8">
              <w:rPr>
                <w:sz w:val="20"/>
                <w:szCs w:val="20"/>
                <w:vertAlign w:val="subscript"/>
              </w:rPr>
              <w:t>0</w:t>
            </w:r>
          </w:p>
        </w:tc>
      </w:tr>
      <w:tr w:rsidR="007A64C8" w:rsidRPr="007A64C8" w14:paraId="2B67AD48"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51DEB73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6827FE9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25,4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615DD9FD"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6880AC8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30,5</w:t>
            </w:r>
          </w:p>
        </w:tc>
      </w:tr>
      <w:tr w:rsidR="007A64C8" w:rsidRPr="007A64C8" w14:paraId="25A41BED"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436F6EC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24F8ECE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7CA45CD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88B5E0E" w14:textId="77777777" w:rsidR="007A64C8" w:rsidRPr="007A64C8" w:rsidRDefault="007A64C8" w:rsidP="007A64C8">
            <w:pPr>
              <w:autoSpaceDE/>
              <w:autoSpaceDN/>
              <w:adjustRightInd/>
              <w:spacing w:after="0" w:line="360" w:lineRule="auto"/>
              <w:ind w:firstLine="0"/>
              <w:jc w:val="center"/>
              <w:rPr>
                <w:sz w:val="20"/>
                <w:szCs w:val="20"/>
              </w:rPr>
            </w:pPr>
          </w:p>
        </w:tc>
      </w:tr>
    </w:tbl>
    <w:p w14:paraId="23D00899"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377BED71" w14:textId="77777777" w:rsidTr="00D74DA1">
        <w:trPr>
          <w:trHeight w:val="262"/>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EE6A394"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21</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11E6856"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695A9F2"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6A588C0"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1CFAA974"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850CAA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E7BA19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7F302C9"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0BEA63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w:t>
            </w:r>
          </w:p>
        </w:tc>
      </w:tr>
      <w:tr w:rsidR="007A64C8" w:rsidRPr="007A64C8" w14:paraId="5B5E65A0"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bottom"/>
            <w:hideMark/>
          </w:tcPr>
          <w:p w14:paraId="5743801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bottom"/>
            <w:hideMark/>
          </w:tcPr>
          <w:p w14:paraId="5395A7A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30,4</w:t>
            </w:r>
          </w:p>
        </w:tc>
        <w:tc>
          <w:tcPr>
            <w:tcW w:w="440" w:type="dxa"/>
            <w:tcBorders>
              <w:top w:val="nil"/>
              <w:left w:val="nil"/>
              <w:bottom w:val="nil"/>
              <w:right w:val="nil"/>
            </w:tcBorders>
            <w:shd w:val="clear" w:color="auto" w:fill="D6DCE5"/>
            <w:tcMar>
              <w:top w:w="15" w:type="dxa"/>
              <w:left w:w="15" w:type="dxa"/>
              <w:bottom w:w="0" w:type="dxa"/>
              <w:right w:w="15" w:type="dxa"/>
            </w:tcMar>
            <w:vAlign w:val="bottom"/>
            <w:hideMark/>
          </w:tcPr>
          <w:p w14:paraId="2F4CAAF3"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bottom"/>
            <w:hideMark/>
          </w:tcPr>
          <w:p w14:paraId="2B46EF7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38,1</w:t>
            </w:r>
          </w:p>
        </w:tc>
      </w:tr>
      <w:tr w:rsidR="007A64C8" w:rsidRPr="007A64C8" w14:paraId="7DD65287"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bottom"/>
            <w:hideMark/>
          </w:tcPr>
          <w:p w14:paraId="4F6D957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bottom"/>
            <w:hideMark/>
          </w:tcPr>
          <w:p w14:paraId="3A0B2CF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0,0237</w:t>
            </w:r>
          </w:p>
        </w:tc>
        <w:tc>
          <w:tcPr>
            <w:tcW w:w="440" w:type="dxa"/>
            <w:tcBorders>
              <w:top w:val="nil"/>
              <w:left w:val="nil"/>
              <w:bottom w:val="nil"/>
              <w:right w:val="nil"/>
            </w:tcBorders>
            <w:shd w:val="clear" w:color="auto" w:fill="auto"/>
            <w:tcMar>
              <w:top w:w="15" w:type="dxa"/>
              <w:left w:w="15" w:type="dxa"/>
              <w:bottom w:w="0" w:type="dxa"/>
              <w:right w:w="15" w:type="dxa"/>
            </w:tcMar>
            <w:vAlign w:val="bottom"/>
            <w:hideMark/>
          </w:tcPr>
          <w:p w14:paraId="59C84DC1"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bottom"/>
            <w:hideMark/>
          </w:tcPr>
          <w:p w14:paraId="745BB908" w14:textId="77777777" w:rsidR="007A64C8" w:rsidRPr="007A64C8" w:rsidRDefault="007A64C8" w:rsidP="007A64C8">
            <w:pPr>
              <w:autoSpaceDE/>
              <w:autoSpaceDN/>
              <w:adjustRightInd/>
              <w:spacing w:after="0" w:line="360" w:lineRule="auto"/>
              <w:ind w:firstLine="0"/>
              <w:jc w:val="center"/>
              <w:rPr>
                <w:sz w:val="20"/>
                <w:szCs w:val="20"/>
              </w:rPr>
            </w:pPr>
          </w:p>
        </w:tc>
      </w:tr>
    </w:tbl>
    <w:p w14:paraId="2228F12B"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2000"/>
        <w:gridCol w:w="3320"/>
        <w:gridCol w:w="180"/>
        <w:gridCol w:w="3320"/>
      </w:tblGrid>
      <w:tr w:rsidR="007A64C8" w:rsidRPr="007A64C8" w14:paraId="6894E0C5" w14:textId="77777777" w:rsidTr="00D74DA1">
        <w:trPr>
          <w:trHeight w:val="300"/>
        </w:trPr>
        <w:tc>
          <w:tcPr>
            <w:tcW w:w="20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7B8B64C"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22</w:t>
            </w:r>
          </w:p>
        </w:tc>
        <w:tc>
          <w:tcPr>
            <w:tcW w:w="33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4363383"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1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E63016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3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738C97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0FF3DD82" w14:textId="77777777" w:rsidTr="00D74DA1">
        <w:trPr>
          <w:trHeight w:val="360"/>
        </w:trPr>
        <w:tc>
          <w:tcPr>
            <w:tcW w:w="20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27FD4E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3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D17C55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 14 DAP</w:t>
            </w:r>
            <w:r w:rsidRPr="007A64C8">
              <w:rPr>
                <w:sz w:val="20"/>
                <w:szCs w:val="20"/>
                <w:vertAlign w:val="subscript"/>
              </w:rPr>
              <w:t>0</w:t>
            </w:r>
          </w:p>
        </w:tc>
        <w:tc>
          <w:tcPr>
            <w:tcW w:w="1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3FA5427" w14:textId="77777777" w:rsidR="007A64C8" w:rsidRPr="007A64C8" w:rsidRDefault="007A64C8" w:rsidP="007A64C8">
            <w:pPr>
              <w:autoSpaceDE/>
              <w:autoSpaceDN/>
              <w:adjustRightInd/>
              <w:spacing w:after="0" w:line="360" w:lineRule="auto"/>
              <w:ind w:firstLine="0"/>
              <w:jc w:val="center"/>
              <w:rPr>
                <w:sz w:val="20"/>
                <w:szCs w:val="20"/>
              </w:rPr>
            </w:pPr>
          </w:p>
        </w:tc>
        <w:tc>
          <w:tcPr>
            <w:tcW w:w="33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57B22D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14 DAP</w:t>
            </w:r>
            <w:r w:rsidRPr="007A64C8">
              <w:rPr>
                <w:sz w:val="20"/>
                <w:szCs w:val="20"/>
                <w:vertAlign w:val="subscript"/>
              </w:rPr>
              <w:t>0</w:t>
            </w:r>
          </w:p>
        </w:tc>
      </w:tr>
      <w:tr w:rsidR="007A64C8" w:rsidRPr="007A64C8" w14:paraId="604875A3" w14:textId="77777777" w:rsidTr="00D74DA1">
        <w:trPr>
          <w:trHeight w:val="300"/>
        </w:trPr>
        <w:tc>
          <w:tcPr>
            <w:tcW w:w="2000" w:type="dxa"/>
            <w:tcBorders>
              <w:top w:val="nil"/>
              <w:left w:val="nil"/>
              <w:bottom w:val="nil"/>
              <w:right w:val="nil"/>
            </w:tcBorders>
            <w:shd w:val="clear" w:color="auto" w:fill="D6DCE5"/>
            <w:tcMar>
              <w:top w:w="15" w:type="dxa"/>
              <w:left w:w="15" w:type="dxa"/>
              <w:bottom w:w="0" w:type="dxa"/>
              <w:right w:w="15" w:type="dxa"/>
            </w:tcMar>
            <w:vAlign w:val="center"/>
            <w:hideMark/>
          </w:tcPr>
          <w:p w14:paraId="19858A9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320" w:type="dxa"/>
            <w:tcBorders>
              <w:top w:val="nil"/>
              <w:left w:val="nil"/>
              <w:bottom w:val="nil"/>
              <w:right w:val="nil"/>
            </w:tcBorders>
            <w:shd w:val="clear" w:color="auto" w:fill="D6DCE5"/>
            <w:tcMar>
              <w:top w:w="15" w:type="dxa"/>
              <w:left w:w="15" w:type="dxa"/>
              <w:bottom w:w="0" w:type="dxa"/>
              <w:right w:w="15" w:type="dxa"/>
            </w:tcMar>
            <w:vAlign w:val="center"/>
            <w:hideMark/>
          </w:tcPr>
          <w:p w14:paraId="3322657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20</w:t>
            </w:r>
          </w:p>
        </w:tc>
        <w:tc>
          <w:tcPr>
            <w:tcW w:w="180" w:type="dxa"/>
            <w:tcBorders>
              <w:top w:val="nil"/>
              <w:left w:val="nil"/>
              <w:bottom w:val="nil"/>
              <w:right w:val="nil"/>
            </w:tcBorders>
            <w:shd w:val="clear" w:color="auto" w:fill="D6DCE5"/>
            <w:tcMar>
              <w:top w:w="15" w:type="dxa"/>
              <w:left w:w="15" w:type="dxa"/>
              <w:bottom w:w="0" w:type="dxa"/>
              <w:right w:w="15" w:type="dxa"/>
            </w:tcMar>
            <w:vAlign w:val="center"/>
            <w:hideMark/>
          </w:tcPr>
          <w:p w14:paraId="499BA9A6" w14:textId="77777777" w:rsidR="007A64C8" w:rsidRPr="007A64C8" w:rsidRDefault="007A64C8" w:rsidP="007A64C8">
            <w:pPr>
              <w:autoSpaceDE/>
              <w:autoSpaceDN/>
              <w:adjustRightInd/>
              <w:spacing w:after="0" w:line="360" w:lineRule="auto"/>
              <w:ind w:firstLine="0"/>
              <w:jc w:val="center"/>
              <w:rPr>
                <w:sz w:val="20"/>
                <w:szCs w:val="20"/>
              </w:rPr>
            </w:pPr>
          </w:p>
        </w:tc>
        <w:tc>
          <w:tcPr>
            <w:tcW w:w="3320" w:type="dxa"/>
            <w:tcBorders>
              <w:top w:val="nil"/>
              <w:left w:val="nil"/>
              <w:bottom w:val="nil"/>
              <w:right w:val="nil"/>
            </w:tcBorders>
            <w:shd w:val="clear" w:color="auto" w:fill="D6DCE5"/>
            <w:tcMar>
              <w:top w:w="15" w:type="dxa"/>
              <w:left w:w="15" w:type="dxa"/>
              <w:bottom w:w="0" w:type="dxa"/>
              <w:right w:w="15" w:type="dxa"/>
            </w:tcMar>
            <w:vAlign w:val="center"/>
            <w:hideMark/>
          </w:tcPr>
          <w:p w14:paraId="73C8253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22</w:t>
            </w:r>
          </w:p>
        </w:tc>
      </w:tr>
      <w:tr w:rsidR="007A64C8" w:rsidRPr="007A64C8" w14:paraId="3616C6BD" w14:textId="77777777" w:rsidTr="00D74DA1">
        <w:trPr>
          <w:trHeight w:val="300"/>
        </w:trPr>
        <w:tc>
          <w:tcPr>
            <w:tcW w:w="2000" w:type="dxa"/>
            <w:tcBorders>
              <w:top w:val="nil"/>
              <w:left w:val="nil"/>
              <w:bottom w:val="nil"/>
              <w:right w:val="nil"/>
            </w:tcBorders>
            <w:shd w:val="clear" w:color="auto" w:fill="auto"/>
            <w:tcMar>
              <w:top w:w="15" w:type="dxa"/>
              <w:left w:w="15" w:type="dxa"/>
              <w:bottom w:w="0" w:type="dxa"/>
              <w:right w:w="15" w:type="dxa"/>
            </w:tcMar>
            <w:vAlign w:val="center"/>
            <w:hideMark/>
          </w:tcPr>
          <w:p w14:paraId="56D5D32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320" w:type="dxa"/>
            <w:tcBorders>
              <w:top w:val="nil"/>
              <w:left w:val="nil"/>
              <w:bottom w:val="nil"/>
              <w:right w:val="nil"/>
            </w:tcBorders>
            <w:shd w:val="clear" w:color="auto" w:fill="auto"/>
            <w:tcMar>
              <w:top w:w="15" w:type="dxa"/>
              <w:left w:w="15" w:type="dxa"/>
              <w:bottom w:w="0" w:type="dxa"/>
              <w:right w:w="15" w:type="dxa"/>
            </w:tcMar>
            <w:vAlign w:val="center"/>
            <w:hideMark/>
          </w:tcPr>
          <w:p w14:paraId="6411FF9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180" w:type="dxa"/>
            <w:tcBorders>
              <w:top w:val="nil"/>
              <w:left w:val="nil"/>
              <w:bottom w:val="nil"/>
              <w:right w:val="nil"/>
            </w:tcBorders>
            <w:shd w:val="clear" w:color="auto" w:fill="auto"/>
            <w:tcMar>
              <w:top w:w="15" w:type="dxa"/>
              <w:left w:w="15" w:type="dxa"/>
              <w:bottom w:w="0" w:type="dxa"/>
              <w:right w:w="15" w:type="dxa"/>
            </w:tcMar>
            <w:vAlign w:val="center"/>
            <w:hideMark/>
          </w:tcPr>
          <w:p w14:paraId="21882DB0" w14:textId="77777777" w:rsidR="007A64C8" w:rsidRPr="007A64C8" w:rsidRDefault="007A64C8" w:rsidP="007A64C8">
            <w:pPr>
              <w:autoSpaceDE/>
              <w:autoSpaceDN/>
              <w:adjustRightInd/>
              <w:spacing w:after="0" w:line="360" w:lineRule="auto"/>
              <w:ind w:firstLine="0"/>
              <w:jc w:val="center"/>
              <w:rPr>
                <w:sz w:val="20"/>
                <w:szCs w:val="20"/>
              </w:rPr>
            </w:pPr>
          </w:p>
        </w:tc>
        <w:tc>
          <w:tcPr>
            <w:tcW w:w="3320" w:type="dxa"/>
            <w:tcBorders>
              <w:top w:val="nil"/>
              <w:left w:val="nil"/>
              <w:bottom w:val="nil"/>
              <w:right w:val="nil"/>
            </w:tcBorders>
            <w:shd w:val="clear" w:color="auto" w:fill="auto"/>
            <w:tcMar>
              <w:top w:w="15" w:type="dxa"/>
              <w:left w:w="15" w:type="dxa"/>
              <w:bottom w:w="0" w:type="dxa"/>
              <w:right w:w="15" w:type="dxa"/>
            </w:tcMar>
            <w:vAlign w:val="center"/>
            <w:hideMark/>
          </w:tcPr>
          <w:p w14:paraId="004D71E3" w14:textId="77777777" w:rsidR="007A64C8" w:rsidRPr="007A64C8" w:rsidRDefault="007A64C8" w:rsidP="007A64C8">
            <w:pPr>
              <w:autoSpaceDE/>
              <w:autoSpaceDN/>
              <w:adjustRightInd/>
              <w:spacing w:after="0" w:line="360" w:lineRule="auto"/>
              <w:ind w:firstLine="0"/>
              <w:jc w:val="center"/>
              <w:rPr>
                <w:sz w:val="20"/>
                <w:szCs w:val="20"/>
              </w:rPr>
            </w:pPr>
          </w:p>
        </w:tc>
      </w:tr>
    </w:tbl>
    <w:p w14:paraId="22D3201F"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53D89E7C"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88416DD"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23</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E6DC858"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4ABAA50"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8B1B0C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3BB27542"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844D82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426547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 28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D827D4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20D84F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28 DAP</w:t>
            </w:r>
            <w:r w:rsidRPr="007A64C8">
              <w:rPr>
                <w:sz w:val="20"/>
                <w:szCs w:val="20"/>
                <w:vertAlign w:val="subscript"/>
              </w:rPr>
              <w:t>0</w:t>
            </w:r>
          </w:p>
        </w:tc>
      </w:tr>
      <w:tr w:rsidR="007A64C8" w:rsidRPr="007A64C8" w14:paraId="0AE93470"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48493F0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3D04493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37,8</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687969A4"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4D6AE4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41,1</w:t>
            </w:r>
          </w:p>
        </w:tc>
      </w:tr>
      <w:tr w:rsidR="007A64C8" w:rsidRPr="007A64C8" w14:paraId="3B7C7E27"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F8D613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5DD73B1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2503DA52"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FDB4F43" w14:textId="77777777" w:rsidR="007A64C8" w:rsidRPr="007A64C8" w:rsidRDefault="007A64C8" w:rsidP="007A64C8">
            <w:pPr>
              <w:autoSpaceDE/>
              <w:autoSpaceDN/>
              <w:adjustRightInd/>
              <w:spacing w:after="0" w:line="360" w:lineRule="auto"/>
              <w:ind w:firstLine="0"/>
              <w:jc w:val="center"/>
              <w:rPr>
                <w:sz w:val="20"/>
                <w:szCs w:val="20"/>
              </w:rPr>
            </w:pPr>
          </w:p>
        </w:tc>
      </w:tr>
    </w:tbl>
    <w:p w14:paraId="32007C94"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53A67826"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7B80E82"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24</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B117BC6"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8C6400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89267D6"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572A9F08"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45C29D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EBED7E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 42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A6CAF5A"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68FD6A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42 DAP</w:t>
            </w:r>
            <w:r w:rsidRPr="007A64C8">
              <w:rPr>
                <w:sz w:val="20"/>
                <w:szCs w:val="20"/>
                <w:vertAlign w:val="subscript"/>
              </w:rPr>
              <w:t>0</w:t>
            </w:r>
          </w:p>
        </w:tc>
      </w:tr>
      <w:tr w:rsidR="007A64C8" w:rsidRPr="007A64C8" w14:paraId="155FFFB4"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1923D1F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E3BE02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38,5</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2A14158F"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F8BE86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44,1</w:t>
            </w:r>
          </w:p>
        </w:tc>
      </w:tr>
      <w:tr w:rsidR="007A64C8" w:rsidRPr="007A64C8" w14:paraId="2F2B2334"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1EE1640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7C7068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0,042</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39526CC5"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2A23817B" w14:textId="77777777" w:rsidR="007A64C8" w:rsidRPr="007A64C8" w:rsidRDefault="007A64C8" w:rsidP="007A64C8">
            <w:pPr>
              <w:autoSpaceDE/>
              <w:autoSpaceDN/>
              <w:adjustRightInd/>
              <w:spacing w:after="0" w:line="360" w:lineRule="auto"/>
              <w:ind w:firstLine="0"/>
              <w:jc w:val="center"/>
              <w:rPr>
                <w:sz w:val="20"/>
                <w:szCs w:val="20"/>
              </w:rPr>
            </w:pPr>
          </w:p>
        </w:tc>
      </w:tr>
    </w:tbl>
    <w:p w14:paraId="24F23B5D"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22E7B770"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BDC1E79"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25</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689F0EE"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4ECC6BC"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A90DFD4"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602FBD2C"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E74FB1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8D0513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 + T5) 56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AC8212A"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AD29F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56 DAP</w:t>
            </w:r>
            <w:r w:rsidRPr="007A64C8">
              <w:rPr>
                <w:sz w:val="20"/>
                <w:szCs w:val="20"/>
                <w:vertAlign w:val="subscript"/>
              </w:rPr>
              <w:t>0</w:t>
            </w:r>
          </w:p>
        </w:tc>
      </w:tr>
      <w:tr w:rsidR="007A64C8" w:rsidRPr="007A64C8" w14:paraId="77905445"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2279361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F1D334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25,4</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3E43F3BE"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4FEAA38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45,1</w:t>
            </w:r>
          </w:p>
        </w:tc>
      </w:tr>
      <w:tr w:rsidR="007A64C8" w:rsidRPr="007A64C8" w14:paraId="1CE47D33"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76FDE04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04924F3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7BF61D89"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2BD81D30" w14:textId="77777777" w:rsidR="007A64C8" w:rsidRPr="007A64C8" w:rsidRDefault="007A64C8" w:rsidP="007A64C8">
            <w:pPr>
              <w:autoSpaceDE/>
              <w:autoSpaceDN/>
              <w:adjustRightInd/>
              <w:spacing w:after="0" w:line="360" w:lineRule="auto"/>
              <w:ind w:firstLine="0"/>
              <w:jc w:val="center"/>
              <w:rPr>
                <w:sz w:val="20"/>
                <w:szCs w:val="20"/>
              </w:rPr>
            </w:pPr>
          </w:p>
        </w:tc>
      </w:tr>
    </w:tbl>
    <w:p w14:paraId="04A3E14D" w14:textId="77777777" w:rsidR="007A64C8" w:rsidRPr="007A64C8" w:rsidRDefault="007A64C8" w:rsidP="007A64C8">
      <w:pPr>
        <w:autoSpaceDE/>
        <w:autoSpaceDN/>
        <w:adjustRightInd/>
        <w:spacing w:after="0" w:line="360" w:lineRule="auto"/>
        <w:ind w:firstLine="0"/>
        <w:jc w:val="center"/>
        <w:rPr>
          <w:sz w:val="20"/>
          <w:szCs w:val="20"/>
        </w:rPr>
      </w:pPr>
    </w:p>
    <w:p w14:paraId="1E06FD4C" w14:textId="77777777" w:rsidR="007A64C8" w:rsidRPr="007A64C8" w:rsidRDefault="007A64C8" w:rsidP="007A64C8">
      <w:pPr>
        <w:autoSpaceDE/>
        <w:autoSpaceDN/>
        <w:adjustRightInd/>
        <w:spacing w:after="0" w:line="360" w:lineRule="auto"/>
        <w:ind w:firstLine="0"/>
        <w:jc w:val="center"/>
        <w:rPr>
          <w:sz w:val="20"/>
          <w:szCs w:val="20"/>
        </w:rPr>
      </w:pPr>
    </w:p>
    <w:p w14:paraId="0D301A8A" w14:textId="77777777" w:rsidR="007A64C8" w:rsidRPr="007A64C8" w:rsidRDefault="007A64C8" w:rsidP="007A64C8">
      <w:pPr>
        <w:autoSpaceDE/>
        <w:autoSpaceDN/>
        <w:adjustRightInd/>
        <w:spacing w:after="0" w:line="360" w:lineRule="auto"/>
        <w:ind w:firstLine="0"/>
        <w:jc w:val="center"/>
        <w:rPr>
          <w:sz w:val="20"/>
          <w:szCs w:val="20"/>
        </w:rPr>
      </w:pPr>
    </w:p>
    <w:p w14:paraId="0976D004"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409FE0FE"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E16DF8E"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26</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E8B039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61633E9"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CD27358"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20A2BC6F"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0874AF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152AAC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B6EB372"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0E6C86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w:t>
            </w:r>
          </w:p>
        </w:tc>
      </w:tr>
      <w:tr w:rsidR="007A64C8" w:rsidRPr="007A64C8" w14:paraId="189F8611"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1E23BDD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C3616C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32,6</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2214A2F1"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CBBB87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38,1</w:t>
            </w:r>
          </w:p>
        </w:tc>
      </w:tr>
      <w:tr w:rsidR="007A64C8" w:rsidRPr="007A64C8" w14:paraId="6341C793"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3AE70AC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4C961F0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36315777"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DF536BE" w14:textId="77777777" w:rsidR="007A64C8" w:rsidRPr="007A64C8" w:rsidRDefault="007A64C8" w:rsidP="007A64C8">
            <w:pPr>
              <w:autoSpaceDE/>
              <w:autoSpaceDN/>
              <w:adjustRightInd/>
              <w:spacing w:after="0" w:line="360" w:lineRule="auto"/>
              <w:ind w:firstLine="0"/>
              <w:jc w:val="center"/>
              <w:rPr>
                <w:sz w:val="20"/>
                <w:szCs w:val="20"/>
              </w:rPr>
            </w:pPr>
          </w:p>
        </w:tc>
      </w:tr>
    </w:tbl>
    <w:p w14:paraId="6D924737" w14:textId="77777777" w:rsidR="007A64C8" w:rsidRPr="007A64C8" w:rsidRDefault="007A64C8" w:rsidP="007A64C8">
      <w:pPr>
        <w:autoSpaceDE/>
        <w:autoSpaceDN/>
        <w:adjustRightInd/>
        <w:spacing w:after="0" w:line="360" w:lineRule="auto"/>
        <w:ind w:firstLine="0"/>
        <w:jc w:val="left"/>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4CB72920"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FC2E9A4"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27</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389F858"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F09118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9F30FF0"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75554012"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9B1A0A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E6CA2A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 14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8A78EF2"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F23A3F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14 DAP</w:t>
            </w:r>
            <w:r w:rsidRPr="007A64C8">
              <w:rPr>
                <w:sz w:val="20"/>
                <w:szCs w:val="20"/>
                <w:vertAlign w:val="subscript"/>
              </w:rPr>
              <w:t>0</w:t>
            </w:r>
          </w:p>
        </w:tc>
      </w:tr>
      <w:tr w:rsidR="007A64C8" w:rsidRPr="007A64C8" w14:paraId="3C1FA5E9"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6287E57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27B6BB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28,3</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23E0F326"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07DCC93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22</w:t>
            </w:r>
          </w:p>
        </w:tc>
      </w:tr>
      <w:tr w:rsidR="007A64C8" w:rsidRPr="007A64C8" w14:paraId="330C16E6"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52CA33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3C7DC74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4052A9E9"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3E4D358C" w14:textId="77777777" w:rsidR="007A64C8" w:rsidRPr="007A64C8" w:rsidRDefault="007A64C8" w:rsidP="007A64C8">
            <w:pPr>
              <w:autoSpaceDE/>
              <w:autoSpaceDN/>
              <w:adjustRightInd/>
              <w:spacing w:after="0" w:line="360" w:lineRule="auto"/>
              <w:ind w:firstLine="0"/>
              <w:jc w:val="center"/>
              <w:rPr>
                <w:sz w:val="20"/>
                <w:szCs w:val="20"/>
              </w:rPr>
            </w:pPr>
          </w:p>
        </w:tc>
      </w:tr>
    </w:tbl>
    <w:p w14:paraId="71D743A1"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1839E97A"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A4A5BAA"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28</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1AB836A"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BDD609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6D0181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1D468927"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0BEB81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FA97B9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 28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3F60D0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15F3A25"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28 DAP</w:t>
            </w:r>
            <w:r w:rsidRPr="007A64C8">
              <w:rPr>
                <w:sz w:val="20"/>
                <w:szCs w:val="20"/>
                <w:vertAlign w:val="subscript"/>
              </w:rPr>
              <w:t>0</w:t>
            </w:r>
          </w:p>
        </w:tc>
      </w:tr>
      <w:tr w:rsidR="007A64C8" w:rsidRPr="007A64C8" w14:paraId="02162C2B"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360867F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7B88936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33,3</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418B536C"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90C25E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41,1</w:t>
            </w:r>
          </w:p>
        </w:tc>
      </w:tr>
      <w:tr w:rsidR="007A64C8" w:rsidRPr="007A64C8" w14:paraId="7E5D1186"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7A911A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C17686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490CE007"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0DFB579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12,18</w:t>
            </w:r>
          </w:p>
        </w:tc>
      </w:tr>
    </w:tbl>
    <w:p w14:paraId="53764CAC"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408838E9"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C683A39"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29</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58E9172"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96E9C42"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36D3B48"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525BE542"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4FC10F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522E6A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 42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6F6C311"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3A66AC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42 DAP</w:t>
            </w:r>
            <w:r w:rsidRPr="007A64C8">
              <w:rPr>
                <w:sz w:val="20"/>
                <w:szCs w:val="20"/>
                <w:vertAlign w:val="subscript"/>
              </w:rPr>
              <w:t>0</w:t>
            </w:r>
          </w:p>
        </w:tc>
      </w:tr>
      <w:tr w:rsidR="007A64C8" w:rsidRPr="007A64C8" w14:paraId="45AA3931"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2A76E40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2E16AC3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38,3</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36D9CBB8"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5C69107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44,1</w:t>
            </w:r>
          </w:p>
        </w:tc>
      </w:tr>
      <w:tr w:rsidR="007A64C8" w:rsidRPr="007A64C8" w14:paraId="45150444"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2E60E5F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5663146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3212FEA0"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DBF0AFB" w14:textId="77777777" w:rsidR="007A64C8" w:rsidRPr="007A64C8" w:rsidRDefault="007A64C8" w:rsidP="007A64C8">
            <w:pPr>
              <w:autoSpaceDE/>
              <w:autoSpaceDN/>
              <w:adjustRightInd/>
              <w:spacing w:after="0" w:line="360" w:lineRule="auto"/>
              <w:ind w:firstLine="0"/>
              <w:jc w:val="center"/>
              <w:rPr>
                <w:sz w:val="20"/>
                <w:szCs w:val="20"/>
              </w:rPr>
            </w:pPr>
          </w:p>
        </w:tc>
      </w:tr>
    </w:tbl>
    <w:p w14:paraId="525190AD" w14:textId="77777777" w:rsidR="007A64C8" w:rsidRPr="007A64C8" w:rsidRDefault="007A64C8" w:rsidP="007A64C8">
      <w:pPr>
        <w:autoSpaceDE/>
        <w:autoSpaceDN/>
        <w:adjustRightInd/>
        <w:spacing w:after="0" w:line="360" w:lineRule="auto"/>
        <w:ind w:firstLine="0"/>
        <w:jc w:val="center"/>
        <w:rPr>
          <w:sz w:val="20"/>
          <w:szCs w:val="20"/>
        </w:rPr>
      </w:pPr>
    </w:p>
    <w:tbl>
      <w:tblPr>
        <w:tblW w:w="8820" w:type="dxa"/>
        <w:tblCellMar>
          <w:left w:w="0" w:type="dxa"/>
          <w:right w:w="0" w:type="dxa"/>
        </w:tblCellMar>
        <w:tblLook w:val="0600" w:firstRow="0" w:lastRow="0" w:firstColumn="0" w:lastColumn="0" w:noHBand="1" w:noVBand="1"/>
      </w:tblPr>
      <w:tblGrid>
        <w:gridCol w:w="1940"/>
        <w:gridCol w:w="3220"/>
        <w:gridCol w:w="440"/>
        <w:gridCol w:w="3220"/>
      </w:tblGrid>
      <w:tr w:rsidR="007A64C8" w:rsidRPr="007A64C8" w14:paraId="29E17A8D"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E280CE0"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30</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182A08E"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B561D63"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32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1B2227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p>
        </w:tc>
      </w:tr>
      <w:tr w:rsidR="007A64C8" w:rsidRPr="007A64C8" w14:paraId="1E38C7AC" w14:textId="77777777" w:rsidTr="00D74DA1">
        <w:trPr>
          <w:trHeight w:val="36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A27355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D36806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 + T6) 56 DAP</w:t>
            </w:r>
            <w:r w:rsidRPr="007A64C8">
              <w:rPr>
                <w:sz w:val="20"/>
                <w:szCs w:val="20"/>
                <w:vertAlign w:val="subscript"/>
              </w:rPr>
              <w:t>0</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EE96C61"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BEF811C"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 + T7) 56 DAP</w:t>
            </w:r>
            <w:r w:rsidRPr="007A64C8">
              <w:rPr>
                <w:sz w:val="20"/>
                <w:szCs w:val="20"/>
                <w:vertAlign w:val="subscript"/>
              </w:rPr>
              <w:t>0</w:t>
            </w:r>
          </w:p>
        </w:tc>
      </w:tr>
      <w:tr w:rsidR="007A64C8" w:rsidRPr="007A64C8" w14:paraId="6FE40BB6"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0350C35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4C61A5E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30,5</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5925B66E"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D6DCE5"/>
            <w:tcMar>
              <w:top w:w="15" w:type="dxa"/>
              <w:left w:w="15" w:type="dxa"/>
              <w:bottom w:w="0" w:type="dxa"/>
              <w:right w:w="15" w:type="dxa"/>
            </w:tcMar>
            <w:vAlign w:val="center"/>
            <w:hideMark/>
          </w:tcPr>
          <w:p w14:paraId="16D476F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45,1</w:t>
            </w:r>
          </w:p>
        </w:tc>
      </w:tr>
      <w:tr w:rsidR="007A64C8" w:rsidRPr="007A64C8" w14:paraId="3EDDBE08"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1AA2313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5B47CF3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6CE4896D" w14:textId="77777777" w:rsidR="007A64C8" w:rsidRPr="007A64C8" w:rsidRDefault="007A64C8" w:rsidP="007A64C8">
            <w:pPr>
              <w:autoSpaceDE/>
              <w:autoSpaceDN/>
              <w:adjustRightInd/>
              <w:spacing w:after="0" w:line="360" w:lineRule="auto"/>
              <w:ind w:firstLine="0"/>
              <w:jc w:val="center"/>
              <w:rPr>
                <w:sz w:val="20"/>
                <w:szCs w:val="20"/>
              </w:rPr>
            </w:pPr>
          </w:p>
        </w:tc>
        <w:tc>
          <w:tcPr>
            <w:tcW w:w="3220" w:type="dxa"/>
            <w:tcBorders>
              <w:top w:val="nil"/>
              <w:left w:val="nil"/>
              <w:bottom w:val="nil"/>
              <w:right w:val="nil"/>
            </w:tcBorders>
            <w:shd w:val="clear" w:color="auto" w:fill="auto"/>
            <w:tcMar>
              <w:top w:w="15" w:type="dxa"/>
              <w:left w:w="15" w:type="dxa"/>
              <w:bottom w:w="0" w:type="dxa"/>
              <w:right w:w="15" w:type="dxa"/>
            </w:tcMar>
            <w:vAlign w:val="center"/>
            <w:hideMark/>
          </w:tcPr>
          <w:p w14:paraId="167919C1" w14:textId="77777777" w:rsidR="007A64C8" w:rsidRPr="007A64C8" w:rsidRDefault="007A64C8" w:rsidP="007A64C8">
            <w:pPr>
              <w:autoSpaceDE/>
              <w:autoSpaceDN/>
              <w:adjustRightInd/>
              <w:spacing w:after="0" w:line="360" w:lineRule="auto"/>
              <w:ind w:firstLine="0"/>
              <w:jc w:val="center"/>
              <w:rPr>
                <w:sz w:val="20"/>
                <w:szCs w:val="20"/>
              </w:rPr>
            </w:pPr>
          </w:p>
        </w:tc>
      </w:tr>
    </w:tbl>
    <w:p w14:paraId="5BD0063B" w14:textId="77777777" w:rsidR="007A64C8" w:rsidRPr="007A64C8" w:rsidRDefault="007A64C8" w:rsidP="007A64C8">
      <w:pPr>
        <w:autoSpaceDE/>
        <w:autoSpaceDN/>
        <w:adjustRightInd/>
        <w:spacing w:after="0" w:line="360" w:lineRule="auto"/>
        <w:ind w:firstLine="0"/>
        <w:jc w:val="center"/>
        <w:rPr>
          <w:sz w:val="20"/>
          <w:szCs w:val="20"/>
        </w:rPr>
      </w:pPr>
    </w:p>
    <w:tbl>
      <w:tblPr>
        <w:tblW w:w="8789" w:type="dxa"/>
        <w:tblCellMar>
          <w:left w:w="0" w:type="dxa"/>
          <w:right w:w="0" w:type="dxa"/>
        </w:tblCellMar>
        <w:tblLook w:val="0600" w:firstRow="0" w:lastRow="0" w:firstColumn="0" w:lastColumn="0" w:noHBand="1" w:noVBand="1"/>
      </w:tblPr>
      <w:tblGrid>
        <w:gridCol w:w="2080"/>
        <w:gridCol w:w="3460"/>
        <w:gridCol w:w="480"/>
        <w:gridCol w:w="2769"/>
      </w:tblGrid>
      <w:tr w:rsidR="007A64C8" w:rsidRPr="007A64C8" w14:paraId="2CDDEE74" w14:textId="77777777" w:rsidTr="00D74DA1">
        <w:trPr>
          <w:trHeight w:val="451"/>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68BF0A8"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31</w:t>
            </w:r>
          </w:p>
        </w:tc>
        <w:tc>
          <w:tcPr>
            <w:tcW w:w="3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19C3419"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r w:rsidRPr="007A64C8">
              <w:rPr>
                <w:b/>
                <w:sz w:val="20"/>
                <w:szCs w:val="20"/>
                <w:vertAlign w:val="subscript"/>
              </w:rPr>
              <w:t>1</w:t>
            </w:r>
          </w:p>
        </w:tc>
        <w:tc>
          <w:tcPr>
            <w:tcW w:w="4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0877F77"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276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931F703"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r w:rsidRPr="007A64C8">
              <w:rPr>
                <w:b/>
                <w:sz w:val="20"/>
                <w:szCs w:val="20"/>
                <w:vertAlign w:val="subscript"/>
              </w:rPr>
              <w:t>1</w:t>
            </w:r>
          </w:p>
        </w:tc>
      </w:tr>
      <w:tr w:rsidR="007A64C8" w:rsidRPr="007A64C8" w14:paraId="1EAF383A" w14:textId="77777777" w:rsidTr="00D74DA1">
        <w:trPr>
          <w:trHeight w:val="406"/>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911B31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710D9E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w:t>
            </w:r>
          </w:p>
        </w:tc>
        <w:tc>
          <w:tcPr>
            <w:tcW w:w="4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C84CE4E"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DEB808C"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w:t>
            </w:r>
          </w:p>
        </w:tc>
      </w:tr>
      <w:tr w:rsidR="007A64C8" w:rsidRPr="007A64C8" w14:paraId="14BF8246" w14:textId="77777777" w:rsidTr="00D74DA1">
        <w:trPr>
          <w:trHeight w:val="406"/>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430CD9D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460" w:type="dxa"/>
            <w:tcBorders>
              <w:top w:val="nil"/>
              <w:left w:val="nil"/>
              <w:bottom w:val="nil"/>
              <w:right w:val="nil"/>
            </w:tcBorders>
            <w:shd w:val="clear" w:color="auto" w:fill="D6DCE5"/>
            <w:tcMar>
              <w:top w:w="15" w:type="dxa"/>
              <w:left w:w="15" w:type="dxa"/>
              <w:bottom w:w="0" w:type="dxa"/>
              <w:right w:w="15" w:type="dxa"/>
            </w:tcMar>
            <w:vAlign w:val="center"/>
            <w:hideMark/>
          </w:tcPr>
          <w:p w14:paraId="5F0E05F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27,1</w:t>
            </w:r>
          </w:p>
        </w:tc>
        <w:tc>
          <w:tcPr>
            <w:tcW w:w="480" w:type="dxa"/>
            <w:tcBorders>
              <w:top w:val="nil"/>
              <w:left w:val="nil"/>
              <w:bottom w:val="nil"/>
              <w:right w:val="nil"/>
            </w:tcBorders>
            <w:shd w:val="clear" w:color="auto" w:fill="D6DCE5"/>
            <w:tcMar>
              <w:top w:w="15" w:type="dxa"/>
              <w:left w:w="15" w:type="dxa"/>
              <w:bottom w:w="0" w:type="dxa"/>
              <w:right w:w="15" w:type="dxa"/>
            </w:tcMar>
            <w:vAlign w:val="center"/>
            <w:hideMark/>
          </w:tcPr>
          <w:p w14:paraId="3807AE0C"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D6DCE5"/>
            <w:tcMar>
              <w:top w:w="15" w:type="dxa"/>
              <w:left w:w="15" w:type="dxa"/>
              <w:bottom w:w="0" w:type="dxa"/>
              <w:right w:w="15" w:type="dxa"/>
            </w:tcMar>
            <w:vAlign w:val="center"/>
            <w:hideMark/>
          </w:tcPr>
          <w:p w14:paraId="19ACC99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25,4</w:t>
            </w:r>
          </w:p>
        </w:tc>
      </w:tr>
      <w:tr w:rsidR="007A64C8" w:rsidRPr="007A64C8" w14:paraId="6F02D2EB" w14:textId="77777777" w:rsidTr="00D74DA1">
        <w:trPr>
          <w:trHeight w:val="406"/>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11F5830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460" w:type="dxa"/>
            <w:tcBorders>
              <w:top w:val="nil"/>
              <w:left w:val="nil"/>
              <w:bottom w:val="nil"/>
              <w:right w:val="nil"/>
            </w:tcBorders>
            <w:shd w:val="clear" w:color="auto" w:fill="auto"/>
            <w:tcMar>
              <w:top w:w="15" w:type="dxa"/>
              <w:left w:w="15" w:type="dxa"/>
              <w:bottom w:w="0" w:type="dxa"/>
              <w:right w:w="15" w:type="dxa"/>
            </w:tcMar>
            <w:vAlign w:val="center"/>
            <w:hideMark/>
          </w:tcPr>
          <w:p w14:paraId="12B0AE5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80" w:type="dxa"/>
            <w:tcBorders>
              <w:top w:val="nil"/>
              <w:left w:val="nil"/>
              <w:bottom w:val="nil"/>
              <w:right w:val="nil"/>
            </w:tcBorders>
            <w:shd w:val="clear" w:color="auto" w:fill="auto"/>
            <w:tcMar>
              <w:top w:w="15" w:type="dxa"/>
              <w:left w:w="15" w:type="dxa"/>
              <w:bottom w:w="0" w:type="dxa"/>
              <w:right w:w="15" w:type="dxa"/>
            </w:tcMar>
            <w:vAlign w:val="center"/>
            <w:hideMark/>
          </w:tcPr>
          <w:p w14:paraId="1F1BF5D3"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auto"/>
            <w:tcMar>
              <w:top w:w="15" w:type="dxa"/>
              <w:left w:w="15" w:type="dxa"/>
              <w:bottom w:w="0" w:type="dxa"/>
              <w:right w:w="15" w:type="dxa"/>
            </w:tcMar>
            <w:vAlign w:val="center"/>
            <w:hideMark/>
          </w:tcPr>
          <w:p w14:paraId="0EB2736D" w14:textId="77777777" w:rsidR="007A64C8" w:rsidRPr="007A64C8" w:rsidRDefault="007A64C8" w:rsidP="007A64C8">
            <w:pPr>
              <w:autoSpaceDE/>
              <w:autoSpaceDN/>
              <w:adjustRightInd/>
              <w:spacing w:after="0" w:line="360" w:lineRule="auto"/>
              <w:ind w:firstLine="0"/>
              <w:jc w:val="center"/>
              <w:rPr>
                <w:sz w:val="20"/>
                <w:szCs w:val="20"/>
              </w:rPr>
            </w:pPr>
          </w:p>
        </w:tc>
      </w:tr>
    </w:tbl>
    <w:p w14:paraId="5A6275A9" w14:textId="77777777" w:rsidR="007A64C8" w:rsidRPr="007A64C8" w:rsidRDefault="007A64C8" w:rsidP="007A64C8">
      <w:pPr>
        <w:autoSpaceDE/>
        <w:autoSpaceDN/>
        <w:adjustRightInd/>
        <w:spacing w:after="0" w:line="360" w:lineRule="auto"/>
        <w:ind w:firstLine="0"/>
        <w:jc w:val="center"/>
        <w:rPr>
          <w:b/>
          <w:sz w:val="20"/>
          <w:szCs w:val="20"/>
        </w:rPr>
      </w:pPr>
    </w:p>
    <w:tbl>
      <w:tblPr>
        <w:tblW w:w="8789" w:type="dxa"/>
        <w:tblCellMar>
          <w:left w:w="0" w:type="dxa"/>
          <w:right w:w="0" w:type="dxa"/>
        </w:tblCellMar>
        <w:tblLook w:val="0600" w:firstRow="0" w:lastRow="0" w:firstColumn="0" w:lastColumn="0" w:noHBand="1" w:noVBand="1"/>
      </w:tblPr>
      <w:tblGrid>
        <w:gridCol w:w="2080"/>
        <w:gridCol w:w="3460"/>
        <w:gridCol w:w="480"/>
        <w:gridCol w:w="2769"/>
      </w:tblGrid>
      <w:tr w:rsidR="007A64C8" w:rsidRPr="007A64C8" w14:paraId="4F1C4FF8" w14:textId="77777777" w:rsidTr="00D74DA1">
        <w:trPr>
          <w:trHeight w:val="409"/>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E48AAA4"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32</w:t>
            </w:r>
          </w:p>
        </w:tc>
        <w:tc>
          <w:tcPr>
            <w:tcW w:w="3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4C70BAE"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r w:rsidRPr="007A64C8">
              <w:rPr>
                <w:b/>
                <w:sz w:val="20"/>
                <w:szCs w:val="20"/>
                <w:vertAlign w:val="subscript"/>
              </w:rPr>
              <w:t>1</w:t>
            </w:r>
          </w:p>
        </w:tc>
        <w:tc>
          <w:tcPr>
            <w:tcW w:w="4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317CB3C"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276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2DC790A"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r w:rsidRPr="007A64C8">
              <w:rPr>
                <w:b/>
                <w:sz w:val="20"/>
                <w:szCs w:val="20"/>
                <w:vertAlign w:val="subscript"/>
              </w:rPr>
              <w:t>1</w:t>
            </w:r>
          </w:p>
        </w:tc>
      </w:tr>
      <w:tr w:rsidR="007A64C8" w:rsidRPr="007A64C8" w14:paraId="1B6CB128" w14:textId="77777777" w:rsidTr="00D74DA1">
        <w:trPr>
          <w:trHeight w:val="342"/>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C34C70C"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FC4C4B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(T2)</w:t>
            </w:r>
          </w:p>
        </w:tc>
        <w:tc>
          <w:tcPr>
            <w:tcW w:w="4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ABA9005"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233E1D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w:t>
            </w:r>
          </w:p>
        </w:tc>
      </w:tr>
      <w:tr w:rsidR="007A64C8" w:rsidRPr="007A64C8" w14:paraId="491B77EA" w14:textId="77777777" w:rsidTr="00D74DA1">
        <w:trPr>
          <w:trHeight w:val="342"/>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33D5052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460" w:type="dxa"/>
            <w:tcBorders>
              <w:top w:val="nil"/>
              <w:left w:val="nil"/>
              <w:bottom w:val="nil"/>
              <w:right w:val="nil"/>
            </w:tcBorders>
            <w:shd w:val="clear" w:color="auto" w:fill="D6DCE5"/>
            <w:tcMar>
              <w:top w:w="15" w:type="dxa"/>
              <w:left w:w="15" w:type="dxa"/>
              <w:bottom w:w="0" w:type="dxa"/>
              <w:right w:w="15" w:type="dxa"/>
            </w:tcMar>
            <w:vAlign w:val="center"/>
            <w:hideMark/>
          </w:tcPr>
          <w:p w14:paraId="0E338DC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27,1</w:t>
            </w:r>
          </w:p>
        </w:tc>
        <w:tc>
          <w:tcPr>
            <w:tcW w:w="480" w:type="dxa"/>
            <w:tcBorders>
              <w:top w:val="nil"/>
              <w:left w:val="nil"/>
              <w:bottom w:val="nil"/>
              <w:right w:val="nil"/>
            </w:tcBorders>
            <w:shd w:val="clear" w:color="auto" w:fill="D6DCE5"/>
            <w:tcMar>
              <w:top w:w="15" w:type="dxa"/>
              <w:left w:w="15" w:type="dxa"/>
              <w:bottom w:w="0" w:type="dxa"/>
              <w:right w:w="15" w:type="dxa"/>
            </w:tcMar>
            <w:vAlign w:val="center"/>
            <w:hideMark/>
          </w:tcPr>
          <w:p w14:paraId="6AD3A2C6"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D6DCE5"/>
            <w:tcMar>
              <w:top w:w="15" w:type="dxa"/>
              <w:left w:w="15" w:type="dxa"/>
              <w:bottom w:w="0" w:type="dxa"/>
              <w:right w:w="15" w:type="dxa"/>
            </w:tcMar>
            <w:vAlign w:val="center"/>
            <w:hideMark/>
          </w:tcPr>
          <w:p w14:paraId="541873B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33,7</w:t>
            </w:r>
          </w:p>
        </w:tc>
      </w:tr>
      <w:tr w:rsidR="007A64C8" w:rsidRPr="007A64C8" w14:paraId="19535E7B" w14:textId="77777777" w:rsidTr="00D74DA1">
        <w:trPr>
          <w:trHeight w:val="342"/>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3DD4165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460" w:type="dxa"/>
            <w:tcBorders>
              <w:top w:val="nil"/>
              <w:left w:val="nil"/>
              <w:bottom w:val="nil"/>
              <w:right w:val="nil"/>
            </w:tcBorders>
            <w:shd w:val="clear" w:color="auto" w:fill="auto"/>
            <w:tcMar>
              <w:top w:w="15" w:type="dxa"/>
              <w:left w:w="15" w:type="dxa"/>
              <w:bottom w:w="0" w:type="dxa"/>
              <w:right w:w="15" w:type="dxa"/>
            </w:tcMar>
            <w:vAlign w:val="center"/>
            <w:hideMark/>
          </w:tcPr>
          <w:p w14:paraId="0C69C24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80" w:type="dxa"/>
            <w:tcBorders>
              <w:top w:val="nil"/>
              <w:left w:val="nil"/>
              <w:bottom w:val="nil"/>
              <w:right w:val="nil"/>
            </w:tcBorders>
            <w:shd w:val="clear" w:color="auto" w:fill="auto"/>
            <w:tcMar>
              <w:top w:w="15" w:type="dxa"/>
              <w:left w:w="15" w:type="dxa"/>
              <w:bottom w:w="0" w:type="dxa"/>
              <w:right w:w="15" w:type="dxa"/>
            </w:tcMar>
            <w:vAlign w:val="center"/>
            <w:hideMark/>
          </w:tcPr>
          <w:p w14:paraId="504ED9E3"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auto"/>
            <w:tcMar>
              <w:top w:w="15" w:type="dxa"/>
              <w:left w:w="15" w:type="dxa"/>
              <w:bottom w:w="0" w:type="dxa"/>
              <w:right w:w="15" w:type="dxa"/>
            </w:tcMar>
            <w:vAlign w:val="center"/>
            <w:hideMark/>
          </w:tcPr>
          <w:p w14:paraId="7C09A6DD" w14:textId="77777777" w:rsidR="007A64C8" w:rsidRPr="007A64C8" w:rsidRDefault="007A64C8" w:rsidP="007A64C8">
            <w:pPr>
              <w:autoSpaceDE/>
              <w:autoSpaceDN/>
              <w:adjustRightInd/>
              <w:spacing w:after="0" w:line="360" w:lineRule="auto"/>
              <w:ind w:firstLine="0"/>
              <w:jc w:val="center"/>
              <w:rPr>
                <w:sz w:val="20"/>
                <w:szCs w:val="20"/>
              </w:rPr>
            </w:pPr>
          </w:p>
        </w:tc>
      </w:tr>
    </w:tbl>
    <w:p w14:paraId="2E5C4144" w14:textId="77777777" w:rsidR="007A64C8" w:rsidRPr="007A64C8" w:rsidRDefault="007A64C8" w:rsidP="007A64C8">
      <w:pPr>
        <w:autoSpaceDE/>
        <w:autoSpaceDN/>
        <w:adjustRightInd/>
        <w:spacing w:after="0" w:line="360" w:lineRule="auto"/>
        <w:ind w:firstLine="0"/>
        <w:jc w:val="center"/>
        <w:rPr>
          <w:b/>
          <w:sz w:val="20"/>
          <w:szCs w:val="20"/>
        </w:rPr>
      </w:pPr>
    </w:p>
    <w:p w14:paraId="2440AA77" w14:textId="77777777" w:rsidR="007A64C8" w:rsidRPr="007A64C8" w:rsidRDefault="007A64C8" w:rsidP="007A64C8">
      <w:pPr>
        <w:autoSpaceDE/>
        <w:autoSpaceDN/>
        <w:adjustRightInd/>
        <w:spacing w:after="0" w:line="360" w:lineRule="auto"/>
        <w:ind w:firstLine="0"/>
        <w:jc w:val="center"/>
        <w:rPr>
          <w:b/>
          <w:sz w:val="20"/>
          <w:szCs w:val="20"/>
        </w:rPr>
      </w:pPr>
    </w:p>
    <w:tbl>
      <w:tblPr>
        <w:tblW w:w="8789" w:type="dxa"/>
        <w:tblCellMar>
          <w:left w:w="0" w:type="dxa"/>
          <w:right w:w="0" w:type="dxa"/>
        </w:tblCellMar>
        <w:tblLook w:val="0400" w:firstRow="0" w:lastRow="0" w:firstColumn="0" w:lastColumn="0" w:noHBand="0" w:noVBand="1"/>
      </w:tblPr>
      <w:tblGrid>
        <w:gridCol w:w="2080"/>
        <w:gridCol w:w="3460"/>
        <w:gridCol w:w="480"/>
        <w:gridCol w:w="2769"/>
      </w:tblGrid>
      <w:tr w:rsidR="007A64C8" w:rsidRPr="007A64C8" w14:paraId="1B4F560B" w14:textId="77777777" w:rsidTr="00D74DA1">
        <w:trPr>
          <w:trHeight w:val="441"/>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FD86C1F"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33</w:t>
            </w:r>
          </w:p>
        </w:tc>
        <w:tc>
          <w:tcPr>
            <w:tcW w:w="3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CB8D9C0"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r w:rsidRPr="007A64C8">
              <w:rPr>
                <w:b/>
                <w:sz w:val="20"/>
                <w:szCs w:val="20"/>
                <w:vertAlign w:val="subscript"/>
              </w:rPr>
              <w:t>1</w:t>
            </w:r>
          </w:p>
        </w:tc>
        <w:tc>
          <w:tcPr>
            <w:tcW w:w="4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A865139"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276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DE6D39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r w:rsidRPr="007A64C8">
              <w:rPr>
                <w:b/>
                <w:sz w:val="20"/>
                <w:szCs w:val="20"/>
                <w:vertAlign w:val="subscript"/>
              </w:rPr>
              <w:t>1</w:t>
            </w:r>
          </w:p>
        </w:tc>
      </w:tr>
      <w:tr w:rsidR="007A64C8" w:rsidRPr="007A64C8" w14:paraId="712C5A75" w14:textId="77777777" w:rsidTr="00D74DA1">
        <w:trPr>
          <w:trHeight w:val="371"/>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A49AE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Contraste</w:t>
            </w:r>
          </w:p>
        </w:tc>
        <w:tc>
          <w:tcPr>
            <w:tcW w:w="3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ED808A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(T3)</w:t>
            </w:r>
          </w:p>
        </w:tc>
        <w:tc>
          <w:tcPr>
            <w:tcW w:w="4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0D1D6DA"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D2C224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(T4)</w:t>
            </w:r>
          </w:p>
        </w:tc>
      </w:tr>
      <w:tr w:rsidR="007A64C8" w:rsidRPr="007A64C8" w14:paraId="0BF52BDF" w14:textId="77777777" w:rsidTr="00D74DA1">
        <w:trPr>
          <w:trHeight w:val="371"/>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4D971D39"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460" w:type="dxa"/>
            <w:tcBorders>
              <w:top w:val="nil"/>
              <w:left w:val="nil"/>
              <w:bottom w:val="nil"/>
              <w:right w:val="nil"/>
            </w:tcBorders>
            <w:shd w:val="clear" w:color="auto" w:fill="D6DCE5"/>
            <w:tcMar>
              <w:top w:w="15" w:type="dxa"/>
              <w:left w:w="15" w:type="dxa"/>
              <w:bottom w:w="0" w:type="dxa"/>
              <w:right w:w="15" w:type="dxa"/>
            </w:tcMar>
            <w:vAlign w:val="center"/>
            <w:hideMark/>
          </w:tcPr>
          <w:p w14:paraId="3948E65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25,7</w:t>
            </w:r>
          </w:p>
        </w:tc>
        <w:tc>
          <w:tcPr>
            <w:tcW w:w="480" w:type="dxa"/>
            <w:tcBorders>
              <w:top w:val="nil"/>
              <w:left w:val="nil"/>
              <w:bottom w:val="nil"/>
              <w:right w:val="nil"/>
            </w:tcBorders>
            <w:shd w:val="clear" w:color="auto" w:fill="D6DCE5"/>
            <w:tcMar>
              <w:top w:w="15" w:type="dxa"/>
              <w:left w:w="15" w:type="dxa"/>
              <w:bottom w:w="0" w:type="dxa"/>
              <w:right w:w="15" w:type="dxa"/>
            </w:tcMar>
            <w:vAlign w:val="center"/>
            <w:hideMark/>
          </w:tcPr>
          <w:p w14:paraId="3CB9F1F2"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D6DCE5"/>
            <w:tcMar>
              <w:top w:w="15" w:type="dxa"/>
              <w:left w:w="15" w:type="dxa"/>
              <w:bottom w:w="0" w:type="dxa"/>
              <w:right w:w="15" w:type="dxa"/>
            </w:tcMar>
            <w:vAlign w:val="center"/>
            <w:hideMark/>
          </w:tcPr>
          <w:p w14:paraId="4483B64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33,7</w:t>
            </w:r>
          </w:p>
        </w:tc>
      </w:tr>
      <w:tr w:rsidR="007A64C8" w:rsidRPr="007A64C8" w14:paraId="642C1CE1" w14:textId="77777777" w:rsidTr="00D74DA1">
        <w:trPr>
          <w:trHeight w:val="371"/>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57A0CE92"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460" w:type="dxa"/>
            <w:tcBorders>
              <w:top w:val="nil"/>
              <w:left w:val="nil"/>
              <w:bottom w:val="nil"/>
              <w:right w:val="nil"/>
            </w:tcBorders>
            <w:shd w:val="clear" w:color="auto" w:fill="auto"/>
            <w:tcMar>
              <w:top w:w="15" w:type="dxa"/>
              <w:left w:w="15" w:type="dxa"/>
              <w:bottom w:w="0" w:type="dxa"/>
              <w:right w:w="15" w:type="dxa"/>
            </w:tcMar>
            <w:vAlign w:val="center"/>
            <w:hideMark/>
          </w:tcPr>
          <w:p w14:paraId="4F21989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0,027</w:t>
            </w:r>
          </w:p>
        </w:tc>
        <w:tc>
          <w:tcPr>
            <w:tcW w:w="480" w:type="dxa"/>
            <w:tcBorders>
              <w:top w:val="nil"/>
              <w:left w:val="nil"/>
              <w:bottom w:val="nil"/>
              <w:right w:val="nil"/>
            </w:tcBorders>
            <w:shd w:val="clear" w:color="auto" w:fill="auto"/>
            <w:tcMar>
              <w:top w:w="15" w:type="dxa"/>
              <w:left w:w="15" w:type="dxa"/>
              <w:bottom w:w="0" w:type="dxa"/>
              <w:right w:w="15" w:type="dxa"/>
            </w:tcMar>
            <w:vAlign w:val="center"/>
            <w:hideMark/>
          </w:tcPr>
          <w:p w14:paraId="56E7EC17"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auto"/>
            <w:tcMar>
              <w:top w:w="15" w:type="dxa"/>
              <w:left w:w="15" w:type="dxa"/>
              <w:bottom w:w="0" w:type="dxa"/>
              <w:right w:w="15" w:type="dxa"/>
            </w:tcMar>
            <w:vAlign w:val="center"/>
            <w:hideMark/>
          </w:tcPr>
          <w:p w14:paraId="1A590546" w14:textId="77777777" w:rsidR="007A64C8" w:rsidRPr="007A64C8" w:rsidRDefault="007A64C8" w:rsidP="007A64C8">
            <w:pPr>
              <w:autoSpaceDE/>
              <w:autoSpaceDN/>
              <w:adjustRightInd/>
              <w:spacing w:after="0" w:line="360" w:lineRule="auto"/>
              <w:ind w:firstLine="0"/>
              <w:jc w:val="center"/>
              <w:rPr>
                <w:sz w:val="20"/>
                <w:szCs w:val="20"/>
              </w:rPr>
            </w:pPr>
          </w:p>
        </w:tc>
      </w:tr>
    </w:tbl>
    <w:p w14:paraId="0B5CC466" w14:textId="77777777" w:rsidR="007A64C8" w:rsidRPr="007A64C8" w:rsidRDefault="007A64C8" w:rsidP="007A64C8">
      <w:pPr>
        <w:autoSpaceDE/>
        <w:autoSpaceDN/>
        <w:adjustRightInd/>
        <w:spacing w:after="0" w:line="360" w:lineRule="auto"/>
        <w:ind w:firstLine="0"/>
        <w:jc w:val="center"/>
        <w:rPr>
          <w:sz w:val="20"/>
          <w:szCs w:val="20"/>
        </w:rPr>
      </w:pPr>
    </w:p>
    <w:p w14:paraId="00E73CAC" w14:textId="77777777" w:rsidR="007A64C8" w:rsidRPr="007A64C8" w:rsidRDefault="007A64C8" w:rsidP="007A64C8">
      <w:pPr>
        <w:autoSpaceDE/>
        <w:autoSpaceDN/>
        <w:adjustRightInd/>
        <w:spacing w:after="0" w:line="360" w:lineRule="auto"/>
        <w:ind w:firstLine="0"/>
        <w:jc w:val="center"/>
        <w:rPr>
          <w:sz w:val="20"/>
          <w:szCs w:val="20"/>
        </w:rPr>
      </w:pPr>
    </w:p>
    <w:tbl>
      <w:tblPr>
        <w:tblW w:w="8789" w:type="dxa"/>
        <w:tblCellMar>
          <w:left w:w="0" w:type="dxa"/>
          <w:right w:w="0" w:type="dxa"/>
        </w:tblCellMar>
        <w:tblLook w:val="0400" w:firstRow="0" w:lastRow="0" w:firstColumn="0" w:lastColumn="0" w:noHBand="0" w:noVBand="1"/>
      </w:tblPr>
      <w:tblGrid>
        <w:gridCol w:w="2080"/>
        <w:gridCol w:w="3460"/>
        <w:gridCol w:w="480"/>
        <w:gridCol w:w="2769"/>
      </w:tblGrid>
      <w:tr w:rsidR="007A64C8" w:rsidRPr="007A64C8" w14:paraId="3843632D" w14:textId="77777777" w:rsidTr="00D74DA1">
        <w:trPr>
          <w:trHeight w:val="470"/>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20F4E21"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34</w:t>
            </w:r>
          </w:p>
        </w:tc>
        <w:tc>
          <w:tcPr>
            <w:tcW w:w="3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03511F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r w:rsidRPr="007A64C8">
              <w:rPr>
                <w:b/>
                <w:sz w:val="20"/>
                <w:szCs w:val="20"/>
                <w:vertAlign w:val="subscript"/>
              </w:rPr>
              <w:t>2</w:t>
            </w:r>
          </w:p>
        </w:tc>
        <w:tc>
          <w:tcPr>
            <w:tcW w:w="4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EFE3A9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276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A19BBB9"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r w:rsidRPr="007A64C8">
              <w:rPr>
                <w:b/>
                <w:sz w:val="20"/>
                <w:szCs w:val="20"/>
                <w:vertAlign w:val="subscript"/>
              </w:rPr>
              <w:t>2</w:t>
            </w:r>
          </w:p>
        </w:tc>
      </w:tr>
      <w:tr w:rsidR="007A64C8" w:rsidRPr="007A64C8" w14:paraId="72F07CA8" w14:textId="77777777" w:rsidTr="00D74DA1">
        <w:trPr>
          <w:trHeight w:val="396"/>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C408D5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Constraste</w:t>
            </w:r>
          </w:p>
        </w:tc>
        <w:tc>
          <w:tcPr>
            <w:tcW w:w="3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37A195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(T5)</w:t>
            </w:r>
          </w:p>
        </w:tc>
        <w:tc>
          <w:tcPr>
            <w:tcW w:w="4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E2B124C"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569B27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(T6)</w:t>
            </w:r>
          </w:p>
        </w:tc>
      </w:tr>
      <w:tr w:rsidR="007A64C8" w:rsidRPr="007A64C8" w14:paraId="49D585E9" w14:textId="77777777" w:rsidTr="00D74DA1">
        <w:trPr>
          <w:trHeight w:val="396"/>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0EEB3BE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460" w:type="dxa"/>
            <w:tcBorders>
              <w:top w:val="nil"/>
              <w:left w:val="nil"/>
              <w:bottom w:val="nil"/>
              <w:right w:val="nil"/>
            </w:tcBorders>
            <w:shd w:val="clear" w:color="auto" w:fill="D6DCE5"/>
            <w:tcMar>
              <w:top w:w="15" w:type="dxa"/>
              <w:left w:w="15" w:type="dxa"/>
              <w:bottom w:w="0" w:type="dxa"/>
              <w:right w:w="15" w:type="dxa"/>
            </w:tcMar>
            <w:vAlign w:val="center"/>
            <w:hideMark/>
          </w:tcPr>
          <w:p w14:paraId="7166FFE3"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33,8</w:t>
            </w:r>
          </w:p>
        </w:tc>
        <w:tc>
          <w:tcPr>
            <w:tcW w:w="480" w:type="dxa"/>
            <w:tcBorders>
              <w:top w:val="nil"/>
              <w:left w:val="nil"/>
              <w:bottom w:val="nil"/>
              <w:right w:val="nil"/>
            </w:tcBorders>
            <w:shd w:val="clear" w:color="auto" w:fill="D6DCE5"/>
            <w:tcMar>
              <w:top w:w="15" w:type="dxa"/>
              <w:left w:w="15" w:type="dxa"/>
              <w:bottom w:w="0" w:type="dxa"/>
              <w:right w:w="15" w:type="dxa"/>
            </w:tcMar>
            <w:vAlign w:val="center"/>
            <w:hideMark/>
          </w:tcPr>
          <w:p w14:paraId="17738CEC"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D6DCE5"/>
            <w:tcMar>
              <w:top w:w="15" w:type="dxa"/>
              <w:left w:w="15" w:type="dxa"/>
              <w:bottom w:w="0" w:type="dxa"/>
              <w:right w:w="15" w:type="dxa"/>
            </w:tcMar>
            <w:vAlign w:val="center"/>
            <w:hideMark/>
          </w:tcPr>
          <w:p w14:paraId="46F1EB1D"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39,8</w:t>
            </w:r>
          </w:p>
        </w:tc>
      </w:tr>
      <w:tr w:rsidR="007A64C8" w:rsidRPr="007A64C8" w14:paraId="78F80E57" w14:textId="77777777" w:rsidTr="00D74DA1">
        <w:trPr>
          <w:trHeight w:val="396"/>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1F7F1556"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460" w:type="dxa"/>
            <w:tcBorders>
              <w:top w:val="nil"/>
              <w:left w:val="nil"/>
              <w:bottom w:val="nil"/>
              <w:right w:val="nil"/>
            </w:tcBorders>
            <w:shd w:val="clear" w:color="auto" w:fill="auto"/>
            <w:tcMar>
              <w:top w:w="15" w:type="dxa"/>
              <w:left w:w="15" w:type="dxa"/>
              <w:bottom w:w="0" w:type="dxa"/>
              <w:right w:w="15" w:type="dxa"/>
            </w:tcMar>
            <w:vAlign w:val="center"/>
            <w:hideMark/>
          </w:tcPr>
          <w:p w14:paraId="696247FA"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80" w:type="dxa"/>
            <w:tcBorders>
              <w:top w:val="nil"/>
              <w:left w:val="nil"/>
              <w:bottom w:val="nil"/>
              <w:right w:val="nil"/>
            </w:tcBorders>
            <w:shd w:val="clear" w:color="auto" w:fill="auto"/>
            <w:tcMar>
              <w:top w:w="15" w:type="dxa"/>
              <w:left w:w="15" w:type="dxa"/>
              <w:bottom w:w="0" w:type="dxa"/>
              <w:right w:w="15" w:type="dxa"/>
            </w:tcMar>
            <w:vAlign w:val="center"/>
            <w:hideMark/>
          </w:tcPr>
          <w:p w14:paraId="7A702373"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auto"/>
            <w:tcMar>
              <w:top w:w="15" w:type="dxa"/>
              <w:left w:w="15" w:type="dxa"/>
              <w:bottom w:w="0" w:type="dxa"/>
              <w:right w:w="15" w:type="dxa"/>
            </w:tcMar>
            <w:vAlign w:val="center"/>
            <w:hideMark/>
          </w:tcPr>
          <w:p w14:paraId="3B0CE69E" w14:textId="77777777" w:rsidR="007A64C8" w:rsidRPr="007A64C8" w:rsidRDefault="007A64C8" w:rsidP="007A64C8">
            <w:pPr>
              <w:autoSpaceDE/>
              <w:autoSpaceDN/>
              <w:adjustRightInd/>
              <w:spacing w:after="0" w:line="360" w:lineRule="auto"/>
              <w:ind w:firstLine="0"/>
              <w:jc w:val="center"/>
              <w:rPr>
                <w:sz w:val="20"/>
                <w:szCs w:val="20"/>
              </w:rPr>
            </w:pPr>
          </w:p>
        </w:tc>
      </w:tr>
    </w:tbl>
    <w:p w14:paraId="5F4B22BA" w14:textId="77777777" w:rsidR="007A64C8" w:rsidRPr="007A64C8" w:rsidRDefault="007A64C8" w:rsidP="007A64C8">
      <w:pPr>
        <w:autoSpaceDE/>
        <w:autoSpaceDN/>
        <w:adjustRightInd/>
        <w:spacing w:after="0" w:line="360" w:lineRule="auto"/>
        <w:ind w:firstLine="0"/>
        <w:jc w:val="center"/>
        <w:rPr>
          <w:sz w:val="20"/>
          <w:szCs w:val="20"/>
        </w:rPr>
      </w:pPr>
    </w:p>
    <w:tbl>
      <w:tblPr>
        <w:tblW w:w="8789" w:type="dxa"/>
        <w:tblCellMar>
          <w:left w:w="0" w:type="dxa"/>
          <w:right w:w="0" w:type="dxa"/>
        </w:tblCellMar>
        <w:tblLook w:val="0400" w:firstRow="0" w:lastRow="0" w:firstColumn="0" w:lastColumn="0" w:noHBand="0" w:noVBand="1"/>
      </w:tblPr>
      <w:tblGrid>
        <w:gridCol w:w="2080"/>
        <w:gridCol w:w="3460"/>
        <w:gridCol w:w="480"/>
        <w:gridCol w:w="2769"/>
      </w:tblGrid>
      <w:tr w:rsidR="007A64C8" w:rsidRPr="007A64C8" w14:paraId="03CC4BBC" w14:textId="77777777" w:rsidTr="00D74DA1">
        <w:trPr>
          <w:trHeight w:val="529"/>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08034FA"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35</w:t>
            </w:r>
          </w:p>
        </w:tc>
        <w:tc>
          <w:tcPr>
            <w:tcW w:w="3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17D3AE1"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1 aplicação Carbox.</w:t>
            </w:r>
            <w:r w:rsidRPr="007A64C8">
              <w:rPr>
                <w:b/>
                <w:sz w:val="20"/>
                <w:szCs w:val="20"/>
                <w:vertAlign w:val="subscript"/>
              </w:rPr>
              <w:t>2</w:t>
            </w:r>
          </w:p>
        </w:tc>
        <w:tc>
          <w:tcPr>
            <w:tcW w:w="4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C489E55"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276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8EEFF7D"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r w:rsidRPr="007A64C8">
              <w:rPr>
                <w:b/>
                <w:sz w:val="20"/>
                <w:szCs w:val="20"/>
                <w:vertAlign w:val="subscript"/>
              </w:rPr>
              <w:t>2</w:t>
            </w:r>
          </w:p>
        </w:tc>
      </w:tr>
      <w:tr w:rsidR="007A64C8" w:rsidRPr="007A64C8" w14:paraId="64B7D34C" w14:textId="77777777" w:rsidTr="00D74DA1">
        <w:trPr>
          <w:trHeight w:val="446"/>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F821F5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Constraste</w:t>
            </w:r>
          </w:p>
        </w:tc>
        <w:tc>
          <w:tcPr>
            <w:tcW w:w="3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FA629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(T5)</w:t>
            </w:r>
          </w:p>
        </w:tc>
        <w:tc>
          <w:tcPr>
            <w:tcW w:w="4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9A43376"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B57071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(T7)</w:t>
            </w:r>
          </w:p>
        </w:tc>
      </w:tr>
      <w:tr w:rsidR="007A64C8" w:rsidRPr="007A64C8" w14:paraId="4D13B90D" w14:textId="77777777" w:rsidTr="00D74DA1">
        <w:trPr>
          <w:trHeight w:val="446"/>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7B31F18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460" w:type="dxa"/>
            <w:tcBorders>
              <w:top w:val="nil"/>
              <w:left w:val="nil"/>
              <w:bottom w:val="nil"/>
              <w:right w:val="nil"/>
            </w:tcBorders>
            <w:shd w:val="clear" w:color="auto" w:fill="D6DCE5"/>
            <w:tcMar>
              <w:top w:w="15" w:type="dxa"/>
              <w:left w:w="15" w:type="dxa"/>
              <w:bottom w:w="0" w:type="dxa"/>
              <w:right w:w="15" w:type="dxa"/>
            </w:tcMar>
            <w:vAlign w:val="center"/>
            <w:hideMark/>
          </w:tcPr>
          <w:p w14:paraId="460CEAD1"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33,8</w:t>
            </w:r>
          </w:p>
        </w:tc>
        <w:tc>
          <w:tcPr>
            <w:tcW w:w="480" w:type="dxa"/>
            <w:tcBorders>
              <w:top w:val="nil"/>
              <w:left w:val="nil"/>
              <w:bottom w:val="nil"/>
              <w:right w:val="nil"/>
            </w:tcBorders>
            <w:shd w:val="clear" w:color="auto" w:fill="D6DCE5"/>
            <w:tcMar>
              <w:top w:w="15" w:type="dxa"/>
              <w:left w:w="15" w:type="dxa"/>
              <w:bottom w:w="0" w:type="dxa"/>
              <w:right w:w="15" w:type="dxa"/>
            </w:tcMar>
            <w:vAlign w:val="center"/>
            <w:hideMark/>
          </w:tcPr>
          <w:p w14:paraId="7899351B"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D6DCE5"/>
            <w:tcMar>
              <w:top w:w="15" w:type="dxa"/>
              <w:left w:w="15" w:type="dxa"/>
              <w:bottom w:w="0" w:type="dxa"/>
              <w:right w:w="15" w:type="dxa"/>
            </w:tcMar>
            <w:vAlign w:val="center"/>
            <w:hideMark/>
          </w:tcPr>
          <w:p w14:paraId="28973D34"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42,5</w:t>
            </w:r>
          </w:p>
        </w:tc>
      </w:tr>
      <w:tr w:rsidR="007A64C8" w:rsidRPr="007A64C8" w14:paraId="05A09CF4" w14:textId="77777777" w:rsidTr="00D74DA1">
        <w:trPr>
          <w:trHeight w:val="446"/>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08AEF44E"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460" w:type="dxa"/>
            <w:tcBorders>
              <w:top w:val="nil"/>
              <w:left w:val="nil"/>
              <w:bottom w:val="nil"/>
              <w:right w:val="nil"/>
            </w:tcBorders>
            <w:shd w:val="clear" w:color="auto" w:fill="auto"/>
            <w:tcMar>
              <w:top w:w="15" w:type="dxa"/>
              <w:left w:w="15" w:type="dxa"/>
              <w:bottom w:w="0" w:type="dxa"/>
              <w:right w:w="15" w:type="dxa"/>
            </w:tcMar>
            <w:vAlign w:val="center"/>
            <w:hideMark/>
          </w:tcPr>
          <w:p w14:paraId="3ADEF9E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0,02</w:t>
            </w:r>
          </w:p>
        </w:tc>
        <w:tc>
          <w:tcPr>
            <w:tcW w:w="480" w:type="dxa"/>
            <w:tcBorders>
              <w:top w:val="nil"/>
              <w:left w:val="nil"/>
              <w:bottom w:val="nil"/>
              <w:right w:val="nil"/>
            </w:tcBorders>
            <w:shd w:val="clear" w:color="auto" w:fill="auto"/>
            <w:tcMar>
              <w:top w:w="15" w:type="dxa"/>
              <w:left w:w="15" w:type="dxa"/>
              <w:bottom w:w="0" w:type="dxa"/>
              <w:right w:w="15" w:type="dxa"/>
            </w:tcMar>
            <w:vAlign w:val="center"/>
            <w:hideMark/>
          </w:tcPr>
          <w:p w14:paraId="1724E04B"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auto"/>
            <w:tcMar>
              <w:top w:w="15" w:type="dxa"/>
              <w:left w:w="15" w:type="dxa"/>
              <w:bottom w:w="0" w:type="dxa"/>
              <w:right w:w="15" w:type="dxa"/>
            </w:tcMar>
            <w:vAlign w:val="center"/>
            <w:hideMark/>
          </w:tcPr>
          <w:p w14:paraId="7CBD4F85" w14:textId="77777777" w:rsidR="007A64C8" w:rsidRPr="007A64C8" w:rsidRDefault="007A64C8" w:rsidP="007A64C8">
            <w:pPr>
              <w:autoSpaceDE/>
              <w:autoSpaceDN/>
              <w:adjustRightInd/>
              <w:spacing w:after="0" w:line="360" w:lineRule="auto"/>
              <w:ind w:firstLine="0"/>
              <w:jc w:val="center"/>
              <w:rPr>
                <w:sz w:val="20"/>
                <w:szCs w:val="20"/>
              </w:rPr>
            </w:pPr>
          </w:p>
        </w:tc>
      </w:tr>
    </w:tbl>
    <w:p w14:paraId="7DB1E506" w14:textId="77777777" w:rsidR="007A64C8" w:rsidRPr="007A64C8" w:rsidRDefault="007A64C8" w:rsidP="007A64C8">
      <w:pPr>
        <w:autoSpaceDE/>
        <w:autoSpaceDN/>
        <w:adjustRightInd/>
        <w:spacing w:after="0" w:line="360" w:lineRule="auto"/>
        <w:ind w:firstLine="0"/>
        <w:jc w:val="center"/>
        <w:rPr>
          <w:sz w:val="20"/>
          <w:szCs w:val="20"/>
        </w:rPr>
      </w:pPr>
    </w:p>
    <w:tbl>
      <w:tblPr>
        <w:tblW w:w="8789" w:type="dxa"/>
        <w:tblCellMar>
          <w:left w:w="0" w:type="dxa"/>
          <w:right w:w="0" w:type="dxa"/>
        </w:tblCellMar>
        <w:tblLook w:val="0400" w:firstRow="0" w:lastRow="0" w:firstColumn="0" w:lastColumn="0" w:noHBand="0" w:noVBand="1"/>
      </w:tblPr>
      <w:tblGrid>
        <w:gridCol w:w="2080"/>
        <w:gridCol w:w="3460"/>
        <w:gridCol w:w="480"/>
        <w:gridCol w:w="2769"/>
      </w:tblGrid>
      <w:tr w:rsidR="007A64C8" w:rsidRPr="007A64C8" w14:paraId="654B3B07" w14:textId="77777777" w:rsidTr="00D74DA1">
        <w:trPr>
          <w:trHeight w:val="439"/>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CAC13B6" w14:textId="77777777" w:rsidR="007A64C8" w:rsidRPr="007A64C8" w:rsidRDefault="007A64C8" w:rsidP="007A64C8">
            <w:pPr>
              <w:autoSpaceDE/>
              <w:autoSpaceDN/>
              <w:adjustRightInd/>
              <w:spacing w:after="0" w:line="360" w:lineRule="auto"/>
              <w:ind w:firstLine="0"/>
              <w:jc w:val="center"/>
              <w:rPr>
                <w:b/>
                <w:sz w:val="20"/>
                <w:szCs w:val="20"/>
              </w:rPr>
            </w:pPr>
            <w:r w:rsidRPr="007A64C8">
              <w:rPr>
                <w:rFonts w:eastAsia="Times New Roman"/>
                <w:b/>
                <w:sz w:val="20"/>
                <w:szCs w:val="20"/>
                <w:lang w:eastAsia="pt-BR"/>
              </w:rPr>
              <w:t>Contraste 36</w:t>
            </w:r>
          </w:p>
        </w:tc>
        <w:tc>
          <w:tcPr>
            <w:tcW w:w="3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07D02C2"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2 aplicações Carbox.</w:t>
            </w:r>
            <w:r w:rsidRPr="007A64C8">
              <w:rPr>
                <w:b/>
                <w:sz w:val="20"/>
                <w:szCs w:val="20"/>
                <w:vertAlign w:val="subscript"/>
              </w:rPr>
              <w:t>2</w:t>
            </w:r>
          </w:p>
        </w:tc>
        <w:tc>
          <w:tcPr>
            <w:tcW w:w="4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6DFBDEB"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x</w:t>
            </w:r>
          </w:p>
        </w:tc>
        <w:tc>
          <w:tcPr>
            <w:tcW w:w="276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085BA5C" w14:textId="77777777" w:rsidR="007A64C8" w:rsidRPr="007A64C8" w:rsidRDefault="007A64C8" w:rsidP="007A64C8">
            <w:pPr>
              <w:autoSpaceDE/>
              <w:autoSpaceDN/>
              <w:adjustRightInd/>
              <w:spacing w:after="0" w:line="360" w:lineRule="auto"/>
              <w:ind w:firstLine="0"/>
              <w:jc w:val="center"/>
              <w:rPr>
                <w:b/>
                <w:sz w:val="20"/>
                <w:szCs w:val="20"/>
              </w:rPr>
            </w:pPr>
            <w:r w:rsidRPr="007A64C8">
              <w:rPr>
                <w:b/>
                <w:sz w:val="20"/>
                <w:szCs w:val="20"/>
              </w:rPr>
              <w:t>3 aplicações Carbox.</w:t>
            </w:r>
            <w:r w:rsidRPr="007A64C8">
              <w:rPr>
                <w:b/>
                <w:sz w:val="20"/>
                <w:szCs w:val="20"/>
                <w:vertAlign w:val="subscript"/>
              </w:rPr>
              <w:t>2</w:t>
            </w:r>
          </w:p>
        </w:tc>
      </w:tr>
      <w:tr w:rsidR="007A64C8" w:rsidRPr="007A64C8" w14:paraId="5C6597D4" w14:textId="77777777" w:rsidTr="00D74DA1">
        <w:trPr>
          <w:trHeight w:val="369"/>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224730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Constraste</w:t>
            </w:r>
          </w:p>
        </w:tc>
        <w:tc>
          <w:tcPr>
            <w:tcW w:w="3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B5EAF1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(T6)</w:t>
            </w:r>
          </w:p>
        </w:tc>
        <w:tc>
          <w:tcPr>
            <w:tcW w:w="4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A6EBD86"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56986D0"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(T7)</w:t>
            </w:r>
          </w:p>
        </w:tc>
      </w:tr>
      <w:tr w:rsidR="007A64C8" w:rsidRPr="007A64C8" w14:paraId="1B4481CB" w14:textId="77777777" w:rsidTr="00D74DA1">
        <w:trPr>
          <w:trHeight w:val="369"/>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407E77A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Média</w:t>
            </w:r>
          </w:p>
        </w:tc>
        <w:tc>
          <w:tcPr>
            <w:tcW w:w="3460" w:type="dxa"/>
            <w:tcBorders>
              <w:top w:val="nil"/>
              <w:left w:val="nil"/>
              <w:bottom w:val="nil"/>
              <w:right w:val="nil"/>
            </w:tcBorders>
            <w:shd w:val="clear" w:color="auto" w:fill="D6DCE5"/>
            <w:tcMar>
              <w:top w:w="15" w:type="dxa"/>
              <w:left w:w="15" w:type="dxa"/>
              <w:bottom w:w="0" w:type="dxa"/>
              <w:right w:w="15" w:type="dxa"/>
            </w:tcMar>
            <w:vAlign w:val="center"/>
            <w:hideMark/>
          </w:tcPr>
          <w:p w14:paraId="4EC23BFB"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39,8</w:t>
            </w:r>
          </w:p>
        </w:tc>
        <w:tc>
          <w:tcPr>
            <w:tcW w:w="480" w:type="dxa"/>
            <w:tcBorders>
              <w:top w:val="nil"/>
              <w:left w:val="nil"/>
              <w:bottom w:val="nil"/>
              <w:right w:val="nil"/>
            </w:tcBorders>
            <w:shd w:val="clear" w:color="auto" w:fill="D6DCE5"/>
            <w:tcMar>
              <w:top w:w="15" w:type="dxa"/>
              <w:left w:w="15" w:type="dxa"/>
              <w:bottom w:w="0" w:type="dxa"/>
              <w:right w:w="15" w:type="dxa"/>
            </w:tcMar>
            <w:vAlign w:val="center"/>
            <w:hideMark/>
          </w:tcPr>
          <w:p w14:paraId="0C83E9FF"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D6DCE5"/>
            <w:tcMar>
              <w:top w:w="15" w:type="dxa"/>
              <w:left w:w="15" w:type="dxa"/>
              <w:bottom w:w="0" w:type="dxa"/>
              <w:right w:w="15" w:type="dxa"/>
            </w:tcMar>
            <w:vAlign w:val="center"/>
            <w:hideMark/>
          </w:tcPr>
          <w:p w14:paraId="3BB49EFF"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42,5</w:t>
            </w:r>
          </w:p>
        </w:tc>
      </w:tr>
      <w:tr w:rsidR="007A64C8" w:rsidRPr="007A64C8" w14:paraId="17FCB2D3" w14:textId="77777777" w:rsidTr="00D74DA1">
        <w:trPr>
          <w:trHeight w:val="369"/>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2E340477"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Probabilidade(p)</w:t>
            </w:r>
          </w:p>
        </w:tc>
        <w:tc>
          <w:tcPr>
            <w:tcW w:w="3460" w:type="dxa"/>
            <w:tcBorders>
              <w:top w:val="nil"/>
              <w:left w:val="nil"/>
              <w:bottom w:val="nil"/>
              <w:right w:val="nil"/>
            </w:tcBorders>
            <w:shd w:val="clear" w:color="auto" w:fill="auto"/>
            <w:tcMar>
              <w:top w:w="15" w:type="dxa"/>
              <w:left w:w="15" w:type="dxa"/>
              <w:bottom w:w="0" w:type="dxa"/>
              <w:right w:w="15" w:type="dxa"/>
            </w:tcMar>
            <w:vAlign w:val="center"/>
            <w:hideMark/>
          </w:tcPr>
          <w:p w14:paraId="1C9C1A28" w14:textId="77777777" w:rsidR="007A64C8" w:rsidRPr="007A64C8" w:rsidRDefault="007A64C8" w:rsidP="007A64C8">
            <w:pPr>
              <w:autoSpaceDE/>
              <w:autoSpaceDN/>
              <w:adjustRightInd/>
              <w:spacing w:after="0" w:line="360" w:lineRule="auto"/>
              <w:ind w:firstLine="0"/>
              <w:jc w:val="center"/>
              <w:rPr>
                <w:sz w:val="20"/>
                <w:szCs w:val="20"/>
              </w:rPr>
            </w:pPr>
            <w:r w:rsidRPr="007A64C8">
              <w:rPr>
                <w:sz w:val="20"/>
                <w:szCs w:val="20"/>
              </w:rPr>
              <w:t>ns*</w:t>
            </w:r>
          </w:p>
        </w:tc>
        <w:tc>
          <w:tcPr>
            <w:tcW w:w="480" w:type="dxa"/>
            <w:tcBorders>
              <w:top w:val="nil"/>
              <w:left w:val="nil"/>
              <w:bottom w:val="nil"/>
              <w:right w:val="nil"/>
            </w:tcBorders>
            <w:shd w:val="clear" w:color="auto" w:fill="auto"/>
            <w:tcMar>
              <w:top w:w="15" w:type="dxa"/>
              <w:left w:w="15" w:type="dxa"/>
              <w:bottom w:w="0" w:type="dxa"/>
              <w:right w:w="15" w:type="dxa"/>
            </w:tcMar>
            <w:vAlign w:val="center"/>
            <w:hideMark/>
          </w:tcPr>
          <w:p w14:paraId="2BA42A9A" w14:textId="77777777" w:rsidR="007A64C8" w:rsidRPr="007A64C8" w:rsidRDefault="007A64C8" w:rsidP="007A64C8">
            <w:pPr>
              <w:autoSpaceDE/>
              <w:autoSpaceDN/>
              <w:adjustRightInd/>
              <w:spacing w:after="0" w:line="360" w:lineRule="auto"/>
              <w:ind w:firstLine="0"/>
              <w:jc w:val="center"/>
              <w:rPr>
                <w:sz w:val="20"/>
                <w:szCs w:val="20"/>
              </w:rPr>
            </w:pPr>
          </w:p>
        </w:tc>
        <w:tc>
          <w:tcPr>
            <w:tcW w:w="2769" w:type="dxa"/>
            <w:tcBorders>
              <w:top w:val="nil"/>
              <w:left w:val="nil"/>
              <w:bottom w:val="nil"/>
              <w:right w:val="nil"/>
            </w:tcBorders>
            <w:shd w:val="clear" w:color="auto" w:fill="auto"/>
            <w:tcMar>
              <w:top w:w="15" w:type="dxa"/>
              <w:left w:w="15" w:type="dxa"/>
              <w:bottom w:w="0" w:type="dxa"/>
              <w:right w:w="15" w:type="dxa"/>
            </w:tcMar>
            <w:vAlign w:val="center"/>
            <w:hideMark/>
          </w:tcPr>
          <w:p w14:paraId="54032704" w14:textId="77777777" w:rsidR="007A64C8" w:rsidRPr="007A64C8" w:rsidRDefault="007A64C8" w:rsidP="007A64C8">
            <w:pPr>
              <w:autoSpaceDE/>
              <w:autoSpaceDN/>
              <w:adjustRightInd/>
              <w:spacing w:after="0" w:line="360" w:lineRule="auto"/>
              <w:ind w:firstLine="0"/>
              <w:jc w:val="center"/>
              <w:rPr>
                <w:sz w:val="20"/>
                <w:szCs w:val="20"/>
              </w:rPr>
            </w:pPr>
          </w:p>
        </w:tc>
      </w:tr>
    </w:tbl>
    <w:p w14:paraId="79DD9FBD" w14:textId="6F88F17A" w:rsidR="00562DF8" w:rsidRPr="00B7238F" w:rsidRDefault="00562DF8" w:rsidP="007A64C8"/>
    <w:p w14:paraId="4646102B" w14:textId="77777777" w:rsidR="00562DF8" w:rsidRPr="00B7238F" w:rsidRDefault="00562DF8" w:rsidP="0005468C"/>
    <w:p w14:paraId="08E71ADD" w14:textId="77777777" w:rsidR="00562DF8" w:rsidRPr="00B7238F" w:rsidRDefault="00562DF8" w:rsidP="0005468C"/>
    <w:p w14:paraId="24FE5093" w14:textId="77777777" w:rsidR="00562DF8" w:rsidRPr="00B7238F" w:rsidRDefault="00562DF8" w:rsidP="0005468C"/>
    <w:p w14:paraId="4B65EB66" w14:textId="77777777" w:rsidR="00562DF8" w:rsidRPr="00B7238F" w:rsidRDefault="00562DF8" w:rsidP="0005468C"/>
    <w:p w14:paraId="20047349" w14:textId="77777777" w:rsidR="00562DF8" w:rsidRPr="00B7238F" w:rsidRDefault="00562DF8" w:rsidP="0005468C"/>
    <w:p w14:paraId="65C77914" w14:textId="77777777" w:rsidR="00562DF8" w:rsidRPr="00B7238F" w:rsidRDefault="00562DF8" w:rsidP="0005468C"/>
    <w:p w14:paraId="51E2C54B" w14:textId="0134A40D" w:rsidR="00EB37AF" w:rsidRPr="00EB37AF" w:rsidRDefault="00256C81" w:rsidP="00817EAE">
      <w:pPr>
        <w:pStyle w:val="Ttulo2"/>
        <w:spacing w:before="0" w:after="0" w:line="240" w:lineRule="auto"/>
        <w:rPr>
          <w:bCs/>
          <w:color w:val="000000" w:themeColor="text1"/>
          <w:kern w:val="24"/>
        </w:rPr>
      </w:pPr>
      <w:bookmarkStart w:id="314" w:name="_Toc22568298"/>
      <w:r w:rsidRPr="00B7238F">
        <w:t xml:space="preserve">ANEXO </w:t>
      </w:r>
      <w:r w:rsidR="00562DF8" w:rsidRPr="00B7238F">
        <w:t xml:space="preserve">2. Contrastes estatísticos, </w:t>
      </w:r>
      <w:r w:rsidR="00B170EA" w:rsidRPr="00B7238F">
        <w:t xml:space="preserve">médias e probabilidade </w:t>
      </w:r>
      <w:r w:rsidR="00081316" w:rsidRPr="00B7238F">
        <w:t xml:space="preserve">de significância </w:t>
      </w:r>
      <w:r w:rsidR="00B170EA" w:rsidRPr="00B7238F">
        <w:t>realizados pelo teste t, com os resultados observados na</w:t>
      </w:r>
      <w:r w:rsidR="00562DF8" w:rsidRPr="00B7238F">
        <w:t xml:space="preserve"> avaliação da </w:t>
      </w:r>
      <w:r w:rsidR="00562DF8" w:rsidRPr="00B7238F">
        <w:rPr>
          <w:rFonts w:eastAsiaTheme="minorEastAsia"/>
          <w:bCs/>
          <w:color w:val="000000" w:themeColor="text1"/>
          <w:kern w:val="24"/>
        </w:rPr>
        <w:t xml:space="preserve">frequência da mutação I86F em populações de </w:t>
      </w:r>
      <w:r w:rsidR="00562DF8" w:rsidRPr="00B7238F">
        <w:rPr>
          <w:rFonts w:eastAsiaTheme="minorEastAsia"/>
          <w:bCs/>
          <w:i/>
          <w:iCs/>
          <w:color w:val="000000" w:themeColor="text1"/>
          <w:kern w:val="24"/>
        </w:rPr>
        <w:t xml:space="preserve">Phakopsora pachyrhizi </w:t>
      </w:r>
      <w:r w:rsidR="00B170EA" w:rsidRPr="00B7238F">
        <w:rPr>
          <w:rFonts w:eastAsiaTheme="minorEastAsia"/>
          <w:bCs/>
          <w:color w:val="000000" w:themeColor="text1"/>
          <w:kern w:val="24"/>
        </w:rPr>
        <w:t>obtidas de</w:t>
      </w:r>
      <w:r w:rsidR="00562DF8" w:rsidRPr="00B7238F">
        <w:rPr>
          <w:rFonts w:eastAsiaTheme="minorEastAsia"/>
          <w:bCs/>
          <w:i/>
          <w:iCs/>
          <w:color w:val="000000" w:themeColor="text1"/>
          <w:kern w:val="24"/>
        </w:rPr>
        <w:t xml:space="preserve"> </w:t>
      </w:r>
      <w:r w:rsidR="00562DF8" w:rsidRPr="00B7238F">
        <w:rPr>
          <w:rFonts w:eastAsiaTheme="minorEastAsia"/>
          <w:bCs/>
          <w:color w:val="000000" w:themeColor="text1"/>
          <w:kern w:val="24"/>
        </w:rPr>
        <w:t>cultivares de soja com presença e ausência d</w:t>
      </w:r>
      <w:r w:rsidR="000309E7">
        <w:rPr>
          <w:rFonts w:eastAsiaTheme="minorEastAsia"/>
          <w:bCs/>
          <w:color w:val="000000" w:themeColor="text1"/>
          <w:kern w:val="24"/>
        </w:rPr>
        <w:t>a tecnologia Inox</w:t>
      </w:r>
      <w:r w:rsidR="00562DF8" w:rsidRPr="00B7238F">
        <w:rPr>
          <w:rFonts w:eastAsiaTheme="minorEastAsia"/>
          <w:bCs/>
          <w:color w:val="000000" w:themeColor="text1"/>
          <w:kern w:val="24"/>
        </w:rPr>
        <w:t>. Lages, 2019.</w:t>
      </w:r>
      <w:bookmarkEnd w:id="314"/>
      <w:r w:rsidR="00EB37AF" w:rsidRPr="00EB37AF">
        <w:rPr>
          <w:rFonts w:eastAsiaTheme="minorEastAsia"/>
          <w:bCs/>
          <w:color w:val="000000" w:themeColor="text1"/>
          <w:kern w:val="24"/>
        </w:rPr>
        <w:t xml:space="preserve"> </w:t>
      </w:r>
    </w:p>
    <w:p w14:paraId="03B7A192" w14:textId="77777777" w:rsidR="00EB37AF" w:rsidRPr="00EB37AF" w:rsidRDefault="00EB37AF" w:rsidP="00EB37AF">
      <w:pPr>
        <w:autoSpaceDE/>
        <w:autoSpaceDN/>
        <w:adjustRightInd/>
        <w:spacing w:after="0" w:line="360" w:lineRule="auto"/>
        <w:ind w:firstLine="0"/>
        <w:jc w:val="left"/>
        <w:rPr>
          <w:sz w:val="20"/>
          <w:szCs w:val="20"/>
        </w:rPr>
      </w:pPr>
    </w:p>
    <w:tbl>
      <w:tblPr>
        <w:tblW w:w="8789" w:type="dxa"/>
        <w:tblCellMar>
          <w:left w:w="0" w:type="dxa"/>
          <w:right w:w="0" w:type="dxa"/>
        </w:tblCellMar>
        <w:tblLook w:val="0600" w:firstRow="0" w:lastRow="0" w:firstColumn="0" w:lastColumn="0" w:noHBand="1" w:noVBand="1"/>
      </w:tblPr>
      <w:tblGrid>
        <w:gridCol w:w="2080"/>
        <w:gridCol w:w="3760"/>
        <w:gridCol w:w="600"/>
        <w:gridCol w:w="2349"/>
      </w:tblGrid>
      <w:tr w:rsidR="00EB37AF" w:rsidRPr="00EB37AF" w14:paraId="6805FC82" w14:textId="77777777" w:rsidTr="00D74DA1">
        <w:trPr>
          <w:trHeight w:val="384"/>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6BE10EB" w14:textId="77777777" w:rsidR="00EB37AF" w:rsidRPr="00EB37AF" w:rsidRDefault="00EB37AF" w:rsidP="00EB37AF">
            <w:pPr>
              <w:autoSpaceDE/>
              <w:autoSpaceDN/>
              <w:adjustRightInd/>
              <w:spacing w:after="0" w:line="240" w:lineRule="auto"/>
              <w:ind w:firstLine="0"/>
              <w:jc w:val="center"/>
              <w:rPr>
                <w:rFonts w:eastAsia="Times New Roman"/>
                <w:b/>
                <w:sz w:val="20"/>
                <w:szCs w:val="20"/>
                <w:lang w:eastAsia="pt-BR"/>
              </w:rPr>
            </w:pPr>
            <w:r w:rsidRPr="00EB37AF">
              <w:rPr>
                <w:rFonts w:eastAsia="Times New Roman"/>
                <w:b/>
                <w:sz w:val="20"/>
                <w:szCs w:val="20"/>
                <w:lang w:eastAsia="pt-BR"/>
              </w:rPr>
              <w:t>Contraste 37</w:t>
            </w:r>
          </w:p>
        </w:tc>
        <w:tc>
          <w:tcPr>
            <w:tcW w:w="37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49BC7A9" w14:textId="77777777" w:rsidR="00EB37AF" w:rsidRPr="00EB37AF" w:rsidRDefault="00EB37AF" w:rsidP="00EB37AF">
            <w:pPr>
              <w:autoSpaceDE/>
              <w:autoSpaceDN/>
              <w:adjustRightInd/>
              <w:spacing w:after="0" w:line="240" w:lineRule="auto"/>
              <w:ind w:firstLine="0"/>
              <w:jc w:val="center"/>
              <w:textAlignment w:val="bottom"/>
              <w:rPr>
                <w:rFonts w:eastAsia="Times New Roman"/>
                <w:b/>
                <w:sz w:val="20"/>
                <w:szCs w:val="20"/>
                <w:lang w:eastAsia="pt-BR"/>
              </w:rPr>
            </w:pPr>
            <w:r w:rsidRPr="00EB37AF">
              <w:rPr>
                <w:b/>
                <w:sz w:val="20"/>
                <w:szCs w:val="20"/>
              </w:rPr>
              <w:t>Carbox.</w:t>
            </w:r>
            <w:r w:rsidRPr="00EB37AF">
              <w:rPr>
                <w:rFonts w:eastAsia="Times New Roman"/>
                <w:b/>
                <w:color w:val="000000" w:themeColor="text1"/>
                <w:kern w:val="24"/>
                <w:sz w:val="20"/>
                <w:szCs w:val="20"/>
                <w:lang w:eastAsia="pt-BR"/>
              </w:rPr>
              <w:t xml:space="preserve"> CV1</w:t>
            </w:r>
          </w:p>
        </w:tc>
        <w:tc>
          <w:tcPr>
            <w:tcW w:w="6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7477263" w14:textId="77777777" w:rsidR="00EB37AF" w:rsidRPr="00EB37AF" w:rsidRDefault="00EB37AF" w:rsidP="00EB37AF">
            <w:pPr>
              <w:autoSpaceDE/>
              <w:autoSpaceDN/>
              <w:adjustRightInd/>
              <w:spacing w:after="0" w:line="240" w:lineRule="auto"/>
              <w:ind w:firstLine="0"/>
              <w:jc w:val="center"/>
              <w:textAlignment w:val="bottom"/>
              <w:rPr>
                <w:rFonts w:eastAsia="Times New Roman"/>
                <w:b/>
                <w:sz w:val="20"/>
                <w:szCs w:val="20"/>
                <w:lang w:eastAsia="pt-BR"/>
              </w:rPr>
            </w:pPr>
            <w:r w:rsidRPr="00EB37AF">
              <w:rPr>
                <w:rFonts w:eastAsia="Times New Roman"/>
                <w:b/>
                <w:color w:val="000000" w:themeColor="text1"/>
                <w:kern w:val="24"/>
                <w:sz w:val="20"/>
                <w:szCs w:val="20"/>
                <w:lang w:eastAsia="pt-BR"/>
              </w:rPr>
              <w:t>x</w:t>
            </w:r>
          </w:p>
        </w:tc>
        <w:tc>
          <w:tcPr>
            <w:tcW w:w="234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AFC318E" w14:textId="77777777" w:rsidR="00EB37AF" w:rsidRPr="00EB37AF" w:rsidRDefault="00EB37AF" w:rsidP="00EB37AF">
            <w:pPr>
              <w:autoSpaceDE/>
              <w:autoSpaceDN/>
              <w:adjustRightInd/>
              <w:spacing w:after="0" w:line="240" w:lineRule="auto"/>
              <w:ind w:firstLine="0"/>
              <w:jc w:val="center"/>
              <w:textAlignment w:val="bottom"/>
              <w:rPr>
                <w:rFonts w:eastAsia="Times New Roman"/>
                <w:b/>
                <w:sz w:val="20"/>
                <w:szCs w:val="20"/>
                <w:lang w:eastAsia="pt-BR"/>
              </w:rPr>
            </w:pPr>
            <w:r w:rsidRPr="00EB37AF">
              <w:rPr>
                <w:b/>
                <w:sz w:val="20"/>
                <w:szCs w:val="20"/>
              </w:rPr>
              <w:t>Carbox.</w:t>
            </w:r>
            <w:r w:rsidRPr="00EB37AF">
              <w:rPr>
                <w:rFonts w:eastAsia="Times New Roman"/>
                <w:b/>
                <w:color w:val="000000" w:themeColor="text1"/>
                <w:kern w:val="24"/>
                <w:sz w:val="20"/>
                <w:szCs w:val="20"/>
                <w:lang w:eastAsia="pt-BR"/>
              </w:rPr>
              <w:t xml:space="preserve"> CV2</w:t>
            </w:r>
          </w:p>
        </w:tc>
      </w:tr>
      <w:tr w:rsidR="00EB37AF" w:rsidRPr="00EB37AF" w14:paraId="72C1B5B1" w14:textId="77777777" w:rsidTr="00D74DA1">
        <w:trPr>
          <w:trHeight w:val="384"/>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8B50508"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Contraste</w:t>
            </w:r>
          </w:p>
        </w:tc>
        <w:tc>
          <w:tcPr>
            <w:tcW w:w="37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38EDCC5"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(T2 + T3 + T4 + T5) CV1</w:t>
            </w:r>
          </w:p>
        </w:tc>
        <w:tc>
          <w:tcPr>
            <w:tcW w:w="6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B85BBD" w14:textId="77777777" w:rsidR="00EB37AF" w:rsidRPr="00EB37AF" w:rsidRDefault="00EB37AF" w:rsidP="00EB37AF">
            <w:pPr>
              <w:autoSpaceDE/>
              <w:autoSpaceDN/>
              <w:adjustRightInd/>
              <w:spacing w:after="0" w:line="240" w:lineRule="auto"/>
              <w:ind w:firstLine="0"/>
              <w:jc w:val="center"/>
              <w:rPr>
                <w:rFonts w:eastAsia="Times New Roman"/>
                <w:sz w:val="20"/>
                <w:szCs w:val="20"/>
                <w:lang w:eastAsia="pt-BR"/>
              </w:rPr>
            </w:pPr>
          </w:p>
        </w:tc>
        <w:tc>
          <w:tcPr>
            <w:tcW w:w="234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DA44A43"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(T2 + T3 + T4 + T5) CV2</w:t>
            </w:r>
          </w:p>
        </w:tc>
      </w:tr>
      <w:tr w:rsidR="00EB37AF" w:rsidRPr="00EB37AF" w14:paraId="184B1653" w14:textId="77777777" w:rsidTr="00D74DA1">
        <w:trPr>
          <w:trHeight w:val="384"/>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0C6440D7"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Média</w:t>
            </w:r>
          </w:p>
        </w:tc>
        <w:tc>
          <w:tcPr>
            <w:tcW w:w="3760" w:type="dxa"/>
            <w:tcBorders>
              <w:top w:val="nil"/>
              <w:left w:val="nil"/>
              <w:bottom w:val="nil"/>
              <w:right w:val="nil"/>
            </w:tcBorders>
            <w:shd w:val="clear" w:color="auto" w:fill="D6DCE5"/>
            <w:tcMar>
              <w:top w:w="15" w:type="dxa"/>
              <w:left w:w="15" w:type="dxa"/>
              <w:bottom w:w="0" w:type="dxa"/>
              <w:right w:w="15" w:type="dxa"/>
            </w:tcMar>
            <w:vAlign w:val="center"/>
            <w:hideMark/>
          </w:tcPr>
          <w:p w14:paraId="7D181D31"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22,4</w:t>
            </w:r>
          </w:p>
        </w:tc>
        <w:tc>
          <w:tcPr>
            <w:tcW w:w="600" w:type="dxa"/>
            <w:tcBorders>
              <w:top w:val="nil"/>
              <w:left w:val="nil"/>
              <w:bottom w:val="nil"/>
              <w:right w:val="nil"/>
            </w:tcBorders>
            <w:shd w:val="clear" w:color="auto" w:fill="D6DCE5"/>
            <w:tcMar>
              <w:top w:w="15" w:type="dxa"/>
              <w:left w:w="15" w:type="dxa"/>
              <w:bottom w:w="0" w:type="dxa"/>
              <w:right w:w="15" w:type="dxa"/>
            </w:tcMar>
            <w:vAlign w:val="center"/>
            <w:hideMark/>
          </w:tcPr>
          <w:p w14:paraId="2124DDA2" w14:textId="77777777" w:rsidR="00EB37AF" w:rsidRPr="00EB37AF" w:rsidRDefault="00EB37AF" w:rsidP="00EB37AF">
            <w:pPr>
              <w:autoSpaceDE/>
              <w:autoSpaceDN/>
              <w:adjustRightInd/>
              <w:spacing w:after="0" w:line="240" w:lineRule="auto"/>
              <w:ind w:firstLine="0"/>
              <w:jc w:val="center"/>
              <w:rPr>
                <w:rFonts w:eastAsia="Times New Roman"/>
                <w:sz w:val="20"/>
                <w:szCs w:val="20"/>
                <w:lang w:eastAsia="pt-BR"/>
              </w:rPr>
            </w:pPr>
          </w:p>
        </w:tc>
        <w:tc>
          <w:tcPr>
            <w:tcW w:w="2349" w:type="dxa"/>
            <w:tcBorders>
              <w:top w:val="nil"/>
              <w:left w:val="nil"/>
              <w:bottom w:val="nil"/>
              <w:right w:val="nil"/>
            </w:tcBorders>
            <w:shd w:val="clear" w:color="auto" w:fill="D6DCE5"/>
            <w:tcMar>
              <w:top w:w="15" w:type="dxa"/>
              <w:left w:w="15" w:type="dxa"/>
              <w:bottom w:w="0" w:type="dxa"/>
              <w:right w:w="15" w:type="dxa"/>
            </w:tcMar>
            <w:vAlign w:val="center"/>
            <w:hideMark/>
          </w:tcPr>
          <w:p w14:paraId="1E575B02"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33,5</w:t>
            </w:r>
          </w:p>
        </w:tc>
      </w:tr>
      <w:tr w:rsidR="00EB37AF" w:rsidRPr="00EB37AF" w14:paraId="614E0C41" w14:textId="77777777" w:rsidTr="00D74DA1">
        <w:trPr>
          <w:trHeight w:val="384"/>
        </w:trPr>
        <w:tc>
          <w:tcPr>
            <w:tcW w:w="20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3A42348"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Probabilidade(p)</w:t>
            </w:r>
          </w:p>
        </w:tc>
        <w:tc>
          <w:tcPr>
            <w:tcW w:w="376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AEA2C51" w14:textId="77777777" w:rsidR="00EB37AF" w:rsidRPr="00EB37AF" w:rsidRDefault="00EB37AF" w:rsidP="00EB37AF">
            <w:pPr>
              <w:autoSpaceDE/>
              <w:autoSpaceDN/>
              <w:adjustRightInd/>
              <w:spacing w:after="0" w:line="240" w:lineRule="auto"/>
              <w:ind w:firstLine="0"/>
              <w:jc w:val="center"/>
              <w:textAlignment w:val="bottom"/>
              <w:rPr>
                <w:rFonts w:eastAsia="Times New Roman"/>
                <w:sz w:val="20"/>
                <w:szCs w:val="20"/>
                <w:lang w:eastAsia="pt-BR"/>
              </w:rPr>
            </w:pPr>
            <w:r w:rsidRPr="00EB37AF">
              <w:rPr>
                <w:rFonts w:eastAsia="Times New Roman"/>
                <w:color w:val="000000" w:themeColor="text1"/>
                <w:kern w:val="24"/>
                <w:sz w:val="20"/>
                <w:szCs w:val="20"/>
                <w:lang w:eastAsia="pt-BR"/>
              </w:rPr>
              <w:t>&lt;0,0001</w:t>
            </w:r>
          </w:p>
        </w:tc>
        <w:tc>
          <w:tcPr>
            <w:tcW w:w="60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4B2EAE1" w14:textId="77777777" w:rsidR="00EB37AF" w:rsidRPr="00EB37AF" w:rsidRDefault="00EB37AF" w:rsidP="00EB37AF">
            <w:pPr>
              <w:autoSpaceDE/>
              <w:autoSpaceDN/>
              <w:adjustRightInd/>
              <w:spacing w:after="0" w:line="240" w:lineRule="auto"/>
              <w:ind w:firstLine="0"/>
              <w:jc w:val="center"/>
              <w:rPr>
                <w:rFonts w:eastAsia="Times New Roman"/>
                <w:sz w:val="20"/>
                <w:szCs w:val="20"/>
                <w:lang w:eastAsia="pt-BR"/>
              </w:rPr>
            </w:pPr>
          </w:p>
        </w:tc>
        <w:tc>
          <w:tcPr>
            <w:tcW w:w="2349"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EE99034" w14:textId="77777777" w:rsidR="00EB37AF" w:rsidRPr="00EB37AF" w:rsidRDefault="00EB37AF" w:rsidP="00EB37AF">
            <w:pPr>
              <w:autoSpaceDE/>
              <w:autoSpaceDN/>
              <w:adjustRightInd/>
              <w:spacing w:after="0" w:line="240" w:lineRule="auto"/>
              <w:ind w:firstLine="0"/>
              <w:jc w:val="center"/>
              <w:rPr>
                <w:rFonts w:eastAsia="Times New Roman"/>
                <w:sz w:val="20"/>
                <w:szCs w:val="20"/>
                <w:lang w:eastAsia="pt-BR"/>
              </w:rPr>
            </w:pPr>
          </w:p>
        </w:tc>
      </w:tr>
    </w:tbl>
    <w:p w14:paraId="0A391313" w14:textId="77777777" w:rsidR="00EB37AF" w:rsidRPr="00EB37AF" w:rsidRDefault="00EB37AF" w:rsidP="00EB37AF">
      <w:pPr>
        <w:autoSpaceDE/>
        <w:autoSpaceDN/>
        <w:adjustRightInd/>
        <w:spacing w:after="0" w:line="360" w:lineRule="auto"/>
        <w:ind w:firstLine="0"/>
        <w:jc w:val="left"/>
        <w:rPr>
          <w:sz w:val="20"/>
          <w:szCs w:val="20"/>
        </w:rPr>
      </w:pPr>
    </w:p>
    <w:tbl>
      <w:tblPr>
        <w:tblW w:w="8789" w:type="dxa"/>
        <w:tblCellMar>
          <w:left w:w="0" w:type="dxa"/>
          <w:right w:w="0" w:type="dxa"/>
        </w:tblCellMar>
        <w:tblLook w:val="0600" w:firstRow="0" w:lastRow="0" w:firstColumn="0" w:lastColumn="0" w:noHBand="1" w:noVBand="1"/>
      </w:tblPr>
      <w:tblGrid>
        <w:gridCol w:w="2065"/>
        <w:gridCol w:w="3834"/>
        <w:gridCol w:w="669"/>
        <w:gridCol w:w="2221"/>
      </w:tblGrid>
      <w:tr w:rsidR="00EB37AF" w:rsidRPr="00EB37AF" w14:paraId="6C48D1E9" w14:textId="77777777" w:rsidTr="00D74DA1">
        <w:trPr>
          <w:trHeight w:val="328"/>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A9D843D"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38</w:t>
            </w:r>
          </w:p>
        </w:tc>
        <w:tc>
          <w:tcPr>
            <w:tcW w:w="39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7E6E4D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CV1</w:t>
            </w:r>
          </w:p>
        </w:tc>
        <w:tc>
          <w:tcPr>
            <w:tcW w:w="6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FE4D27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12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869C21E" w14:textId="77777777" w:rsidR="00EB37AF" w:rsidRPr="00EB37AF" w:rsidRDefault="00EB37AF" w:rsidP="00EB37AF">
            <w:pPr>
              <w:autoSpaceDE/>
              <w:autoSpaceDN/>
              <w:adjustRightInd/>
              <w:spacing w:after="0" w:line="360" w:lineRule="auto"/>
              <w:ind w:right="1107" w:firstLine="0"/>
              <w:jc w:val="center"/>
              <w:rPr>
                <w:b/>
                <w:sz w:val="20"/>
                <w:szCs w:val="20"/>
              </w:rPr>
            </w:pPr>
            <w:r w:rsidRPr="00EB37AF">
              <w:rPr>
                <w:b/>
                <w:sz w:val="20"/>
                <w:szCs w:val="20"/>
              </w:rPr>
              <w:t>Carbox.CV2</w:t>
            </w:r>
          </w:p>
        </w:tc>
      </w:tr>
      <w:tr w:rsidR="00EB37AF" w:rsidRPr="00EB37AF" w14:paraId="37E74A36" w14:textId="77777777" w:rsidTr="00D74DA1">
        <w:trPr>
          <w:trHeight w:val="389"/>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0A9CFC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9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93FF8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 CV1/17 DAP</w:t>
            </w:r>
            <w:r w:rsidRPr="00EB37AF">
              <w:rPr>
                <w:sz w:val="20"/>
                <w:szCs w:val="20"/>
                <w:vertAlign w:val="subscript"/>
              </w:rPr>
              <w:t>0</w:t>
            </w:r>
          </w:p>
        </w:tc>
        <w:tc>
          <w:tcPr>
            <w:tcW w:w="6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1BF6EEF" w14:textId="77777777" w:rsidR="00EB37AF" w:rsidRPr="00EB37AF" w:rsidRDefault="00EB37AF" w:rsidP="00EB37AF">
            <w:pPr>
              <w:autoSpaceDE/>
              <w:autoSpaceDN/>
              <w:adjustRightInd/>
              <w:spacing w:after="0" w:line="360" w:lineRule="auto"/>
              <w:ind w:firstLine="0"/>
              <w:jc w:val="center"/>
              <w:rPr>
                <w:sz w:val="20"/>
                <w:szCs w:val="20"/>
              </w:rPr>
            </w:pPr>
          </w:p>
        </w:tc>
        <w:tc>
          <w:tcPr>
            <w:tcW w:w="212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80F8ED4" w14:textId="77777777" w:rsidR="00EB37AF" w:rsidRPr="00EB37AF" w:rsidRDefault="00EB37AF" w:rsidP="00EB37AF">
            <w:pPr>
              <w:autoSpaceDE/>
              <w:autoSpaceDN/>
              <w:adjustRightInd/>
              <w:spacing w:after="0" w:line="360" w:lineRule="auto"/>
              <w:ind w:right="1107" w:firstLine="0"/>
              <w:jc w:val="center"/>
              <w:rPr>
                <w:sz w:val="20"/>
                <w:szCs w:val="20"/>
              </w:rPr>
            </w:pPr>
            <w:r w:rsidRPr="00EB37AF">
              <w:rPr>
                <w:sz w:val="20"/>
                <w:szCs w:val="20"/>
              </w:rPr>
              <w:t>(T2 + T3 + T4 + T5) CV2/17 DAP</w:t>
            </w:r>
            <w:r w:rsidRPr="00EB37AF">
              <w:rPr>
                <w:sz w:val="20"/>
                <w:szCs w:val="20"/>
                <w:vertAlign w:val="subscript"/>
              </w:rPr>
              <w:t>0</w:t>
            </w:r>
          </w:p>
        </w:tc>
      </w:tr>
      <w:tr w:rsidR="00EB37AF" w:rsidRPr="00EB37AF" w14:paraId="0AEB3417" w14:textId="77777777" w:rsidTr="00D74DA1">
        <w:trPr>
          <w:trHeight w:val="328"/>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3F16C25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900" w:type="dxa"/>
            <w:tcBorders>
              <w:top w:val="nil"/>
              <w:left w:val="nil"/>
              <w:bottom w:val="nil"/>
              <w:right w:val="nil"/>
            </w:tcBorders>
            <w:shd w:val="clear" w:color="auto" w:fill="D6DCE5"/>
            <w:tcMar>
              <w:top w:w="15" w:type="dxa"/>
              <w:left w:w="15" w:type="dxa"/>
              <w:bottom w:w="0" w:type="dxa"/>
              <w:right w:w="15" w:type="dxa"/>
            </w:tcMar>
            <w:vAlign w:val="center"/>
            <w:hideMark/>
          </w:tcPr>
          <w:p w14:paraId="672B9EA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15,4</w:t>
            </w:r>
          </w:p>
        </w:tc>
        <w:tc>
          <w:tcPr>
            <w:tcW w:w="680" w:type="dxa"/>
            <w:tcBorders>
              <w:top w:val="nil"/>
              <w:left w:val="nil"/>
              <w:bottom w:val="nil"/>
              <w:right w:val="nil"/>
            </w:tcBorders>
            <w:shd w:val="clear" w:color="auto" w:fill="D6DCE5"/>
            <w:tcMar>
              <w:top w:w="15" w:type="dxa"/>
              <w:left w:w="15" w:type="dxa"/>
              <w:bottom w:w="0" w:type="dxa"/>
              <w:right w:w="15" w:type="dxa"/>
            </w:tcMar>
            <w:vAlign w:val="center"/>
            <w:hideMark/>
          </w:tcPr>
          <w:p w14:paraId="0F72A5AB" w14:textId="77777777" w:rsidR="00EB37AF" w:rsidRPr="00EB37AF" w:rsidRDefault="00EB37AF" w:rsidP="00EB37AF">
            <w:pPr>
              <w:autoSpaceDE/>
              <w:autoSpaceDN/>
              <w:adjustRightInd/>
              <w:spacing w:after="0" w:line="360" w:lineRule="auto"/>
              <w:ind w:firstLine="0"/>
              <w:jc w:val="center"/>
              <w:rPr>
                <w:sz w:val="20"/>
                <w:szCs w:val="20"/>
              </w:rPr>
            </w:pPr>
          </w:p>
        </w:tc>
        <w:tc>
          <w:tcPr>
            <w:tcW w:w="2129" w:type="dxa"/>
            <w:tcBorders>
              <w:top w:val="nil"/>
              <w:left w:val="nil"/>
              <w:bottom w:val="nil"/>
              <w:right w:val="nil"/>
            </w:tcBorders>
            <w:shd w:val="clear" w:color="auto" w:fill="D6DCE5"/>
            <w:tcMar>
              <w:top w:w="15" w:type="dxa"/>
              <w:left w:w="15" w:type="dxa"/>
              <w:bottom w:w="0" w:type="dxa"/>
              <w:right w:w="15" w:type="dxa"/>
            </w:tcMar>
            <w:vAlign w:val="center"/>
            <w:hideMark/>
          </w:tcPr>
          <w:p w14:paraId="3C4A56A8" w14:textId="77777777" w:rsidR="00EB37AF" w:rsidRPr="00EB37AF" w:rsidRDefault="00EB37AF" w:rsidP="00EB37AF">
            <w:pPr>
              <w:autoSpaceDE/>
              <w:autoSpaceDN/>
              <w:adjustRightInd/>
              <w:spacing w:after="0" w:line="360" w:lineRule="auto"/>
              <w:ind w:right="1107" w:firstLine="0"/>
              <w:jc w:val="center"/>
              <w:rPr>
                <w:sz w:val="20"/>
                <w:szCs w:val="20"/>
              </w:rPr>
            </w:pPr>
            <w:r w:rsidRPr="00EB37AF">
              <w:rPr>
                <w:sz w:val="20"/>
                <w:szCs w:val="20"/>
              </w:rPr>
              <w:t>27,1</w:t>
            </w:r>
          </w:p>
        </w:tc>
      </w:tr>
      <w:tr w:rsidR="00EB37AF" w:rsidRPr="00EB37AF" w14:paraId="431C5A4D" w14:textId="77777777" w:rsidTr="00D74DA1">
        <w:trPr>
          <w:trHeight w:val="328"/>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7C3A0DA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900" w:type="dxa"/>
            <w:tcBorders>
              <w:top w:val="nil"/>
              <w:left w:val="nil"/>
              <w:bottom w:val="nil"/>
              <w:right w:val="nil"/>
            </w:tcBorders>
            <w:shd w:val="clear" w:color="auto" w:fill="auto"/>
            <w:tcMar>
              <w:top w:w="15" w:type="dxa"/>
              <w:left w:w="15" w:type="dxa"/>
              <w:bottom w:w="0" w:type="dxa"/>
              <w:right w:w="15" w:type="dxa"/>
            </w:tcMar>
            <w:vAlign w:val="center"/>
            <w:hideMark/>
          </w:tcPr>
          <w:p w14:paraId="5A2A9B7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680" w:type="dxa"/>
            <w:tcBorders>
              <w:top w:val="nil"/>
              <w:left w:val="nil"/>
              <w:bottom w:val="nil"/>
              <w:right w:val="nil"/>
            </w:tcBorders>
            <w:shd w:val="clear" w:color="auto" w:fill="auto"/>
            <w:tcMar>
              <w:top w:w="15" w:type="dxa"/>
              <w:left w:w="15" w:type="dxa"/>
              <w:bottom w:w="0" w:type="dxa"/>
              <w:right w:w="15" w:type="dxa"/>
            </w:tcMar>
            <w:vAlign w:val="center"/>
            <w:hideMark/>
          </w:tcPr>
          <w:p w14:paraId="2F9A9E9D" w14:textId="77777777" w:rsidR="00EB37AF" w:rsidRPr="00EB37AF" w:rsidRDefault="00EB37AF" w:rsidP="00EB37AF">
            <w:pPr>
              <w:autoSpaceDE/>
              <w:autoSpaceDN/>
              <w:adjustRightInd/>
              <w:spacing w:after="0" w:line="360" w:lineRule="auto"/>
              <w:ind w:firstLine="0"/>
              <w:jc w:val="center"/>
              <w:rPr>
                <w:sz w:val="20"/>
                <w:szCs w:val="20"/>
              </w:rPr>
            </w:pPr>
          </w:p>
        </w:tc>
        <w:tc>
          <w:tcPr>
            <w:tcW w:w="2129" w:type="dxa"/>
            <w:tcBorders>
              <w:top w:val="nil"/>
              <w:left w:val="nil"/>
              <w:bottom w:val="nil"/>
              <w:right w:val="nil"/>
            </w:tcBorders>
            <w:shd w:val="clear" w:color="auto" w:fill="auto"/>
            <w:tcMar>
              <w:top w:w="15" w:type="dxa"/>
              <w:left w:w="15" w:type="dxa"/>
              <w:bottom w:w="0" w:type="dxa"/>
              <w:right w:w="15" w:type="dxa"/>
            </w:tcMar>
            <w:vAlign w:val="center"/>
            <w:hideMark/>
          </w:tcPr>
          <w:p w14:paraId="59C3AEF9" w14:textId="77777777" w:rsidR="00EB37AF" w:rsidRPr="00EB37AF" w:rsidRDefault="00EB37AF" w:rsidP="00EB37AF">
            <w:pPr>
              <w:autoSpaceDE/>
              <w:autoSpaceDN/>
              <w:adjustRightInd/>
              <w:spacing w:after="0" w:line="360" w:lineRule="auto"/>
              <w:ind w:firstLine="0"/>
              <w:jc w:val="center"/>
              <w:rPr>
                <w:sz w:val="20"/>
                <w:szCs w:val="20"/>
              </w:rPr>
            </w:pPr>
          </w:p>
        </w:tc>
      </w:tr>
    </w:tbl>
    <w:p w14:paraId="31C11FA1" w14:textId="77777777" w:rsidR="00EB37AF" w:rsidRPr="00EB37AF" w:rsidRDefault="00EB37AF" w:rsidP="00EB37AF">
      <w:pPr>
        <w:autoSpaceDE/>
        <w:autoSpaceDN/>
        <w:adjustRightInd/>
        <w:spacing w:after="0" w:line="360" w:lineRule="auto"/>
        <w:ind w:firstLine="0"/>
        <w:jc w:val="center"/>
        <w:rPr>
          <w:sz w:val="20"/>
          <w:szCs w:val="20"/>
        </w:rPr>
      </w:pPr>
    </w:p>
    <w:tbl>
      <w:tblPr>
        <w:tblW w:w="8647" w:type="dxa"/>
        <w:tblCellMar>
          <w:left w:w="0" w:type="dxa"/>
          <w:right w:w="0" w:type="dxa"/>
        </w:tblCellMar>
        <w:tblLook w:val="0600" w:firstRow="0" w:lastRow="0" w:firstColumn="0" w:lastColumn="0" w:noHBand="1" w:noVBand="1"/>
      </w:tblPr>
      <w:tblGrid>
        <w:gridCol w:w="2040"/>
        <w:gridCol w:w="3820"/>
        <w:gridCol w:w="700"/>
        <w:gridCol w:w="2087"/>
      </w:tblGrid>
      <w:tr w:rsidR="00EB37AF" w:rsidRPr="00EB37AF" w14:paraId="68D6234F" w14:textId="77777777" w:rsidTr="00D74DA1">
        <w:trPr>
          <w:trHeight w:val="328"/>
        </w:trPr>
        <w:tc>
          <w:tcPr>
            <w:tcW w:w="20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8E72D4B"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39</w:t>
            </w:r>
          </w:p>
        </w:tc>
        <w:tc>
          <w:tcPr>
            <w:tcW w:w="38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7C16CD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CV1</w:t>
            </w:r>
          </w:p>
        </w:tc>
        <w:tc>
          <w:tcPr>
            <w:tcW w:w="7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27A333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08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50C02D9"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CV2</w:t>
            </w:r>
          </w:p>
        </w:tc>
      </w:tr>
      <w:tr w:rsidR="00EB37AF" w:rsidRPr="00EB37AF" w14:paraId="45F11053" w14:textId="77777777" w:rsidTr="00D74DA1">
        <w:trPr>
          <w:trHeight w:val="389"/>
        </w:trPr>
        <w:tc>
          <w:tcPr>
            <w:tcW w:w="20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157DD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8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58A844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 CV1/ 35 DAP</w:t>
            </w:r>
            <w:r w:rsidRPr="00EB37AF">
              <w:rPr>
                <w:sz w:val="20"/>
                <w:szCs w:val="20"/>
                <w:vertAlign w:val="subscript"/>
              </w:rPr>
              <w:t>0</w:t>
            </w:r>
          </w:p>
        </w:tc>
        <w:tc>
          <w:tcPr>
            <w:tcW w:w="7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E00FDA4" w14:textId="77777777" w:rsidR="00EB37AF" w:rsidRPr="00EB37AF" w:rsidRDefault="00EB37AF" w:rsidP="00EB37AF">
            <w:pPr>
              <w:autoSpaceDE/>
              <w:autoSpaceDN/>
              <w:adjustRightInd/>
              <w:spacing w:after="0" w:line="360" w:lineRule="auto"/>
              <w:ind w:firstLine="0"/>
              <w:jc w:val="center"/>
              <w:rPr>
                <w:sz w:val="20"/>
                <w:szCs w:val="20"/>
              </w:rPr>
            </w:pPr>
          </w:p>
        </w:tc>
        <w:tc>
          <w:tcPr>
            <w:tcW w:w="208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70F6DB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 CV2/35 DAP</w:t>
            </w:r>
            <w:r w:rsidRPr="00EB37AF">
              <w:rPr>
                <w:sz w:val="20"/>
                <w:szCs w:val="20"/>
                <w:vertAlign w:val="subscript"/>
              </w:rPr>
              <w:t>0</w:t>
            </w:r>
          </w:p>
        </w:tc>
      </w:tr>
      <w:tr w:rsidR="00EB37AF" w:rsidRPr="00EB37AF" w14:paraId="1255D8BC" w14:textId="77777777" w:rsidTr="00D74DA1">
        <w:trPr>
          <w:trHeight w:val="328"/>
        </w:trPr>
        <w:tc>
          <w:tcPr>
            <w:tcW w:w="2040" w:type="dxa"/>
            <w:tcBorders>
              <w:top w:val="nil"/>
              <w:left w:val="nil"/>
              <w:bottom w:val="nil"/>
              <w:right w:val="nil"/>
            </w:tcBorders>
            <w:shd w:val="clear" w:color="auto" w:fill="D6DCE5"/>
            <w:tcMar>
              <w:top w:w="15" w:type="dxa"/>
              <w:left w:w="15" w:type="dxa"/>
              <w:bottom w:w="0" w:type="dxa"/>
              <w:right w:w="15" w:type="dxa"/>
            </w:tcMar>
            <w:vAlign w:val="center"/>
            <w:hideMark/>
          </w:tcPr>
          <w:p w14:paraId="4C0C09E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820" w:type="dxa"/>
            <w:tcBorders>
              <w:top w:val="nil"/>
              <w:left w:val="nil"/>
              <w:bottom w:val="nil"/>
              <w:right w:val="nil"/>
            </w:tcBorders>
            <w:shd w:val="clear" w:color="auto" w:fill="D6DCE5"/>
            <w:tcMar>
              <w:top w:w="15" w:type="dxa"/>
              <w:left w:w="15" w:type="dxa"/>
              <w:bottom w:w="0" w:type="dxa"/>
              <w:right w:w="15" w:type="dxa"/>
            </w:tcMar>
            <w:vAlign w:val="center"/>
            <w:hideMark/>
          </w:tcPr>
          <w:p w14:paraId="04E3F2C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28,2</w:t>
            </w:r>
          </w:p>
        </w:tc>
        <w:tc>
          <w:tcPr>
            <w:tcW w:w="700" w:type="dxa"/>
            <w:tcBorders>
              <w:top w:val="nil"/>
              <w:left w:val="nil"/>
              <w:bottom w:val="nil"/>
              <w:right w:val="nil"/>
            </w:tcBorders>
            <w:shd w:val="clear" w:color="auto" w:fill="D6DCE5"/>
            <w:tcMar>
              <w:top w:w="15" w:type="dxa"/>
              <w:left w:w="15" w:type="dxa"/>
              <w:bottom w:w="0" w:type="dxa"/>
              <w:right w:w="15" w:type="dxa"/>
            </w:tcMar>
            <w:vAlign w:val="center"/>
            <w:hideMark/>
          </w:tcPr>
          <w:p w14:paraId="37E48CD0" w14:textId="77777777" w:rsidR="00EB37AF" w:rsidRPr="00EB37AF" w:rsidRDefault="00EB37AF" w:rsidP="00EB37AF">
            <w:pPr>
              <w:autoSpaceDE/>
              <w:autoSpaceDN/>
              <w:adjustRightInd/>
              <w:spacing w:after="0" w:line="360" w:lineRule="auto"/>
              <w:ind w:firstLine="0"/>
              <w:jc w:val="center"/>
              <w:rPr>
                <w:sz w:val="20"/>
                <w:szCs w:val="20"/>
              </w:rPr>
            </w:pPr>
          </w:p>
        </w:tc>
        <w:tc>
          <w:tcPr>
            <w:tcW w:w="2087" w:type="dxa"/>
            <w:tcBorders>
              <w:top w:val="nil"/>
              <w:left w:val="nil"/>
              <w:bottom w:val="nil"/>
              <w:right w:val="nil"/>
            </w:tcBorders>
            <w:shd w:val="clear" w:color="auto" w:fill="D6DCE5"/>
            <w:tcMar>
              <w:top w:w="15" w:type="dxa"/>
              <w:left w:w="15" w:type="dxa"/>
              <w:bottom w:w="0" w:type="dxa"/>
              <w:right w:w="15" w:type="dxa"/>
            </w:tcMar>
            <w:vAlign w:val="center"/>
            <w:hideMark/>
          </w:tcPr>
          <w:p w14:paraId="55FAD1F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37,4</w:t>
            </w:r>
          </w:p>
        </w:tc>
      </w:tr>
      <w:tr w:rsidR="00EB37AF" w:rsidRPr="00EB37AF" w14:paraId="0FB993DC" w14:textId="77777777" w:rsidTr="00D74DA1">
        <w:trPr>
          <w:trHeight w:val="328"/>
        </w:trPr>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02685C4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820" w:type="dxa"/>
            <w:tcBorders>
              <w:top w:val="nil"/>
              <w:left w:val="nil"/>
              <w:bottom w:val="nil"/>
              <w:right w:val="nil"/>
            </w:tcBorders>
            <w:shd w:val="clear" w:color="auto" w:fill="auto"/>
            <w:tcMar>
              <w:top w:w="15" w:type="dxa"/>
              <w:left w:w="15" w:type="dxa"/>
              <w:bottom w:w="0" w:type="dxa"/>
              <w:right w:w="15" w:type="dxa"/>
            </w:tcMar>
            <w:vAlign w:val="center"/>
            <w:hideMark/>
          </w:tcPr>
          <w:p w14:paraId="78A890D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700" w:type="dxa"/>
            <w:tcBorders>
              <w:top w:val="nil"/>
              <w:left w:val="nil"/>
              <w:bottom w:val="nil"/>
              <w:right w:val="nil"/>
            </w:tcBorders>
            <w:shd w:val="clear" w:color="auto" w:fill="auto"/>
            <w:tcMar>
              <w:top w:w="15" w:type="dxa"/>
              <w:left w:w="15" w:type="dxa"/>
              <w:bottom w:w="0" w:type="dxa"/>
              <w:right w:w="15" w:type="dxa"/>
            </w:tcMar>
            <w:vAlign w:val="center"/>
            <w:hideMark/>
          </w:tcPr>
          <w:p w14:paraId="75C976C6" w14:textId="77777777" w:rsidR="00EB37AF" w:rsidRPr="00EB37AF" w:rsidRDefault="00EB37AF" w:rsidP="00EB37AF">
            <w:pPr>
              <w:autoSpaceDE/>
              <w:autoSpaceDN/>
              <w:adjustRightInd/>
              <w:spacing w:after="0" w:line="360" w:lineRule="auto"/>
              <w:ind w:firstLine="0"/>
              <w:jc w:val="center"/>
              <w:rPr>
                <w:sz w:val="20"/>
                <w:szCs w:val="20"/>
              </w:rPr>
            </w:pPr>
          </w:p>
        </w:tc>
        <w:tc>
          <w:tcPr>
            <w:tcW w:w="2087" w:type="dxa"/>
            <w:tcBorders>
              <w:top w:val="nil"/>
              <w:left w:val="nil"/>
              <w:bottom w:val="nil"/>
              <w:right w:val="nil"/>
            </w:tcBorders>
            <w:shd w:val="clear" w:color="auto" w:fill="auto"/>
            <w:tcMar>
              <w:top w:w="15" w:type="dxa"/>
              <w:left w:w="15" w:type="dxa"/>
              <w:bottom w:w="0" w:type="dxa"/>
              <w:right w:w="15" w:type="dxa"/>
            </w:tcMar>
            <w:vAlign w:val="center"/>
            <w:hideMark/>
          </w:tcPr>
          <w:p w14:paraId="4CDE85A3" w14:textId="77777777" w:rsidR="00EB37AF" w:rsidRPr="00EB37AF" w:rsidRDefault="00EB37AF" w:rsidP="00EB37AF">
            <w:pPr>
              <w:autoSpaceDE/>
              <w:autoSpaceDN/>
              <w:adjustRightInd/>
              <w:spacing w:after="0" w:line="360" w:lineRule="auto"/>
              <w:ind w:firstLine="0"/>
              <w:jc w:val="center"/>
              <w:rPr>
                <w:sz w:val="20"/>
                <w:szCs w:val="20"/>
              </w:rPr>
            </w:pPr>
          </w:p>
        </w:tc>
      </w:tr>
    </w:tbl>
    <w:p w14:paraId="5D6A2A00" w14:textId="77777777" w:rsidR="00EB37AF" w:rsidRPr="00EB37AF" w:rsidRDefault="00EB37AF" w:rsidP="00EB37AF">
      <w:pPr>
        <w:autoSpaceDE/>
        <w:autoSpaceDN/>
        <w:adjustRightInd/>
        <w:spacing w:after="0" w:line="360" w:lineRule="auto"/>
        <w:ind w:firstLine="0"/>
        <w:jc w:val="center"/>
        <w:rPr>
          <w:sz w:val="20"/>
          <w:szCs w:val="20"/>
        </w:rPr>
      </w:pPr>
    </w:p>
    <w:tbl>
      <w:tblPr>
        <w:tblW w:w="8222" w:type="dxa"/>
        <w:tblCellMar>
          <w:left w:w="0" w:type="dxa"/>
          <w:right w:w="0" w:type="dxa"/>
        </w:tblCellMar>
        <w:tblLook w:val="0600" w:firstRow="0" w:lastRow="0" w:firstColumn="0" w:lastColumn="0" w:noHBand="1" w:noVBand="1"/>
      </w:tblPr>
      <w:tblGrid>
        <w:gridCol w:w="2045"/>
        <w:gridCol w:w="3967"/>
        <w:gridCol w:w="621"/>
        <w:gridCol w:w="1589"/>
      </w:tblGrid>
      <w:tr w:rsidR="00EB37AF" w:rsidRPr="00EB37AF" w14:paraId="3B3A38F7" w14:textId="77777777" w:rsidTr="00D74DA1">
        <w:trPr>
          <w:trHeight w:val="327"/>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CDA1BFD"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40</w:t>
            </w:r>
          </w:p>
        </w:tc>
        <w:tc>
          <w:tcPr>
            <w:tcW w:w="396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670988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CV1</w:t>
            </w:r>
          </w:p>
        </w:tc>
        <w:tc>
          <w:tcPr>
            <w:tcW w:w="62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897F77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1589"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8FD5F3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CV2</w:t>
            </w:r>
          </w:p>
        </w:tc>
      </w:tr>
      <w:tr w:rsidR="00EB37AF" w:rsidRPr="00EB37AF" w14:paraId="6F5A2D9B" w14:textId="77777777" w:rsidTr="00D74DA1">
        <w:trPr>
          <w:trHeight w:val="388"/>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3A824D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96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49AF08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 CV1/52 DAP</w:t>
            </w:r>
            <w:r w:rsidRPr="00EB37AF">
              <w:rPr>
                <w:sz w:val="20"/>
                <w:szCs w:val="20"/>
                <w:vertAlign w:val="subscript"/>
              </w:rPr>
              <w:t>0</w:t>
            </w:r>
          </w:p>
        </w:tc>
        <w:tc>
          <w:tcPr>
            <w:tcW w:w="62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70B28E3" w14:textId="77777777" w:rsidR="00EB37AF" w:rsidRPr="00EB37AF" w:rsidRDefault="00EB37AF" w:rsidP="00EB37AF">
            <w:pPr>
              <w:autoSpaceDE/>
              <w:autoSpaceDN/>
              <w:adjustRightInd/>
              <w:spacing w:after="0" w:line="360" w:lineRule="auto"/>
              <w:ind w:firstLine="0"/>
              <w:jc w:val="center"/>
              <w:rPr>
                <w:sz w:val="20"/>
                <w:szCs w:val="20"/>
              </w:rPr>
            </w:pPr>
          </w:p>
        </w:tc>
        <w:tc>
          <w:tcPr>
            <w:tcW w:w="158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22C7A3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 CV2/52 DAP</w:t>
            </w:r>
            <w:r w:rsidRPr="00EB37AF">
              <w:rPr>
                <w:sz w:val="20"/>
                <w:szCs w:val="20"/>
                <w:vertAlign w:val="subscript"/>
              </w:rPr>
              <w:t>0</w:t>
            </w:r>
          </w:p>
        </w:tc>
      </w:tr>
      <w:tr w:rsidR="00EB37AF" w:rsidRPr="00EB37AF" w14:paraId="48F0C90B" w14:textId="77777777" w:rsidTr="00D74DA1">
        <w:trPr>
          <w:trHeight w:val="327"/>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71947D0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967" w:type="dxa"/>
            <w:tcBorders>
              <w:top w:val="nil"/>
              <w:left w:val="nil"/>
              <w:bottom w:val="nil"/>
              <w:right w:val="nil"/>
            </w:tcBorders>
            <w:shd w:val="clear" w:color="auto" w:fill="D6DCE5"/>
            <w:tcMar>
              <w:top w:w="15" w:type="dxa"/>
              <w:left w:w="15" w:type="dxa"/>
              <w:bottom w:w="0" w:type="dxa"/>
              <w:right w:w="15" w:type="dxa"/>
            </w:tcMar>
            <w:vAlign w:val="center"/>
            <w:hideMark/>
          </w:tcPr>
          <w:p w14:paraId="688D812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23,6</w:t>
            </w:r>
          </w:p>
        </w:tc>
        <w:tc>
          <w:tcPr>
            <w:tcW w:w="621" w:type="dxa"/>
            <w:tcBorders>
              <w:top w:val="nil"/>
              <w:left w:val="nil"/>
              <w:bottom w:val="nil"/>
              <w:right w:val="nil"/>
            </w:tcBorders>
            <w:shd w:val="clear" w:color="auto" w:fill="D6DCE5"/>
            <w:tcMar>
              <w:top w:w="15" w:type="dxa"/>
              <w:left w:w="15" w:type="dxa"/>
              <w:bottom w:w="0" w:type="dxa"/>
              <w:right w:w="15" w:type="dxa"/>
            </w:tcMar>
            <w:vAlign w:val="center"/>
            <w:hideMark/>
          </w:tcPr>
          <w:p w14:paraId="179FDE7B" w14:textId="77777777" w:rsidR="00EB37AF" w:rsidRPr="00EB37AF" w:rsidRDefault="00EB37AF" w:rsidP="00EB37AF">
            <w:pPr>
              <w:autoSpaceDE/>
              <w:autoSpaceDN/>
              <w:adjustRightInd/>
              <w:spacing w:after="0" w:line="360" w:lineRule="auto"/>
              <w:ind w:firstLine="0"/>
              <w:jc w:val="center"/>
              <w:rPr>
                <w:sz w:val="20"/>
                <w:szCs w:val="20"/>
              </w:rPr>
            </w:pPr>
          </w:p>
        </w:tc>
        <w:tc>
          <w:tcPr>
            <w:tcW w:w="1589" w:type="dxa"/>
            <w:tcBorders>
              <w:top w:val="nil"/>
              <w:left w:val="nil"/>
              <w:bottom w:val="nil"/>
              <w:right w:val="nil"/>
            </w:tcBorders>
            <w:shd w:val="clear" w:color="auto" w:fill="D6DCE5"/>
            <w:tcMar>
              <w:top w:w="15" w:type="dxa"/>
              <w:left w:w="15" w:type="dxa"/>
              <w:bottom w:w="0" w:type="dxa"/>
              <w:right w:w="15" w:type="dxa"/>
            </w:tcMar>
            <w:vAlign w:val="center"/>
            <w:hideMark/>
          </w:tcPr>
          <w:p w14:paraId="6B26C21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35,9</w:t>
            </w:r>
          </w:p>
        </w:tc>
      </w:tr>
      <w:tr w:rsidR="00EB37AF" w:rsidRPr="00EB37AF" w14:paraId="639AEF41" w14:textId="77777777" w:rsidTr="00D74DA1">
        <w:trPr>
          <w:trHeight w:val="327"/>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585D78F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967" w:type="dxa"/>
            <w:tcBorders>
              <w:top w:val="nil"/>
              <w:left w:val="nil"/>
              <w:bottom w:val="nil"/>
              <w:right w:val="nil"/>
            </w:tcBorders>
            <w:shd w:val="clear" w:color="auto" w:fill="auto"/>
            <w:tcMar>
              <w:top w:w="15" w:type="dxa"/>
              <w:left w:w="15" w:type="dxa"/>
              <w:bottom w:w="0" w:type="dxa"/>
              <w:right w:w="15" w:type="dxa"/>
            </w:tcMar>
            <w:vAlign w:val="center"/>
            <w:hideMark/>
          </w:tcPr>
          <w:p w14:paraId="14F7ABD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621" w:type="dxa"/>
            <w:tcBorders>
              <w:top w:val="nil"/>
              <w:left w:val="nil"/>
              <w:bottom w:val="nil"/>
              <w:right w:val="nil"/>
            </w:tcBorders>
            <w:shd w:val="clear" w:color="auto" w:fill="auto"/>
            <w:tcMar>
              <w:top w:w="15" w:type="dxa"/>
              <w:left w:w="15" w:type="dxa"/>
              <w:bottom w:w="0" w:type="dxa"/>
              <w:right w:w="15" w:type="dxa"/>
            </w:tcMar>
            <w:vAlign w:val="center"/>
            <w:hideMark/>
          </w:tcPr>
          <w:p w14:paraId="7C887C2B" w14:textId="77777777" w:rsidR="00EB37AF" w:rsidRPr="00EB37AF" w:rsidRDefault="00EB37AF" w:rsidP="00EB37AF">
            <w:pPr>
              <w:autoSpaceDE/>
              <w:autoSpaceDN/>
              <w:adjustRightInd/>
              <w:spacing w:after="0" w:line="360" w:lineRule="auto"/>
              <w:ind w:firstLine="0"/>
              <w:jc w:val="center"/>
              <w:rPr>
                <w:sz w:val="20"/>
                <w:szCs w:val="20"/>
              </w:rPr>
            </w:pPr>
          </w:p>
        </w:tc>
        <w:tc>
          <w:tcPr>
            <w:tcW w:w="1589" w:type="dxa"/>
            <w:tcBorders>
              <w:top w:val="nil"/>
              <w:left w:val="nil"/>
              <w:bottom w:val="nil"/>
              <w:right w:val="nil"/>
            </w:tcBorders>
            <w:shd w:val="clear" w:color="auto" w:fill="auto"/>
            <w:tcMar>
              <w:top w:w="15" w:type="dxa"/>
              <w:left w:w="15" w:type="dxa"/>
              <w:bottom w:w="0" w:type="dxa"/>
              <w:right w:w="15" w:type="dxa"/>
            </w:tcMar>
            <w:vAlign w:val="center"/>
            <w:hideMark/>
          </w:tcPr>
          <w:p w14:paraId="1B1083BF" w14:textId="77777777" w:rsidR="00EB37AF" w:rsidRPr="00EB37AF" w:rsidRDefault="00EB37AF" w:rsidP="00EB37AF">
            <w:pPr>
              <w:autoSpaceDE/>
              <w:autoSpaceDN/>
              <w:adjustRightInd/>
              <w:spacing w:after="0" w:line="360" w:lineRule="auto"/>
              <w:ind w:firstLine="0"/>
              <w:jc w:val="center"/>
              <w:rPr>
                <w:sz w:val="20"/>
                <w:szCs w:val="20"/>
              </w:rPr>
            </w:pPr>
          </w:p>
        </w:tc>
      </w:tr>
    </w:tbl>
    <w:p w14:paraId="49D98BA5" w14:textId="77777777" w:rsidR="00EB37AF" w:rsidRPr="00EB37AF" w:rsidRDefault="00EB37AF" w:rsidP="00EB37AF">
      <w:pPr>
        <w:autoSpaceDE/>
        <w:autoSpaceDN/>
        <w:adjustRightInd/>
        <w:spacing w:after="0" w:line="360" w:lineRule="auto"/>
        <w:ind w:firstLine="0"/>
        <w:jc w:val="center"/>
        <w:rPr>
          <w:sz w:val="20"/>
          <w:szCs w:val="20"/>
        </w:rPr>
      </w:pPr>
    </w:p>
    <w:tbl>
      <w:tblPr>
        <w:tblW w:w="8360" w:type="dxa"/>
        <w:tblCellMar>
          <w:left w:w="0" w:type="dxa"/>
          <w:right w:w="0" w:type="dxa"/>
        </w:tblCellMar>
        <w:tblLook w:val="0600" w:firstRow="0" w:lastRow="0" w:firstColumn="0" w:lastColumn="0" w:noHBand="1" w:noVBand="1"/>
      </w:tblPr>
      <w:tblGrid>
        <w:gridCol w:w="1940"/>
        <w:gridCol w:w="3080"/>
        <w:gridCol w:w="440"/>
        <w:gridCol w:w="2900"/>
      </w:tblGrid>
      <w:tr w:rsidR="00EB37AF" w:rsidRPr="00EB37AF" w14:paraId="7D9E79F2"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9CF1C86"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41</w:t>
            </w:r>
          </w:p>
        </w:tc>
        <w:tc>
          <w:tcPr>
            <w:tcW w:w="3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986038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Carbox.1 CV1</w:t>
            </w:r>
          </w:p>
        </w:tc>
        <w:tc>
          <w:tcPr>
            <w:tcW w:w="4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541B9B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9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57D93DE"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Carbox.1 CV2</w:t>
            </w:r>
          </w:p>
        </w:tc>
      </w:tr>
      <w:tr w:rsidR="00EB37AF" w:rsidRPr="00EB37AF" w14:paraId="7D971622" w14:textId="77777777" w:rsidTr="00D74DA1">
        <w:trPr>
          <w:trHeight w:val="30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3B9320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2BFF1D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CV1</w:t>
            </w:r>
          </w:p>
        </w:tc>
        <w:tc>
          <w:tcPr>
            <w:tcW w:w="4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8AE3FD2" w14:textId="77777777" w:rsidR="00EB37AF" w:rsidRPr="00EB37AF" w:rsidRDefault="00EB37AF" w:rsidP="00EB37AF">
            <w:pPr>
              <w:autoSpaceDE/>
              <w:autoSpaceDN/>
              <w:adjustRightInd/>
              <w:spacing w:after="0" w:line="360" w:lineRule="auto"/>
              <w:ind w:firstLine="0"/>
              <w:jc w:val="center"/>
              <w:rPr>
                <w:sz w:val="20"/>
                <w:szCs w:val="20"/>
              </w:rPr>
            </w:pPr>
          </w:p>
        </w:tc>
        <w:tc>
          <w:tcPr>
            <w:tcW w:w="29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FD305E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CV2</w:t>
            </w:r>
          </w:p>
        </w:tc>
      </w:tr>
      <w:tr w:rsidR="00EB37AF" w:rsidRPr="00EB37AF" w14:paraId="66FE775C"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283909A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080" w:type="dxa"/>
            <w:tcBorders>
              <w:top w:val="nil"/>
              <w:left w:val="nil"/>
              <w:bottom w:val="nil"/>
              <w:right w:val="nil"/>
            </w:tcBorders>
            <w:shd w:val="clear" w:color="auto" w:fill="D6DCE5"/>
            <w:tcMar>
              <w:top w:w="15" w:type="dxa"/>
              <w:left w:w="15" w:type="dxa"/>
              <w:bottom w:w="0" w:type="dxa"/>
              <w:right w:w="15" w:type="dxa"/>
            </w:tcMar>
            <w:vAlign w:val="center"/>
            <w:hideMark/>
          </w:tcPr>
          <w:p w14:paraId="2F34AD9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13,5</w:t>
            </w:r>
          </w:p>
        </w:tc>
        <w:tc>
          <w:tcPr>
            <w:tcW w:w="440" w:type="dxa"/>
            <w:tcBorders>
              <w:top w:val="nil"/>
              <w:left w:val="nil"/>
              <w:bottom w:val="nil"/>
              <w:right w:val="nil"/>
            </w:tcBorders>
            <w:shd w:val="clear" w:color="auto" w:fill="D6DCE5"/>
            <w:tcMar>
              <w:top w:w="15" w:type="dxa"/>
              <w:left w:w="15" w:type="dxa"/>
              <w:bottom w:w="0" w:type="dxa"/>
              <w:right w:w="15" w:type="dxa"/>
            </w:tcMar>
            <w:vAlign w:val="center"/>
            <w:hideMark/>
          </w:tcPr>
          <w:p w14:paraId="12F3D30C" w14:textId="77777777" w:rsidR="00EB37AF" w:rsidRPr="00EB37AF" w:rsidRDefault="00EB37AF" w:rsidP="00EB37AF">
            <w:pPr>
              <w:autoSpaceDE/>
              <w:autoSpaceDN/>
              <w:adjustRightInd/>
              <w:spacing w:after="0" w:line="360" w:lineRule="auto"/>
              <w:ind w:firstLine="0"/>
              <w:jc w:val="center"/>
              <w:rPr>
                <w:sz w:val="20"/>
                <w:szCs w:val="20"/>
              </w:rPr>
            </w:pPr>
          </w:p>
        </w:tc>
        <w:tc>
          <w:tcPr>
            <w:tcW w:w="2900" w:type="dxa"/>
            <w:tcBorders>
              <w:top w:val="nil"/>
              <w:left w:val="nil"/>
              <w:bottom w:val="nil"/>
              <w:right w:val="nil"/>
            </w:tcBorders>
            <w:shd w:val="clear" w:color="auto" w:fill="D6DCE5"/>
            <w:tcMar>
              <w:top w:w="15" w:type="dxa"/>
              <w:left w:w="15" w:type="dxa"/>
              <w:bottom w:w="0" w:type="dxa"/>
              <w:right w:w="15" w:type="dxa"/>
            </w:tcMar>
            <w:vAlign w:val="center"/>
            <w:hideMark/>
          </w:tcPr>
          <w:p w14:paraId="2EF4236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23,6</w:t>
            </w:r>
          </w:p>
        </w:tc>
      </w:tr>
      <w:tr w:rsidR="00EB37AF" w:rsidRPr="00EB37AF" w14:paraId="38AF0BE9"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4B3601E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080" w:type="dxa"/>
            <w:tcBorders>
              <w:top w:val="nil"/>
              <w:left w:val="nil"/>
              <w:bottom w:val="nil"/>
              <w:right w:val="nil"/>
            </w:tcBorders>
            <w:shd w:val="clear" w:color="auto" w:fill="auto"/>
            <w:tcMar>
              <w:top w:w="15" w:type="dxa"/>
              <w:left w:w="15" w:type="dxa"/>
              <w:bottom w:w="0" w:type="dxa"/>
              <w:right w:w="15" w:type="dxa"/>
            </w:tcMar>
            <w:vAlign w:val="center"/>
            <w:hideMark/>
          </w:tcPr>
          <w:p w14:paraId="71F4C47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40" w:type="dxa"/>
            <w:tcBorders>
              <w:top w:val="nil"/>
              <w:left w:val="nil"/>
              <w:bottom w:val="nil"/>
              <w:right w:val="nil"/>
            </w:tcBorders>
            <w:shd w:val="clear" w:color="auto" w:fill="auto"/>
            <w:tcMar>
              <w:top w:w="15" w:type="dxa"/>
              <w:left w:w="15" w:type="dxa"/>
              <w:bottom w:w="0" w:type="dxa"/>
              <w:right w:w="15" w:type="dxa"/>
            </w:tcMar>
            <w:vAlign w:val="center"/>
            <w:hideMark/>
          </w:tcPr>
          <w:p w14:paraId="56216A6F" w14:textId="77777777" w:rsidR="00EB37AF" w:rsidRPr="00EB37AF" w:rsidRDefault="00EB37AF" w:rsidP="00EB37AF">
            <w:pPr>
              <w:autoSpaceDE/>
              <w:autoSpaceDN/>
              <w:adjustRightInd/>
              <w:spacing w:after="0" w:line="360" w:lineRule="auto"/>
              <w:ind w:firstLine="0"/>
              <w:jc w:val="center"/>
              <w:rPr>
                <w:sz w:val="20"/>
                <w:szCs w:val="20"/>
              </w:rPr>
            </w:pPr>
          </w:p>
        </w:tc>
        <w:tc>
          <w:tcPr>
            <w:tcW w:w="2900" w:type="dxa"/>
            <w:tcBorders>
              <w:top w:val="nil"/>
              <w:left w:val="nil"/>
              <w:bottom w:val="nil"/>
              <w:right w:val="nil"/>
            </w:tcBorders>
            <w:shd w:val="clear" w:color="auto" w:fill="auto"/>
            <w:tcMar>
              <w:top w:w="15" w:type="dxa"/>
              <w:left w:w="15" w:type="dxa"/>
              <w:bottom w:w="0" w:type="dxa"/>
              <w:right w:w="15" w:type="dxa"/>
            </w:tcMar>
            <w:vAlign w:val="center"/>
            <w:hideMark/>
          </w:tcPr>
          <w:p w14:paraId="5AFD0B80" w14:textId="77777777" w:rsidR="00EB37AF" w:rsidRPr="00EB37AF" w:rsidRDefault="00EB37AF" w:rsidP="00EB37AF">
            <w:pPr>
              <w:autoSpaceDE/>
              <w:autoSpaceDN/>
              <w:adjustRightInd/>
              <w:spacing w:after="0" w:line="360" w:lineRule="auto"/>
              <w:ind w:firstLine="0"/>
              <w:jc w:val="center"/>
              <w:rPr>
                <w:sz w:val="20"/>
                <w:szCs w:val="20"/>
              </w:rPr>
            </w:pPr>
          </w:p>
        </w:tc>
      </w:tr>
    </w:tbl>
    <w:p w14:paraId="2E68BE64" w14:textId="77777777" w:rsidR="00EB37AF" w:rsidRPr="00EB37AF" w:rsidRDefault="00EB37AF" w:rsidP="00EB37AF">
      <w:pPr>
        <w:autoSpaceDE/>
        <w:autoSpaceDN/>
        <w:adjustRightInd/>
        <w:spacing w:after="0" w:line="360" w:lineRule="auto"/>
        <w:ind w:firstLine="0"/>
        <w:jc w:val="center"/>
        <w:rPr>
          <w:sz w:val="20"/>
          <w:szCs w:val="20"/>
        </w:rPr>
      </w:pPr>
    </w:p>
    <w:p w14:paraId="035CC684" w14:textId="77777777" w:rsidR="00EB37AF" w:rsidRPr="00EB37AF" w:rsidRDefault="00EB37AF" w:rsidP="00EB37AF">
      <w:pPr>
        <w:autoSpaceDE/>
        <w:autoSpaceDN/>
        <w:adjustRightInd/>
        <w:spacing w:after="0" w:line="360" w:lineRule="auto"/>
        <w:ind w:firstLine="0"/>
        <w:jc w:val="center"/>
        <w:rPr>
          <w:sz w:val="20"/>
          <w:szCs w:val="20"/>
        </w:rPr>
      </w:pPr>
    </w:p>
    <w:p w14:paraId="193874AC" w14:textId="77777777" w:rsidR="00EB37AF" w:rsidRPr="00EB37AF" w:rsidRDefault="00EB37AF" w:rsidP="00EB37AF">
      <w:pPr>
        <w:autoSpaceDE/>
        <w:autoSpaceDN/>
        <w:adjustRightInd/>
        <w:spacing w:after="0" w:line="360" w:lineRule="auto"/>
        <w:ind w:firstLine="0"/>
        <w:jc w:val="center"/>
        <w:rPr>
          <w:sz w:val="20"/>
          <w:szCs w:val="20"/>
        </w:rPr>
      </w:pPr>
    </w:p>
    <w:tbl>
      <w:tblPr>
        <w:tblW w:w="8400" w:type="dxa"/>
        <w:tblCellMar>
          <w:left w:w="0" w:type="dxa"/>
          <w:right w:w="0" w:type="dxa"/>
        </w:tblCellMar>
        <w:tblLook w:val="0600" w:firstRow="0" w:lastRow="0" w:firstColumn="0" w:lastColumn="0" w:noHBand="1" w:noVBand="1"/>
      </w:tblPr>
      <w:tblGrid>
        <w:gridCol w:w="1880"/>
        <w:gridCol w:w="2920"/>
        <w:gridCol w:w="920"/>
        <w:gridCol w:w="2680"/>
      </w:tblGrid>
      <w:tr w:rsidR="00EB37AF" w:rsidRPr="00EB37AF" w14:paraId="26B18BCF" w14:textId="77777777" w:rsidTr="00D74DA1">
        <w:trPr>
          <w:trHeight w:val="300"/>
        </w:trPr>
        <w:tc>
          <w:tcPr>
            <w:tcW w:w="18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5E09F3C"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42</w:t>
            </w:r>
          </w:p>
        </w:tc>
        <w:tc>
          <w:tcPr>
            <w:tcW w:w="29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54995D7"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Carbox.2 CV1</w:t>
            </w:r>
          </w:p>
        </w:tc>
        <w:tc>
          <w:tcPr>
            <w:tcW w:w="9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3063929"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0CBD4DB"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Carbox.2 CV2</w:t>
            </w:r>
          </w:p>
        </w:tc>
      </w:tr>
      <w:tr w:rsidR="00EB37AF" w:rsidRPr="00EB37AF" w14:paraId="2E823100" w14:textId="77777777" w:rsidTr="00D74DA1">
        <w:trPr>
          <w:trHeight w:val="300"/>
        </w:trPr>
        <w:tc>
          <w:tcPr>
            <w:tcW w:w="18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44D4B2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29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449236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CV1</w:t>
            </w:r>
          </w:p>
        </w:tc>
        <w:tc>
          <w:tcPr>
            <w:tcW w:w="9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4DFC46E" w14:textId="77777777" w:rsidR="00EB37AF" w:rsidRPr="00EB37AF" w:rsidRDefault="00EB37AF" w:rsidP="00EB37AF">
            <w:pPr>
              <w:autoSpaceDE/>
              <w:autoSpaceDN/>
              <w:adjustRightInd/>
              <w:spacing w:after="0" w:line="360" w:lineRule="auto"/>
              <w:ind w:firstLine="0"/>
              <w:jc w:val="center"/>
              <w:rPr>
                <w:sz w:val="20"/>
                <w:szCs w:val="20"/>
              </w:rPr>
            </w:pPr>
          </w:p>
        </w:tc>
        <w:tc>
          <w:tcPr>
            <w:tcW w:w="26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77F6CE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CV2</w:t>
            </w:r>
          </w:p>
        </w:tc>
      </w:tr>
      <w:tr w:rsidR="00EB37AF" w:rsidRPr="00EB37AF" w14:paraId="56501D68" w14:textId="77777777" w:rsidTr="00D74DA1">
        <w:trPr>
          <w:trHeight w:val="300"/>
        </w:trPr>
        <w:tc>
          <w:tcPr>
            <w:tcW w:w="1880" w:type="dxa"/>
            <w:tcBorders>
              <w:top w:val="nil"/>
              <w:left w:val="nil"/>
              <w:bottom w:val="nil"/>
              <w:right w:val="nil"/>
            </w:tcBorders>
            <w:shd w:val="clear" w:color="auto" w:fill="D6DCE5"/>
            <w:tcMar>
              <w:top w:w="15" w:type="dxa"/>
              <w:left w:w="15" w:type="dxa"/>
              <w:bottom w:w="0" w:type="dxa"/>
              <w:right w:w="15" w:type="dxa"/>
            </w:tcMar>
            <w:vAlign w:val="center"/>
            <w:hideMark/>
          </w:tcPr>
          <w:p w14:paraId="539EA30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2920" w:type="dxa"/>
            <w:tcBorders>
              <w:top w:val="nil"/>
              <w:left w:val="nil"/>
              <w:bottom w:val="nil"/>
              <w:right w:val="nil"/>
            </w:tcBorders>
            <w:shd w:val="clear" w:color="auto" w:fill="D6DCE5"/>
            <w:tcMar>
              <w:top w:w="15" w:type="dxa"/>
              <w:left w:w="15" w:type="dxa"/>
              <w:bottom w:w="0" w:type="dxa"/>
              <w:right w:w="15" w:type="dxa"/>
            </w:tcMar>
            <w:vAlign w:val="center"/>
            <w:hideMark/>
          </w:tcPr>
          <w:p w14:paraId="07E0BE6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31,3</w:t>
            </w:r>
          </w:p>
        </w:tc>
        <w:tc>
          <w:tcPr>
            <w:tcW w:w="920" w:type="dxa"/>
            <w:tcBorders>
              <w:top w:val="nil"/>
              <w:left w:val="nil"/>
              <w:bottom w:val="nil"/>
              <w:right w:val="nil"/>
            </w:tcBorders>
            <w:shd w:val="clear" w:color="auto" w:fill="D6DCE5"/>
            <w:tcMar>
              <w:top w:w="15" w:type="dxa"/>
              <w:left w:w="15" w:type="dxa"/>
              <w:bottom w:w="0" w:type="dxa"/>
              <w:right w:w="15" w:type="dxa"/>
            </w:tcMar>
            <w:vAlign w:val="center"/>
            <w:hideMark/>
          </w:tcPr>
          <w:p w14:paraId="53F42E42" w14:textId="77777777" w:rsidR="00EB37AF" w:rsidRPr="00EB37AF" w:rsidRDefault="00EB37AF" w:rsidP="00EB37AF">
            <w:pPr>
              <w:autoSpaceDE/>
              <w:autoSpaceDN/>
              <w:adjustRightInd/>
              <w:spacing w:after="0" w:line="360" w:lineRule="auto"/>
              <w:ind w:firstLine="0"/>
              <w:jc w:val="center"/>
              <w:rPr>
                <w:sz w:val="20"/>
                <w:szCs w:val="20"/>
              </w:rPr>
            </w:pPr>
          </w:p>
        </w:tc>
        <w:tc>
          <w:tcPr>
            <w:tcW w:w="2680" w:type="dxa"/>
            <w:tcBorders>
              <w:top w:val="nil"/>
              <w:left w:val="nil"/>
              <w:bottom w:val="nil"/>
              <w:right w:val="nil"/>
            </w:tcBorders>
            <w:shd w:val="clear" w:color="auto" w:fill="D6DCE5"/>
            <w:tcMar>
              <w:top w:w="15" w:type="dxa"/>
              <w:left w:w="15" w:type="dxa"/>
              <w:bottom w:w="0" w:type="dxa"/>
              <w:right w:w="15" w:type="dxa"/>
            </w:tcMar>
            <w:vAlign w:val="center"/>
            <w:hideMark/>
          </w:tcPr>
          <w:p w14:paraId="599F7B7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43,3</w:t>
            </w:r>
          </w:p>
        </w:tc>
      </w:tr>
      <w:tr w:rsidR="00EB37AF" w:rsidRPr="00EB37AF" w14:paraId="3C58B769" w14:textId="77777777" w:rsidTr="00D74DA1">
        <w:trPr>
          <w:trHeight w:val="300"/>
        </w:trPr>
        <w:tc>
          <w:tcPr>
            <w:tcW w:w="1880" w:type="dxa"/>
            <w:tcBorders>
              <w:top w:val="nil"/>
              <w:left w:val="nil"/>
              <w:bottom w:val="nil"/>
              <w:right w:val="nil"/>
            </w:tcBorders>
            <w:shd w:val="clear" w:color="auto" w:fill="auto"/>
            <w:tcMar>
              <w:top w:w="15" w:type="dxa"/>
              <w:left w:w="15" w:type="dxa"/>
              <w:bottom w:w="0" w:type="dxa"/>
              <w:right w:w="15" w:type="dxa"/>
            </w:tcMar>
            <w:vAlign w:val="center"/>
            <w:hideMark/>
          </w:tcPr>
          <w:p w14:paraId="5A84F9D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2920" w:type="dxa"/>
            <w:tcBorders>
              <w:top w:val="nil"/>
              <w:left w:val="nil"/>
              <w:bottom w:val="nil"/>
              <w:right w:val="nil"/>
            </w:tcBorders>
            <w:shd w:val="clear" w:color="auto" w:fill="auto"/>
            <w:tcMar>
              <w:top w:w="15" w:type="dxa"/>
              <w:left w:w="15" w:type="dxa"/>
              <w:bottom w:w="0" w:type="dxa"/>
              <w:right w:w="15" w:type="dxa"/>
            </w:tcMar>
            <w:vAlign w:val="center"/>
            <w:hideMark/>
          </w:tcPr>
          <w:p w14:paraId="3A70BB5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0,03</w:t>
            </w:r>
          </w:p>
        </w:tc>
        <w:tc>
          <w:tcPr>
            <w:tcW w:w="920" w:type="dxa"/>
            <w:tcBorders>
              <w:top w:val="nil"/>
              <w:left w:val="nil"/>
              <w:bottom w:val="nil"/>
              <w:right w:val="nil"/>
            </w:tcBorders>
            <w:shd w:val="clear" w:color="auto" w:fill="auto"/>
            <w:tcMar>
              <w:top w:w="15" w:type="dxa"/>
              <w:left w:w="15" w:type="dxa"/>
              <w:bottom w:w="0" w:type="dxa"/>
              <w:right w:w="15" w:type="dxa"/>
            </w:tcMar>
            <w:vAlign w:val="center"/>
            <w:hideMark/>
          </w:tcPr>
          <w:p w14:paraId="11D0C2F8" w14:textId="77777777" w:rsidR="00EB37AF" w:rsidRPr="00EB37AF" w:rsidRDefault="00EB37AF" w:rsidP="00EB37AF">
            <w:pPr>
              <w:autoSpaceDE/>
              <w:autoSpaceDN/>
              <w:adjustRightInd/>
              <w:spacing w:after="0" w:line="360" w:lineRule="auto"/>
              <w:ind w:firstLine="0"/>
              <w:jc w:val="center"/>
              <w:rPr>
                <w:sz w:val="20"/>
                <w:szCs w:val="20"/>
              </w:rPr>
            </w:pPr>
          </w:p>
        </w:tc>
        <w:tc>
          <w:tcPr>
            <w:tcW w:w="2680" w:type="dxa"/>
            <w:tcBorders>
              <w:top w:val="nil"/>
              <w:left w:val="nil"/>
              <w:bottom w:val="nil"/>
              <w:right w:val="nil"/>
            </w:tcBorders>
            <w:shd w:val="clear" w:color="auto" w:fill="auto"/>
            <w:tcMar>
              <w:top w:w="15" w:type="dxa"/>
              <w:left w:w="15" w:type="dxa"/>
              <w:bottom w:w="0" w:type="dxa"/>
              <w:right w:w="15" w:type="dxa"/>
            </w:tcMar>
            <w:vAlign w:val="center"/>
            <w:hideMark/>
          </w:tcPr>
          <w:p w14:paraId="10D451F4" w14:textId="77777777" w:rsidR="00EB37AF" w:rsidRPr="00EB37AF" w:rsidRDefault="00EB37AF" w:rsidP="00EB37AF">
            <w:pPr>
              <w:autoSpaceDE/>
              <w:autoSpaceDN/>
              <w:adjustRightInd/>
              <w:spacing w:after="0" w:line="360" w:lineRule="auto"/>
              <w:ind w:firstLine="0"/>
              <w:jc w:val="center"/>
              <w:rPr>
                <w:sz w:val="20"/>
                <w:szCs w:val="20"/>
              </w:rPr>
            </w:pPr>
          </w:p>
        </w:tc>
      </w:tr>
    </w:tbl>
    <w:p w14:paraId="328112B5" w14:textId="77777777" w:rsidR="00EB37AF" w:rsidRPr="00EB37AF" w:rsidRDefault="00EB37AF" w:rsidP="00EB37AF">
      <w:pPr>
        <w:autoSpaceDE/>
        <w:autoSpaceDN/>
        <w:adjustRightInd/>
        <w:spacing w:after="0" w:line="360" w:lineRule="auto"/>
        <w:ind w:firstLine="0"/>
        <w:jc w:val="center"/>
        <w:rPr>
          <w:sz w:val="20"/>
          <w:szCs w:val="20"/>
        </w:rPr>
      </w:pPr>
    </w:p>
    <w:tbl>
      <w:tblPr>
        <w:tblW w:w="8300" w:type="dxa"/>
        <w:tblCellMar>
          <w:left w:w="0" w:type="dxa"/>
          <w:right w:w="0" w:type="dxa"/>
        </w:tblCellMar>
        <w:tblLook w:val="0600" w:firstRow="0" w:lastRow="0" w:firstColumn="0" w:lastColumn="0" w:noHBand="1" w:noVBand="1"/>
      </w:tblPr>
      <w:tblGrid>
        <w:gridCol w:w="1900"/>
        <w:gridCol w:w="3060"/>
        <w:gridCol w:w="640"/>
        <w:gridCol w:w="2700"/>
      </w:tblGrid>
      <w:tr w:rsidR="00EB37AF" w:rsidRPr="00EB37AF" w14:paraId="6FC9C126" w14:textId="77777777" w:rsidTr="00D74DA1">
        <w:trPr>
          <w:trHeight w:val="300"/>
        </w:trPr>
        <w:tc>
          <w:tcPr>
            <w:tcW w:w="19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CB7823F"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43</w:t>
            </w:r>
          </w:p>
        </w:tc>
        <w:tc>
          <w:tcPr>
            <w:tcW w:w="3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70C723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1/CV1</w:t>
            </w:r>
          </w:p>
        </w:tc>
        <w:tc>
          <w:tcPr>
            <w:tcW w:w="6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386A53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7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F7BE9EC"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1 CV2</w:t>
            </w:r>
          </w:p>
        </w:tc>
      </w:tr>
      <w:tr w:rsidR="00EB37AF" w:rsidRPr="00EB37AF" w14:paraId="55F53514" w14:textId="77777777" w:rsidTr="00D74DA1">
        <w:trPr>
          <w:trHeight w:val="300"/>
        </w:trPr>
        <w:tc>
          <w:tcPr>
            <w:tcW w:w="19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A03B46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B2CDF4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CV1</w:t>
            </w:r>
          </w:p>
        </w:tc>
        <w:tc>
          <w:tcPr>
            <w:tcW w:w="6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37FB843" w14:textId="77777777" w:rsidR="00EB37AF" w:rsidRPr="00EB37AF" w:rsidRDefault="00EB37AF" w:rsidP="00EB37AF">
            <w:pPr>
              <w:autoSpaceDE/>
              <w:autoSpaceDN/>
              <w:adjustRightInd/>
              <w:spacing w:after="0" w:line="360" w:lineRule="auto"/>
              <w:ind w:firstLine="0"/>
              <w:jc w:val="center"/>
              <w:rPr>
                <w:sz w:val="20"/>
                <w:szCs w:val="20"/>
              </w:rPr>
            </w:pPr>
          </w:p>
        </w:tc>
        <w:tc>
          <w:tcPr>
            <w:tcW w:w="27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5CC9EC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CV2</w:t>
            </w:r>
          </w:p>
        </w:tc>
      </w:tr>
      <w:tr w:rsidR="00EB37AF" w:rsidRPr="00EB37AF" w14:paraId="49D68C31" w14:textId="77777777" w:rsidTr="00D74DA1">
        <w:trPr>
          <w:trHeight w:val="300"/>
        </w:trPr>
        <w:tc>
          <w:tcPr>
            <w:tcW w:w="1900" w:type="dxa"/>
            <w:tcBorders>
              <w:top w:val="nil"/>
              <w:left w:val="nil"/>
              <w:bottom w:val="nil"/>
              <w:right w:val="nil"/>
            </w:tcBorders>
            <w:shd w:val="clear" w:color="auto" w:fill="D6DCE5"/>
            <w:tcMar>
              <w:top w:w="15" w:type="dxa"/>
              <w:left w:w="15" w:type="dxa"/>
              <w:bottom w:w="0" w:type="dxa"/>
              <w:right w:w="15" w:type="dxa"/>
            </w:tcMar>
            <w:vAlign w:val="center"/>
            <w:hideMark/>
          </w:tcPr>
          <w:p w14:paraId="3B021DD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060" w:type="dxa"/>
            <w:tcBorders>
              <w:top w:val="nil"/>
              <w:left w:val="nil"/>
              <w:bottom w:val="nil"/>
              <w:right w:val="nil"/>
            </w:tcBorders>
            <w:shd w:val="clear" w:color="auto" w:fill="D6DCE5"/>
            <w:tcMar>
              <w:top w:w="15" w:type="dxa"/>
              <w:left w:w="15" w:type="dxa"/>
              <w:bottom w:w="0" w:type="dxa"/>
              <w:right w:w="15" w:type="dxa"/>
            </w:tcMar>
            <w:vAlign w:val="center"/>
            <w:hideMark/>
          </w:tcPr>
          <w:p w14:paraId="5B40090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14,9</w:t>
            </w:r>
          </w:p>
        </w:tc>
        <w:tc>
          <w:tcPr>
            <w:tcW w:w="640" w:type="dxa"/>
            <w:tcBorders>
              <w:top w:val="nil"/>
              <w:left w:val="nil"/>
              <w:bottom w:val="nil"/>
              <w:right w:val="nil"/>
            </w:tcBorders>
            <w:shd w:val="clear" w:color="auto" w:fill="D6DCE5"/>
            <w:tcMar>
              <w:top w:w="15" w:type="dxa"/>
              <w:left w:w="15" w:type="dxa"/>
              <w:bottom w:w="0" w:type="dxa"/>
              <w:right w:w="15" w:type="dxa"/>
            </w:tcMar>
            <w:vAlign w:val="center"/>
            <w:hideMark/>
          </w:tcPr>
          <w:p w14:paraId="42A6A99B" w14:textId="77777777" w:rsidR="00EB37AF" w:rsidRPr="00EB37AF" w:rsidRDefault="00EB37AF" w:rsidP="00EB37AF">
            <w:pPr>
              <w:autoSpaceDE/>
              <w:autoSpaceDN/>
              <w:adjustRightInd/>
              <w:spacing w:after="0" w:line="360" w:lineRule="auto"/>
              <w:ind w:firstLine="0"/>
              <w:jc w:val="center"/>
              <w:rPr>
                <w:sz w:val="20"/>
                <w:szCs w:val="20"/>
              </w:rPr>
            </w:pPr>
          </w:p>
        </w:tc>
        <w:tc>
          <w:tcPr>
            <w:tcW w:w="2700" w:type="dxa"/>
            <w:tcBorders>
              <w:top w:val="nil"/>
              <w:left w:val="nil"/>
              <w:bottom w:val="nil"/>
              <w:right w:val="nil"/>
            </w:tcBorders>
            <w:shd w:val="clear" w:color="auto" w:fill="D6DCE5"/>
            <w:tcMar>
              <w:top w:w="15" w:type="dxa"/>
              <w:left w:w="15" w:type="dxa"/>
              <w:bottom w:w="0" w:type="dxa"/>
              <w:right w:w="15" w:type="dxa"/>
            </w:tcMar>
            <w:vAlign w:val="center"/>
            <w:hideMark/>
          </w:tcPr>
          <w:p w14:paraId="0EC5804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24,7</w:t>
            </w:r>
          </w:p>
        </w:tc>
      </w:tr>
      <w:tr w:rsidR="00EB37AF" w:rsidRPr="00EB37AF" w14:paraId="74FC0BA1" w14:textId="77777777" w:rsidTr="00D74DA1">
        <w:trPr>
          <w:trHeight w:val="300"/>
        </w:trPr>
        <w:tc>
          <w:tcPr>
            <w:tcW w:w="1900" w:type="dxa"/>
            <w:tcBorders>
              <w:top w:val="nil"/>
              <w:left w:val="nil"/>
              <w:bottom w:val="nil"/>
              <w:right w:val="nil"/>
            </w:tcBorders>
            <w:shd w:val="clear" w:color="auto" w:fill="auto"/>
            <w:tcMar>
              <w:top w:w="15" w:type="dxa"/>
              <w:left w:w="15" w:type="dxa"/>
              <w:bottom w:w="0" w:type="dxa"/>
              <w:right w:w="15" w:type="dxa"/>
            </w:tcMar>
            <w:vAlign w:val="center"/>
            <w:hideMark/>
          </w:tcPr>
          <w:p w14:paraId="46CD055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060" w:type="dxa"/>
            <w:tcBorders>
              <w:top w:val="nil"/>
              <w:left w:val="nil"/>
              <w:bottom w:val="nil"/>
              <w:right w:val="nil"/>
            </w:tcBorders>
            <w:shd w:val="clear" w:color="auto" w:fill="auto"/>
            <w:tcMar>
              <w:top w:w="15" w:type="dxa"/>
              <w:left w:w="15" w:type="dxa"/>
              <w:bottom w:w="0" w:type="dxa"/>
              <w:right w:w="15" w:type="dxa"/>
            </w:tcMar>
            <w:vAlign w:val="center"/>
            <w:hideMark/>
          </w:tcPr>
          <w:p w14:paraId="42520C9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0,0003</w:t>
            </w:r>
          </w:p>
        </w:tc>
        <w:tc>
          <w:tcPr>
            <w:tcW w:w="640" w:type="dxa"/>
            <w:tcBorders>
              <w:top w:val="nil"/>
              <w:left w:val="nil"/>
              <w:bottom w:val="nil"/>
              <w:right w:val="nil"/>
            </w:tcBorders>
            <w:shd w:val="clear" w:color="auto" w:fill="auto"/>
            <w:tcMar>
              <w:top w:w="15" w:type="dxa"/>
              <w:left w:w="15" w:type="dxa"/>
              <w:bottom w:w="0" w:type="dxa"/>
              <w:right w:w="15" w:type="dxa"/>
            </w:tcMar>
            <w:vAlign w:val="center"/>
            <w:hideMark/>
          </w:tcPr>
          <w:p w14:paraId="60BA6CC6" w14:textId="77777777" w:rsidR="00EB37AF" w:rsidRPr="00EB37AF" w:rsidRDefault="00EB37AF" w:rsidP="00EB37AF">
            <w:pPr>
              <w:autoSpaceDE/>
              <w:autoSpaceDN/>
              <w:adjustRightInd/>
              <w:spacing w:after="0" w:line="360" w:lineRule="auto"/>
              <w:ind w:firstLine="0"/>
              <w:jc w:val="center"/>
              <w:rPr>
                <w:sz w:val="20"/>
                <w:szCs w:val="20"/>
              </w:rPr>
            </w:pPr>
          </w:p>
        </w:tc>
        <w:tc>
          <w:tcPr>
            <w:tcW w:w="2700" w:type="dxa"/>
            <w:tcBorders>
              <w:top w:val="nil"/>
              <w:left w:val="nil"/>
              <w:bottom w:val="nil"/>
              <w:right w:val="nil"/>
            </w:tcBorders>
            <w:shd w:val="clear" w:color="auto" w:fill="auto"/>
            <w:tcMar>
              <w:top w:w="15" w:type="dxa"/>
              <w:left w:w="15" w:type="dxa"/>
              <w:bottom w:w="0" w:type="dxa"/>
              <w:right w:w="15" w:type="dxa"/>
            </w:tcMar>
            <w:vAlign w:val="center"/>
            <w:hideMark/>
          </w:tcPr>
          <w:p w14:paraId="6AEBD94B" w14:textId="77777777" w:rsidR="00EB37AF" w:rsidRPr="00EB37AF" w:rsidRDefault="00EB37AF" w:rsidP="00EB37AF">
            <w:pPr>
              <w:autoSpaceDE/>
              <w:autoSpaceDN/>
              <w:adjustRightInd/>
              <w:spacing w:after="0" w:line="360" w:lineRule="auto"/>
              <w:ind w:firstLine="0"/>
              <w:jc w:val="center"/>
              <w:rPr>
                <w:sz w:val="20"/>
                <w:szCs w:val="20"/>
              </w:rPr>
            </w:pPr>
          </w:p>
        </w:tc>
      </w:tr>
    </w:tbl>
    <w:p w14:paraId="04570339" w14:textId="77777777" w:rsidR="00EB37AF" w:rsidRPr="00EB37AF" w:rsidRDefault="00EB37AF" w:rsidP="00EB37AF">
      <w:pPr>
        <w:autoSpaceDE/>
        <w:autoSpaceDN/>
        <w:adjustRightInd/>
        <w:spacing w:after="0" w:line="360" w:lineRule="auto"/>
        <w:ind w:firstLine="0"/>
        <w:jc w:val="center"/>
        <w:rPr>
          <w:sz w:val="20"/>
          <w:szCs w:val="20"/>
        </w:rPr>
      </w:pPr>
    </w:p>
    <w:tbl>
      <w:tblPr>
        <w:tblW w:w="8360" w:type="dxa"/>
        <w:tblCellMar>
          <w:left w:w="0" w:type="dxa"/>
          <w:right w:w="0" w:type="dxa"/>
        </w:tblCellMar>
        <w:tblLook w:val="0600" w:firstRow="0" w:lastRow="0" w:firstColumn="0" w:lastColumn="0" w:noHBand="1" w:noVBand="1"/>
      </w:tblPr>
      <w:tblGrid>
        <w:gridCol w:w="1940"/>
        <w:gridCol w:w="3080"/>
        <w:gridCol w:w="540"/>
        <w:gridCol w:w="2800"/>
      </w:tblGrid>
      <w:tr w:rsidR="00EB37AF" w:rsidRPr="00EB37AF" w14:paraId="6770AEBC"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9234C32"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44</w:t>
            </w:r>
          </w:p>
        </w:tc>
        <w:tc>
          <w:tcPr>
            <w:tcW w:w="3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A2ECD4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1/CV1</w:t>
            </w:r>
          </w:p>
        </w:tc>
        <w:tc>
          <w:tcPr>
            <w:tcW w:w="5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0857EE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80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C62054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Carbox.1 CV2</w:t>
            </w:r>
          </w:p>
        </w:tc>
      </w:tr>
      <w:tr w:rsidR="00EB37AF" w:rsidRPr="00EB37AF" w14:paraId="66AAFEA2" w14:textId="77777777" w:rsidTr="00D74DA1">
        <w:trPr>
          <w:trHeight w:val="30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8EC428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AC0316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CV1</w:t>
            </w:r>
          </w:p>
        </w:tc>
        <w:tc>
          <w:tcPr>
            <w:tcW w:w="5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A33C40F" w14:textId="77777777" w:rsidR="00EB37AF" w:rsidRPr="00EB37AF" w:rsidRDefault="00EB37AF" w:rsidP="00EB37AF">
            <w:pPr>
              <w:autoSpaceDE/>
              <w:autoSpaceDN/>
              <w:adjustRightInd/>
              <w:spacing w:after="0" w:line="360" w:lineRule="auto"/>
              <w:ind w:firstLine="0"/>
              <w:jc w:val="center"/>
              <w:rPr>
                <w:sz w:val="20"/>
                <w:szCs w:val="20"/>
              </w:rPr>
            </w:pPr>
          </w:p>
        </w:tc>
        <w:tc>
          <w:tcPr>
            <w:tcW w:w="28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EF5618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CV2</w:t>
            </w:r>
          </w:p>
        </w:tc>
      </w:tr>
      <w:tr w:rsidR="00EB37AF" w:rsidRPr="00EB37AF" w14:paraId="0FE85E2E"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48F78C7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080" w:type="dxa"/>
            <w:tcBorders>
              <w:top w:val="nil"/>
              <w:left w:val="nil"/>
              <w:bottom w:val="nil"/>
              <w:right w:val="nil"/>
            </w:tcBorders>
            <w:shd w:val="clear" w:color="auto" w:fill="D6DCE5"/>
            <w:tcMar>
              <w:top w:w="15" w:type="dxa"/>
              <w:left w:w="15" w:type="dxa"/>
              <w:bottom w:w="0" w:type="dxa"/>
              <w:right w:w="15" w:type="dxa"/>
            </w:tcMar>
            <w:vAlign w:val="center"/>
            <w:hideMark/>
          </w:tcPr>
          <w:p w14:paraId="5BD424C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12,1</w:t>
            </w:r>
          </w:p>
        </w:tc>
        <w:tc>
          <w:tcPr>
            <w:tcW w:w="540" w:type="dxa"/>
            <w:tcBorders>
              <w:top w:val="nil"/>
              <w:left w:val="nil"/>
              <w:bottom w:val="nil"/>
              <w:right w:val="nil"/>
            </w:tcBorders>
            <w:shd w:val="clear" w:color="auto" w:fill="D6DCE5"/>
            <w:tcMar>
              <w:top w:w="15" w:type="dxa"/>
              <w:left w:w="15" w:type="dxa"/>
              <w:bottom w:w="0" w:type="dxa"/>
              <w:right w:w="15" w:type="dxa"/>
            </w:tcMar>
            <w:vAlign w:val="center"/>
            <w:hideMark/>
          </w:tcPr>
          <w:p w14:paraId="749453BD" w14:textId="77777777" w:rsidR="00EB37AF" w:rsidRPr="00EB37AF" w:rsidRDefault="00EB37AF" w:rsidP="00EB37AF">
            <w:pPr>
              <w:autoSpaceDE/>
              <w:autoSpaceDN/>
              <w:adjustRightInd/>
              <w:spacing w:after="0" w:line="360" w:lineRule="auto"/>
              <w:ind w:firstLine="0"/>
              <w:jc w:val="center"/>
              <w:rPr>
                <w:sz w:val="20"/>
                <w:szCs w:val="20"/>
              </w:rPr>
            </w:pPr>
          </w:p>
        </w:tc>
        <w:tc>
          <w:tcPr>
            <w:tcW w:w="2800" w:type="dxa"/>
            <w:tcBorders>
              <w:top w:val="nil"/>
              <w:left w:val="nil"/>
              <w:bottom w:val="nil"/>
              <w:right w:val="nil"/>
            </w:tcBorders>
            <w:shd w:val="clear" w:color="auto" w:fill="D6DCE5"/>
            <w:tcMar>
              <w:top w:w="15" w:type="dxa"/>
              <w:left w:w="15" w:type="dxa"/>
              <w:bottom w:w="0" w:type="dxa"/>
              <w:right w:w="15" w:type="dxa"/>
            </w:tcMar>
            <w:vAlign w:val="center"/>
            <w:hideMark/>
          </w:tcPr>
          <w:p w14:paraId="795D6B4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22,6</w:t>
            </w:r>
          </w:p>
        </w:tc>
      </w:tr>
      <w:tr w:rsidR="00EB37AF" w:rsidRPr="00EB37AF" w14:paraId="2A9AF814"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6071BBC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080" w:type="dxa"/>
            <w:tcBorders>
              <w:top w:val="nil"/>
              <w:left w:val="nil"/>
              <w:bottom w:val="nil"/>
              <w:right w:val="nil"/>
            </w:tcBorders>
            <w:shd w:val="clear" w:color="auto" w:fill="auto"/>
            <w:tcMar>
              <w:top w:w="15" w:type="dxa"/>
              <w:left w:w="15" w:type="dxa"/>
              <w:bottom w:w="0" w:type="dxa"/>
              <w:right w:w="15" w:type="dxa"/>
            </w:tcMar>
            <w:vAlign w:val="center"/>
            <w:hideMark/>
          </w:tcPr>
          <w:p w14:paraId="063E0D4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0,0003</w:t>
            </w:r>
          </w:p>
        </w:tc>
        <w:tc>
          <w:tcPr>
            <w:tcW w:w="540" w:type="dxa"/>
            <w:tcBorders>
              <w:top w:val="nil"/>
              <w:left w:val="nil"/>
              <w:bottom w:val="nil"/>
              <w:right w:val="nil"/>
            </w:tcBorders>
            <w:shd w:val="clear" w:color="auto" w:fill="auto"/>
            <w:tcMar>
              <w:top w:w="15" w:type="dxa"/>
              <w:left w:w="15" w:type="dxa"/>
              <w:bottom w:w="0" w:type="dxa"/>
              <w:right w:w="15" w:type="dxa"/>
            </w:tcMar>
            <w:vAlign w:val="center"/>
            <w:hideMark/>
          </w:tcPr>
          <w:p w14:paraId="158F1410" w14:textId="77777777" w:rsidR="00EB37AF" w:rsidRPr="00EB37AF" w:rsidRDefault="00EB37AF" w:rsidP="00EB37AF">
            <w:pPr>
              <w:autoSpaceDE/>
              <w:autoSpaceDN/>
              <w:adjustRightInd/>
              <w:spacing w:after="0" w:line="360" w:lineRule="auto"/>
              <w:ind w:firstLine="0"/>
              <w:jc w:val="center"/>
              <w:rPr>
                <w:sz w:val="20"/>
                <w:szCs w:val="20"/>
              </w:rPr>
            </w:pPr>
          </w:p>
        </w:tc>
        <w:tc>
          <w:tcPr>
            <w:tcW w:w="2800" w:type="dxa"/>
            <w:tcBorders>
              <w:top w:val="nil"/>
              <w:left w:val="nil"/>
              <w:bottom w:val="nil"/>
              <w:right w:val="nil"/>
            </w:tcBorders>
            <w:shd w:val="clear" w:color="auto" w:fill="auto"/>
            <w:tcMar>
              <w:top w:w="15" w:type="dxa"/>
              <w:left w:w="15" w:type="dxa"/>
              <w:bottom w:w="0" w:type="dxa"/>
              <w:right w:w="15" w:type="dxa"/>
            </w:tcMar>
            <w:vAlign w:val="center"/>
            <w:hideMark/>
          </w:tcPr>
          <w:p w14:paraId="2D016C0D" w14:textId="77777777" w:rsidR="00EB37AF" w:rsidRPr="00EB37AF" w:rsidRDefault="00EB37AF" w:rsidP="00EB37AF">
            <w:pPr>
              <w:autoSpaceDE/>
              <w:autoSpaceDN/>
              <w:adjustRightInd/>
              <w:spacing w:after="0" w:line="360" w:lineRule="auto"/>
              <w:ind w:firstLine="0"/>
              <w:jc w:val="center"/>
              <w:rPr>
                <w:sz w:val="20"/>
                <w:szCs w:val="20"/>
              </w:rPr>
            </w:pPr>
          </w:p>
        </w:tc>
      </w:tr>
    </w:tbl>
    <w:p w14:paraId="162BEA70" w14:textId="77777777" w:rsidR="00EB37AF" w:rsidRPr="00EB37AF" w:rsidRDefault="00EB37AF" w:rsidP="00EB37AF">
      <w:pPr>
        <w:autoSpaceDE/>
        <w:autoSpaceDN/>
        <w:adjustRightInd/>
        <w:spacing w:after="0" w:line="360" w:lineRule="auto"/>
        <w:ind w:firstLine="0"/>
        <w:jc w:val="center"/>
        <w:rPr>
          <w:sz w:val="20"/>
          <w:szCs w:val="20"/>
        </w:rPr>
      </w:pPr>
    </w:p>
    <w:tbl>
      <w:tblPr>
        <w:tblW w:w="8340" w:type="dxa"/>
        <w:tblCellMar>
          <w:left w:w="0" w:type="dxa"/>
          <w:right w:w="0" w:type="dxa"/>
        </w:tblCellMar>
        <w:tblLook w:val="0600" w:firstRow="0" w:lastRow="0" w:firstColumn="0" w:lastColumn="0" w:noHBand="1" w:noVBand="1"/>
      </w:tblPr>
      <w:tblGrid>
        <w:gridCol w:w="1945"/>
        <w:gridCol w:w="3047"/>
        <w:gridCol w:w="682"/>
        <w:gridCol w:w="2666"/>
      </w:tblGrid>
      <w:tr w:rsidR="00EB37AF" w:rsidRPr="00EB37AF" w14:paraId="38E6BC7A"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DCD95FE"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45</w:t>
            </w:r>
          </w:p>
        </w:tc>
        <w:tc>
          <w:tcPr>
            <w:tcW w:w="30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2FFF9CE"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2/CV1</w:t>
            </w:r>
          </w:p>
        </w:tc>
        <w:tc>
          <w:tcPr>
            <w:tcW w:w="6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11F271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32B22E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2/CV2</w:t>
            </w:r>
          </w:p>
        </w:tc>
      </w:tr>
      <w:tr w:rsidR="00EB37AF" w:rsidRPr="00EB37AF" w14:paraId="0F80642E" w14:textId="77777777" w:rsidTr="00D74DA1">
        <w:trPr>
          <w:trHeight w:val="30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6D975E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0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F8BFF3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CV1</w:t>
            </w:r>
          </w:p>
        </w:tc>
        <w:tc>
          <w:tcPr>
            <w:tcW w:w="6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8CBEACE" w14:textId="77777777" w:rsidR="00EB37AF" w:rsidRPr="00EB37AF" w:rsidRDefault="00EB37AF" w:rsidP="00EB37AF">
            <w:pPr>
              <w:autoSpaceDE/>
              <w:autoSpaceDN/>
              <w:adjustRightInd/>
              <w:spacing w:after="0" w:line="360" w:lineRule="auto"/>
              <w:ind w:firstLine="0"/>
              <w:jc w:val="center"/>
              <w:rPr>
                <w:sz w:val="20"/>
                <w:szCs w:val="20"/>
              </w:rPr>
            </w:pPr>
          </w:p>
        </w:tc>
        <w:tc>
          <w:tcPr>
            <w:tcW w:w="26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1FBAF4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CV2</w:t>
            </w:r>
          </w:p>
        </w:tc>
      </w:tr>
      <w:tr w:rsidR="00EB37AF" w:rsidRPr="00EB37AF" w14:paraId="08A69B89"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4B8FF85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040" w:type="dxa"/>
            <w:tcBorders>
              <w:top w:val="nil"/>
              <w:left w:val="nil"/>
              <w:bottom w:val="nil"/>
              <w:right w:val="nil"/>
            </w:tcBorders>
            <w:shd w:val="clear" w:color="auto" w:fill="D6DCE5"/>
            <w:tcMar>
              <w:top w:w="15" w:type="dxa"/>
              <w:left w:w="15" w:type="dxa"/>
              <w:bottom w:w="0" w:type="dxa"/>
              <w:right w:w="15" w:type="dxa"/>
            </w:tcMar>
            <w:vAlign w:val="center"/>
            <w:hideMark/>
          </w:tcPr>
          <w:p w14:paraId="6D366A2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30,8</w:t>
            </w:r>
          </w:p>
        </w:tc>
        <w:tc>
          <w:tcPr>
            <w:tcW w:w="680" w:type="dxa"/>
            <w:tcBorders>
              <w:top w:val="nil"/>
              <w:left w:val="nil"/>
              <w:bottom w:val="nil"/>
              <w:right w:val="nil"/>
            </w:tcBorders>
            <w:shd w:val="clear" w:color="auto" w:fill="D6DCE5"/>
            <w:tcMar>
              <w:top w:w="15" w:type="dxa"/>
              <w:left w:w="15" w:type="dxa"/>
              <w:bottom w:w="0" w:type="dxa"/>
              <w:right w:w="15" w:type="dxa"/>
            </w:tcMar>
            <w:vAlign w:val="center"/>
            <w:hideMark/>
          </w:tcPr>
          <w:p w14:paraId="5B9370D9" w14:textId="77777777" w:rsidR="00EB37AF" w:rsidRPr="00EB37AF" w:rsidRDefault="00EB37AF" w:rsidP="00EB37AF">
            <w:pPr>
              <w:autoSpaceDE/>
              <w:autoSpaceDN/>
              <w:adjustRightInd/>
              <w:spacing w:after="0" w:line="360" w:lineRule="auto"/>
              <w:ind w:firstLine="0"/>
              <w:jc w:val="center"/>
              <w:rPr>
                <w:sz w:val="20"/>
                <w:szCs w:val="20"/>
              </w:rPr>
            </w:pPr>
          </w:p>
        </w:tc>
        <w:tc>
          <w:tcPr>
            <w:tcW w:w="2660" w:type="dxa"/>
            <w:tcBorders>
              <w:top w:val="nil"/>
              <w:left w:val="nil"/>
              <w:bottom w:val="nil"/>
              <w:right w:val="nil"/>
            </w:tcBorders>
            <w:shd w:val="clear" w:color="auto" w:fill="D6DCE5"/>
            <w:tcMar>
              <w:top w:w="15" w:type="dxa"/>
              <w:left w:w="15" w:type="dxa"/>
              <w:bottom w:w="0" w:type="dxa"/>
              <w:right w:w="15" w:type="dxa"/>
            </w:tcMar>
            <w:vAlign w:val="center"/>
            <w:hideMark/>
          </w:tcPr>
          <w:p w14:paraId="425D197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45,3</w:t>
            </w:r>
          </w:p>
        </w:tc>
      </w:tr>
      <w:tr w:rsidR="00EB37AF" w:rsidRPr="00EB37AF" w14:paraId="2DDD4D49"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7AA99E2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040" w:type="dxa"/>
            <w:tcBorders>
              <w:top w:val="nil"/>
              <w:left w:val="nil"/>
              <w:bottom w:val="nil"/>
              <w:right w:val="nil"/>
            </w:tcBorders>
            <w:shd w:val="clear" w:color="auto" w:fill="auto"/>
            <w:tcMar>
              <w:top w:w="15" w:type="dxa"/>
              <w:left w:w="15" w:type="dxa"/>
              <w:bottom w:w="0" w:type="dxa"/>
              <w:right w:w="15" w:type="dxa"/>
            </w:tcMar>
            <w:vAlign w:val="center"/>
            <w:hideMark/>
          </w:tcPr>
          <w:p w14:paraId="5826022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0,0003</w:t>
            </w:r>
          </w:p>
        </w:tc>
        <w:tc>
          <w:tcPr>
            <w:tcW w:w="680" w:type="dxa"/>
            <w:tcBorders>
              <w:top w:val="nil"/>
              <w:left w:val="nil"/>
              <w:bottom w:val="nil"/>
              <w:right w:val="nil"/>
            </w:tcBorders>
            <w:shd w:val="clear" w:color="auto" w:fill="auto"/>
            <w:tcMar>
              <w:top w:w="15" w:type="dxa"/>
              <w:left w:w="15" w:type="dxa"/>
              <w:bottom w:w="0" w:type="dxa"/>
              <w:right w:w="15" w:type="dxa"/>
            </w:tcMar>
            <w:vAlign w:val="center"/>
            <w:hideMark/>
          </w:tcPr>
          <w:p w14:paraId="452DA241" w14:textId="77777777" w:rsidR="00EB37AF" w:rsidRPr="00EB37AF" w:rsidRDefault="00EB37AF" w:rsidP="00EB37AF">
            <w:pPr>
              <w:autoSpaceDE/>
              <w:autoSpaceDN/>
              <w:adjustRightInd/>
              <w:spacing w:after="0" w:line="360" w:lineRule="auto"/>
              <w:ind w:firstLine="0"/>
              <w:jc w:val="center"/>
              <w:rPr>
                <w:sz w:val="20"/>
                <w:szCs w:val="20"/>
              </w:rPr>
            </w:pPr>
          </w:p>
        </w:tc>
        <w:tc>
          <w:tcPr>
            <w:tcW w:w="2660" w:type="dxa"/>
            <w:tcBorders>
              <w:top w:val="nil"/>
              <w:left w:val="nil"/>
              <w:bottom w:val="nil"/>
              <w:right w:val="nil"/>
            </w:tcBorders>
            <w:shd w:val="clear" w:color="auto" w:fill="auto"/>
            <w:tcMar>
              <w:top w:w="15" w:type="dxa"/>
              <w:left w:w="15" w:type="dxa"/>
              <w:bottom w:w="0" w:type="dxa"/>
              <w:right w:w="15" w:type="dxa"/>
            </w:tcMar>
            <w:vAlign w:val="center"/>
            <w:hideMark/>
          </w:tcPr>
          <w:p w14:paraId="02B67CC5" w14:textId="77777777" w:rsidR="00EB37AF" w:rsidRPr="00EB37AF" w:rsidRDefault="00EB37AF" w:rsidP="00EB37AF">
            <w:pPr>
              <w:autoSpaceDE/>
              <w:autoSpaceDN/>
              <w:adjustRightInd/>
              <w:spacing w:after="0" w:line="360" w:lineRule="auto"/>
              <w:ind w:firstLine="0"/>
              <w:jc w:val="center"/>
              <w:rPr>
                <w:sz w:val="20"/>
                <w:szCs w:val="20"/>
              </w:rPr>
            </w:pPr>
          </w:p>
        </w:tc>
      </w:tr>
    </w:tbl>
    <w:p w14:paraId="1DEABA72"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1940"/>
        <w:gridCol w:w="3020"/>
        <w:gridCol w:w="640"/>
        <w:gridCol w:w="2764"/>
      </w:tblGrid>
      <w:tr w:rsidR="00EB37AF" w:rsidRPr="00EB37AF" w14:paraId="670B8D97" w14:textId="77777777" w:rsidTr="00D74DA1">
        <w:trPr>
          <w:trHeight w:val="300"/>
        </w:trPr>
        <w:tc>
          <w:tcPr>
            <w:tcW w:w="19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0FF787C"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46</w:t>
            </w:r>
          </w:p>
        </w:tc>
        <w:tc>
          <w:tcPr>
            <w:tcW w:w="302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3BE1B6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2/CV1</w:t>
            </w:r>
          </w:p>
        </w:tc>
        <w:tc>
          <w:tcPr>
            <w:tcW w:w="64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F2EA0B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7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AD7E22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2/CV2</w:t>
            </w:r>
          </w:p>
        </w:tc>
      </w:tr>
      <w:tr w:rsidR="00EB37AF" w:rsidRPr="00EB37AF" w14:paraId="03B595CC" w14:textId="77777777" w:rsidTr="00D74DA1">
        <w:trPr>
          <w:trHeight w:val="300"/>
        </w:trPr>
        <w:tc>
          <w:tcPr>
            <w:tcW w:w="19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143C62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0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014A58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(T5)/ CV1</w:t>
            </w:r>
          </w:p>
        </w:tc>
        <w:tc>
          <w:tcPr>
            <w:tcW w:w="6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31ECEBD" w14:textId="77777777" w:rsidR="00EB37AF" w:rsidRPr="00EB37AF" w:rsidRDefault="00EB37AF" w:rsidP="00EB37AF">
            <w:pPr>
              <w:autoSpaceDE/>
              <w:autoSpaceDN/>
              <w:adjustRightInd/>
              <w:spacing w:after="0" w:line="360" w:lineRule="auto"/>
              <w:ind w:firstLine="0"/>
              <w:jc w:val="center"/>
              <w:rPr>
                <w:sz w:val="20"/>
                <w:szCs w:val="20"/>
              </w:rPr>
            </w:pPr>
          </w:p>
        </w:tc>
        <w:tc>
          <w:tcPr>
            <w:tcW w:w="27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FEDDFF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(T5)/ CV2</w:t>
            </w:r>
          </w:p>
        </w:tc>
      </w:tr>
      <w:tr w:rsidR="00EB37AF" w:rsidRPr="00EB37AF" w14:paraId="543B3F8A" w14:textId="77777777" w:rsidTr="00D74DA1">
        <w:trPr>
          <w:trHeight w:val="300"/>
        </w:trPr>
        <w:tc>
          <w:tcPr>
            <w:tcW w:w="1940" w:type="dxa"/>
            <w:tcBorders>
              <w:top w:val="nil"/>
              <w:left w:val="nil"/>
              <w:bottom w:val="nil"/>
              <w:right w:val="nil"/>
            </w:tcBorders>
            <w:shd w:val="clear" w:color="auto" w:fill="D6DCE5"/>
            <w:tcMar>
              <w:top w:w="15" w:type="dxa"/>
              <w:left w:w="15" w:type="dxa"/>
              <w:bottom w:w="0" w:type="dxa"/>
              <w:right w:w="15" w:type="dxa"/>
            </w:tcMar>
            <w:vAlign w:val="center"/>
            <w:hideMark/>
          </w:tcPr>
          <w:p w14:paraId="684053C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020" w:type="dxa"/>
            <w:tcBorders>
              <w:top w:val="nil"/>
              <w:left w:val="nil"/>
              <w:bottom w:val="nil"/>
              <w:right w:val="nil"/>
            </w:tcBorders>
            <w:shd w:val="clear" w:color="auto" w:fill="D6DCE5"/>
            <w:tcMar>
              <w:top w:w="15" w:type="dxa"/>
              <w:left w:w="15" w:type="dxa"/>
              <w:bottom w:w="0" w:type="dxa"/>
              <w:right w:w="15" w:type="dxa"/>
            </w:tcMar>
            <w:vAlign w:val="center"/>
            <w:hideMark/>
          </w:tcPr>
          <w:p w14:paraId="06DADAA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31,8</w:t>
            </w:r>
          </w:p>
        </w:tc>
        <w:tc>
          <w:tcPr>
            <w:tcW w:w="640" w:type="dxa"/>
            <w:tcBorders>
              <w:top w:val="nil"/>
              <w:left w:val="nil"/>
              <w:bottom w:val="nil"/>
              <w:right w:val="nil"/>
            </w:tcBorders>
            <w:shd w:val="clear" w:color="auto" w:fill="D6DCE5"/>
            <w:tcMar>
              <w:top w:w="15" w:type="dxa"/>
              <w:left w:w="15" w:type="dxa"/>
              <w:bottom w:w="0" w:type="dxa"/>
              <w:right w:w="15" w:type="dxa"/>
            </w:tcMar>
            <w:vAlign w:val="center"/>
            <w:hideMark/>
          </w:tcPr>
          <w:p w14:paraId="15020418" w14:textId="77777777" w:rsidR="00EB37AF" w:rsidRPr="00EB37AF" w:rsidRDefault="00EB37AF" w:rsidP="00EB37AF">
            <w:pPr>
              <w:autoSpaceDE/>
              <w:autoSpaceDN/>
              <w:adjustRightInd/>
              <w:spacing w:after="0" w:line="360" w:lineRule="auto"/>
              <w:ind w:firstLine="0"/>
              <w:jc w:val="center"/>
              <w:rPr>
                <w:sz w:val="20"/>
                <w:szCs w:val="20"/>
              </w:rPr>
            </w:pPr>
          </w:p>
        </w:tc>
        <w:tc>
          <w:tcPr>
            <w:tcW w:w="2764" w:type="dxa"/>
            <w:tcBorders>
              <w:top w:val="nil"/>
              <w:left w:val="nil"/>
              <w:bottom w:val="nil"/>
              <w:right w:val="nil"/>
            </w:tcBorders>
            <w:shd w:val="clear" w:color="auto" w:fill="D6DCE5"/>
            <w:tcMar>
              <w:top w:w="15" w:type="dxa"/>
              <w:left w:w="15" w:type="dxa"/>
              <w:bottom w:w="0" w:type="dxa"/>
              <w:right w:w="15" w:type="dxa"/>
            </w:tcMar>
            <w:vAlign w:val="center"/>
            <w:hideMark/>
          </w:tcPr>
          <w:p w14:paraId="0963C9A4" w14:textId="77777777" w:rsidR="00EB37AF" w:rsidRPr="00EB37AF" w:rsidRDefault="00EB37AF" w:rsidP="00EB37AF">
            <w:pPr>
              <w:autoSpaceDE/>
              <w:autoSpaceDN/>
              <w:adjustRightInd/>
              <w:spacing w:after="0" w:line="360" w:lineRule="auto"/>
              <w:ind w:right="-561" w:firstLine="0"/>
              <w:jc w:val="center"/>
              <w:rPr>
                <w:sz w:val="20"/>
                <w:szCs w:val="20"/>
              </w:rPr>
            </w:pPr>
            <w:r w:rsidRPr="00EB37AF">
              <w:rPr>
                <w:sz w:val="20"/>
                <w:szCs w:val="20"/>
              </w:rPr>
              <w:t>41,4</w:t>
            </w:r>
          </w:p>
        </w:tc>
      </w:tr>
      <w:tr w:rsidR="00EB37AF" w:rsidRPr="00EB37AF" w14:paraId="6AFDC8BD" w14:textId="77777777" w:rsidTr="00D74DA1">
        <w:trPr>
          <w:trHeight w:val="300"/>
        </w:trPr>
        <w:tc>
          <w:tcPr>
            <w:tcW w:w="1940" w:type="dxa"/>
            <w:tcBorders>
              <w:top w:val="nil"/>
              <w:left w:val="nil"/>
              <w:bottom w:val="nil"/>
              <w:right w:val="nil"/>
            </w:tcBorders>
            <w:shd w:val="clear" w:color="auto" w:fill="auto"/>
            <w:tcMar>
              <w:top w:w="15" w:type="dxa"/>
              <w:left w:w="15" w:type="dxa"/>
              <w:bottom w:w="0" w:type="dxa"/>
              <w:right w:w="15" w:type="dxa"/>
            </w:tcMar>
            <w:vAlign w:val="center"/>
            <w:hideMark/>
          </w:tcPr>
          <w:p w14:paraId="00017C5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020" w:type="dxa"/>
            <w:tcBorders>
              <w:top w:val="nil"/>
              <w:left w:val="nil"/>
              <w:bottom w:val="nil"/>
              <w:right w:val="nil"/>
            </w:tcBorders>
            <w:shd w:val="clear" w:color="auto" w:fill="auto"/>
            <w:tcMar>
              <w:top w:w="15" w:type="dxa"/>
              <w:left w:w="15" w:type="dxa"/>
              <w:bottom w:w="0" w:type="dxa"/>
              <w:right w:w="15" w:type="dxa"/>
            </w:tcMar>
            <w:vAlign w:val="center"/>
            <w:hideMark/>
          </w:tcPr>
          <w:p w14:paraId="540C862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0,0006</w:t>
            </w:r>
          </w:p>
        </w:tc>
        <w:tc>
          <w:tcPr>
            <w:tcW w:w="640" w:type="dxa"/>
            <w:tcBorders>
              <w:top w:val="nil"/>
              <w:left w:val="nil"/>
              <w:bottom w:val="nil"/>
              <w:right w:val="nil"/>
            </w:tcBorders>
            <w:shd w:val="clear" w:color="auto" w:fill="auto"/>
            <w:tcMar>
              <w:top w:w="15" w:type="dxa"/>
              <w:left w:w="15" w:type="dxa"/>
              <w:bottom w:w="0" w:type="dxa"/>
              <w:right w:w="15" w:type="dxa"/>
            </w:tcMar>
            <w:vAlign w:val="center"/>
            <w:hideMark/>
          </w:tcPr>
          <w:p w14:paraId="7F825602" w14:textId="77777777" w:rsidR="00EB37AF" w:rsidRPr="00EB37AF" w:rsidRDefault="00EB37AF" w:rsidP="00EB37AF">
            <w:pPr>
              <w:autoSpaceDE/>
              <w:autoSpaceDN/>
              <w:adjustRightInd/>
              <w:spacing w:after="0" w:line="360" w:lineRule="auto"/>
              <w:ind w:firstLine="0"/>
              <w:jc w:val="center"/>
              <w:rPr>
                <w:sz w:val="20"/>
                <w:szCs w:val="20"/>
              </w:rPr>
            </w:pPr>
          </w:p>
        </w:tc>
        <w:tc>
          <w:tcPr>
            <w:tcW w:w="2764" w:type="dxa"/>
            <w:tcBorders>
              <w:top w:val="nil"/>
              <w:left w:val="nil"/>
              <w:bottom w:val="nil"/>
              <w:right w:val="nil"/>
            </w:tcBorders>
            <w:shd w:val="clear" w:color="auto" w:fill="auto"/>
            <w:tcMar>
              <w:top w:w="15" w:type="dxa"/>
              <w:left w:w="15" w:type="dxa"/>
              <w:bottom w:w="0" w:type="dxa"/>
              <w:right w:w="15" w:type="dxa"/>
            </w:tcMar>
            <w:vAlign w:val="center"/>
            <w:hideMark/>
          </w:tcPr>
          <w:p w14:paraId="462A975E" w14:textId="77777777" w:rsidR="00EB37AF" w:rsidRPr="00EB37AF" w:rsidRDefault="00EB37AF" w:rsidP="00EB37AF">
            <w:pPr>
              <w:autoSpaceDE/>
              <w:autoSpaceDN/>
              <w:adjustRightInd/>
              <w:spacing w:after="0" w:line="360" w:lineRule="auto"/>
              <w:ind w:firstLine="0"/>
              <w:jc w:val="center"/>
              <w:rPr>
                <w:sz w:val="20"/>
                <w:szCs w:val="20"/>
              </w:rPr>
            </w:pPr>
          </w:p>
        </w:tc>
      </w:tr>
    </w:tbl>
    <w:p w14:paraId="250AE177" w14:textId="77777777" w:rsidR="00EB37AF" w:rsidRPr="00EB37AF" w:rsidRDefault="00EB37AF" w:rsidP="00EB37AF">
      <w:pPr>
        <w:autoSpaceDE/>
        <w:autoSpaceDN/>
        <w:adjustRightInd/>
        <w:spacing w:after="0" w:line="360" w:lineRule="auto"/>
        <w:ind w:firstLine="0"/>
        <w:jc w:val="center"/>
        <w:rPr>
          <w:b/>
          <w:sz w:val="20"/>
          <w:szCs w:val="20"/>
        </w:rPr>
      </w:pPr>
    </w:p>
    <w:tbl>
      <w:tblPr>
        <w:tblW w:w="8364" w:type="dxa"/>
        <w:tblCellMar>
          <w:left w:w="0" w:type="dxa"/>
          <w:right w:w="0" w:type="dxa"/>
        </w:tblCellMar>
        <w:tblLook w:val="0600" w:firstRow="0" w:lastRow="0" w:firstColumn="0" w:lastColumn="0" w:noHBand="1" w:noVBand="1"/>
      </w:tblPr>
      <w:tblGrid>
        <w:gridCol w:w="2045"/>
        <w:gridCol w:w="3247"/>
        <w:gridCol w:w="461"/>
        <w:gridCol w:w="2611"/>
      </w:tblGrid>
      <w:tr w:rsidR="00EB37AF" w:rsidRPr="00EB37AF" w14:paraId="788EC630" w14:textId="77777777" w:rsidTr="00D74DA1">
        <w:trPr>
          <w:trHeight w:val="407"/>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D784DCD"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47</w:t>
            </w:r>
          </w:p>
        </w:tc>
        <w:tc>
          <w:tcPr>
            <w:tcW w:w="324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B4D747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1/CV1</w:t>
            </w:r>
          </w:p>
        </w:tc>
        <w:tc>
          <w:tcPr>
            <w:tcW w:w="46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579952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45CD61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CV1</w:t>
            </w:r>
          </w:p>
        </w:tc>
      </w:tr>
      <w:tr w:rsidR="00EB37AF" w:rsidRPr="00EB37AF" w14:paraId="7DDE29C1" w14:textId="77777777" w:rsidTr="00D74DA1">
        <w:trPr>
          <w:trHeight w:val="407"/>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8560D5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4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84B47E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w:t>
            </w:r>
          </w:p>
        </w:tc>
        <w:tc>
          <w:tcPr>
            <w:tcW w:w="46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B116B30"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649F23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w:t>
            </w:r>
          </w:p>
        </w:tc>
      </w:tr>
      <w:tr w:rsidR="00EB37AF" w:rsidRPr="00EB37AF" w14:paraId="3C2B79D4" w14:textId="77777777" w:rsidTr="00D74DA1">
        <w:trPr>
          <w:trHeight w:val="407"/>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4EF4C20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47" w:type="dxa"/>
            <w:tcBorders>
              <w:top w:val="nil"/>
              <w:left w:val="nil"/>
              <w:bottom w:val="nil"/>
              <w:right w:val="nil"/>
            </w:tcBorders>
            <w:shd w:val="clear" w:color="auto" w:fill="D6DCE5"/>
            <w:tcMar>
              <w:top w:w="15" w:type="dxa"/>
              <w:left w:w="15" w:type="dxa"/>
              <w:bottom w:w="0" w:type="dxa"/>
              <w:right w:w="15" w:type="dxa"/>
            </w:tcMar>
            <w:vAlign w:val="center"/>
            <w:hideMark/>
          </w:tcPr>
          <w:p w14:paraId="1EC47C8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13,5</w:t>
            </w:r>
          </w:p>
        </w:tc>
        <w:tc>
          <w:tcPr>
            <w:tcW w:w="461" w:type="dxa"/>
            <w:tcBorders>
              <w:top w:val="nil"/>
              <w:left w:val="nil"/>
              <w:bottom w:val="nil"/>
              <w:right w:val="nil"/>
            </w:tcBorders>
            <w:shd w:val="clear" w:color="auto" w:fill="D6DCE5"/>
            <w:tcMar>
              <w:top w:w="15" w:type="dxa"/>
              <w:left w:w="15" w:type="dxa"/>
              <w:bottom w:w="0" w:type="dxa"/>
              <w:right w:w="15" w:type="dxa"/>
            </w:tcMar>
            <w:vAlign w:val="center"/>
            <w:hideMark/>
          </w:tcPr>
          <w:p w14:paraId="72EB30A5"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D6DCE5"/>
            <w:tcMar>
              <w:top w:w="15" w:type="dxa"/>
              <w:left w:w="15" w:type="dxa"/>
              <w:bottom w:w="0" w:type="dxa"/>
              <w:right w:w="15" w:type="dxa"/>
            </w:tcMar>
            <w:vAlign w:val="center"/>
            <w:hideMark/>
          </w:tcPr>
          <w:p w14:paraId="43B61AB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31,3</w:t>
            </w:r>
          </w:p>
        </w:tc>
      </w:tr>
      <w:tr w:rsidR="00EB37AF" w:rsidRPr="00EB37AF" w14:paraId="580E42D6" w14:textId="77777777" w:rsidTr="00D74DA1">
        <w:trPr>
          <w:trHeight w:val="462"/>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6AED9F5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47" w:type="dxa"/>
            <w:tcBorders>
              <w:top w:val="nil"/>
              <w:left w:val="nil"/>
              <w:bottom w:val="nil"/>
              <w:right w:val="nil"/>
            </w:tcBorders>
            <w:shd w:val="clear" w:color="auto" w:fill="auto"/>
            <w:tcMar>
              <w:top w:w="15" w:type="dxa"/>
              <w:left w:w="15" w:type="dxa"/>
              <w:bottom w:w="0" w:type="dxa"/>
              <w:right w:w="15" w:type="dxa"/>
            </w:tcMar>
            <w:vAlign w:val="center"/>
            <w:hideMark/>
          </w:tcPr>
          <w:p w14:paraId="3905D67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1" w:type="dxa"/>
            <w:tcBorders>
              <w:top w:val="nil"/>
              <w:left w:val="nil"/>
              <w:bottom w:val="nil"/>
              <w:right w:val="nil"/>
            </w:tcBorders>
            <w:shd w:val="clear" w:color="auto" w:fill="auto"/>
            <w:tcMar>
              <w:top w:w="15" w:type="dxa"/>
              <w:left w:w="15" w:type="dxa"/>
              <w:bottom w:w="0" w:type="dxa"/>
              <w:right w:w="15" w:type="dxa"/>
            </w:tcMar>
            <w:vAlign w:val="center"/>
            <w:hideMark/>
          </w:tcPr>
          <w:p w14:paraId="30009C2C"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auto"/>
            <w:tcMar>
              <w:top w:w="15" w:type="dxa"/>
              <w:left w:w="15" w:type="dxa"/>
              <w:bottom w:w="0" w:type="dxa"/>
              <w:right w:w="15" w:type="dxa"/>
            </w:tcMar>
            <w:vAlign w:val="center"/>
            <w:hideMark/>
          </w:tcPr>
          <w:p w14:paraId="227405C6" w14:textId="77777777" w:rsidR="00EB37AF" w:rsidRPr="00EB37AF" w:rsidRDefault="00EB37AF" w:rsidP="00EB37AF">
            <w:pPr>
              <w:autoSpaceDE/>
              <w:autoSpaceDN/>
              <w:adjustRightInd/>
              <w:spacing w:after="0" w:line="360" w:lineRule="auto"/>
              <w:ind w:firstLine="0"/>
              <w:jc w:val="center"/>
              <w:rPr>
                <w:sz w:val="20"/>
                <w:szCs w:val="20"/>
              </w:rPr>
            </w:pPr>
          </w:p>
        </w:tc>
      </w:tr>
    </w:tbl>
    <w:p w14:paraId="3626F7A4"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45"/>
        <w:gridCol w:w="3247"/>
        <w:gridCol w:w="461"/>
        <w:gridCol w:w="2611"/>
      </w:tblGrid>
      <w:tr w:rsidR="00EB37AF" w:rsidRPr="00EB37AF" w14:paraId="1882E867" w14:textId="77777777" w:rsidTr="00D74DA1">
        <w:trPr>
          <w:trHeight w:val="407"/>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FF717A3"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48</w:t>
            </w:r>
          </w:p>
        </w:tc>
        <w:tc>
          <w:tcPr>
            <w:tcW w:w="324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5527F8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1/CV1</w:t>
            </w:r>
          </w:p>
        </w:tc>
        <w:tc>
          <w:tcPr>
            <w:tcW w:w="46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8F2A06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EFF704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CV1</w:t>
            </w:r>
          </w:p>
        </w:tc>
      </w:tr>
      <w:tr w:rsidR="00EB37AF" w:rsidRPr="00EB37AF" w14:paraId="27991853" w14:textId="77777777" w:rsidTr="00D74DA1">
        <w:trPr>
          <w:trHeight w:val="407"/>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11A690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4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D3BC81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17 DAP</w:t>
            </w:r>
            <w:r w:rsidRPr="00EB37AF">
              <w:rPr>
                <w:sz w:val="20"/>
                <w:szCs w:val="20"/>
                <w:vertAlign w:val="subscript"/>
              </w:rPr>
              <w:t>0</w:t>
            </w:r>
          </w:p>
        </w:tc>
        <w:tc>
          <w:tcPr>
            <w:tcW w:w="46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978347C"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38244E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17 DAP</w:t>
            </w:r>
            <w:r w:rsidRPr="00EB37AF">
              <w:rPr>
                <w:sz w:val="20"/>
                <w:szCs w:val="20"/>
                <w:vertAlign w:val="subscript"/>
              </w:rPr>
              <w:t>0</w:t>
            </w:r>
          </w:p>
        </w:tc>
      </w:tr>
      <w:tr w:rsidR="00EB37AF" w:rsidRPr="00EB37AF" w14:paraId="22AC3388" w14:textId="77777777" w:rsidTr="00D74DA1">
        <w:trPr>
          <w:trHeight w:val="407"/>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3746DE8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47" w:type="dxa"/>
            <w:tcBorders>
              <w:top w:val="nil"/>
              <w:left w:val="nil"/>
              <w:bottom w:val="nil"/>
              <w:right w:val="nil"/>
            </w:tcBorders>
            <w:shd w:val="clear" w:color="auto" w:fill="D6DCE5"/>
            <w:tcMar>
              <w:top w:w="15" w:type="dxa"/>
              <w:left w:w="15" w:type="dxa"/>
              <w:bottom w:w="0" w:type="dxa"/>
              <w:right w:w="15" w:type="dxa"/>
            </w:tcMar>
            <w:vAlign w:val="center"/>
            <w:hideMark/>
          </w:tcPr>
          <w:p w14:paraId="34D49C1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15,6</w:t>
            </w:r>
          </w:p>
        </w:tc>
        <w:tc>
          <w:tcPr>
            <w:tcW w:w="461" w:type="dxa"/>
            <w:tcBorders>
              <w:top w:val="nil"/>
              <w:left w:val="nil"/>
              <w:bottom w:val="nil"/>
              <w:right w:val="nil"/>
            </w:tcBorders>
            <w:shd w:val="clear" w:color="auto" w:fill="D6DCE5"/>
            <w:tcMar>
              <w:top w:w="15" w:type="dxa"/>
              <w:left w:w="15" w:type="dxa"/>
              <w:bottom w:w="0" w:type="dxa"/>
              <w:right w:w="15" w:type="dxa"/>
            </w:tcMar>
            <w:vAlign w:val="center"/>
            <w:hideMark/>
          </w:tcPr>
          <w:p w14:paraId="5B75FD05"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D6DCE5"/>
            <w:tcMar>
              <w:top w:w="15" w:type="dxa"/>
              <w:left w:w="15" w:type="dxa"/>
              <w:bottom w:w="0" w:type="dxa"/>
              <w:right w:w="15" w:type="dxa"/>
            </w:tcMar>
            <w:vAlign w:val="center"/>
            <w:hideMark/>
          </w:tcPr>
          <w:p w14:paraId="587885A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15,3</w:t>
            </w:r>
          </w:p>
        </w:tc>
      </w:tr>
      <w:tr w:rsidR="00EB37AF" w:rsidRPr="00EB37AF" w14:paraId="364650D5" w14:textId="77777777" w:rsidTr="00D74DA1">
        <w:trPr>
          <w:trHeight w:val="462"/>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4341B66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47" w:type="dxa"/>
            <w:tcBorders>
              <w:top w:val="nil"/>
              <w:left w:val="nil"/>
              <w:bottom w:val="nil"/>
              <w:right w:val="nil"/>
            </w:tcBorders>
            <w:shd w:val="clear" w:color="auto" w:fill="auto"/>
            <w:tcMar>
              <w:top w:w="15" w:type="dxa"/>
              <w:left w:w="15" w:type="dxa"/>
              <w:bottom w:w="0" w:type="dxa"/>
              <w:right w:w="15" w:type="dxa"/>
            </w:tcMar>
            <w:vAlign w:val="center"/>
            <w:hideMark/>
          </w:tcPr>
          <w:p w14:paraId="4AFF90F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1" w:type="dxa"/>
            <w:tcBorders>
              <w:top w:val="nil"/>
              <w:left w:val="nil"/>
              <w:bottom w:val="nil"/>
              <w:right w:val="nil"/>
            </w:tcBorders>
            <w:shd w:val="clear" w:color="auto" w:fill="auto"/>
            <w:tcMar>
              <w:top w:w="15" w:type="dxa"/>
              <w:left w:w="15" w:type="dxa"/>
              <w:bottom w:w="0" w:type="dxa"/>
              <w:right w:w="15" w:type="dxa"/>
            </w:tcMar>
            <w:vAlign w:val="center"/>
            <w:hideMark/>
          </w:tcPr>
          <w:p w14:paraId="496A389D"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auto"/>
            <w:tcMar>
              <w:top w:w="15" w:type="dxa"/>
              <w:left w:w="15" w:type="dxa"/>
              <w:bottom w:w="0" w:type="dxa"/>
              <w:right w:w="15" w:type="dxa"/>
            </w:tcMar>
            <w:vAlign w:val="center"/>
            <w:hideMark/>
          </w:tcPr>
          <w:p w14:paraId="0B0ABECC" w14:textId="77777777" w:rsidR="00EB37AF" w:rsidRPr="00EB37AF" w:rsidRDefault="00EB37AF" w:rsidP="00EB37AF">
            <w:pPr>
              <w:autoSpaceDE/>
              <w:autoSpaceDN/>
              <w:adjustRightInd/>
              <w:spacing w:after="0" w:line="360" w:lineRule="auto"/>
              <w:ind w:firstLine="0"/>
              <w:jc w:val="center"/>
              <w:rPr>
                <w:sz w:val="20"/>
                <w:szCs w:val="20"/>
              </w:rPr>
            </w:pPr>
          </w:p>
        </w:tc>
      </w:tr>
    </w:tbl>
    <w:p w14:paraId="4297C21D" w14:textId="77777777" w:rsidR="00EB37AF" w:rsidRPr="00EB37AF" w:rsidRDefault="00EB37AF" w:rsidP="00EB37AF">
      <w:pPr>
        <w:autoSpaceDE/>
        <w:autoSpaceDN/>
        <w:adjustRightInd/>
        <w:spacing w:after="0" w:line="360" w:lineRule="auto"/>
        <w:ind w:firstLine="0"/>
        <w:jc w:val="center"/>
        <w:rPr>
          <w:sz w:val="20"/>
          <w:szCs w:val="20"/>
        </w:rPr>
      </w:pPr>
    </w:p>
    <w:p w14:paraId="52FE97FE"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45"/>
        <w:gridCol w:w="3247"/>
        <w:gridCol w:w="461"/>
        <w:gridCol w:w="2611"/>
      </w:tblGrid>
      <w:tr w:rsidR="00EB37AF" w:rsidRPr="00EB37AF" w14:paraId="5650F367" w14:textId="77777777" w:rsidTr="00D74DA1">
        <w:trPr>
          <w:trHeight w:val="439"/>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C19D3BA"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49</w:t>
            </w:r>
          </w:p>
        </w:tc>
        <w:tc>
          <w:tcPr>
            <w:tcW w:w="324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5DC41F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Carbox./CV1</w:t>
            </w:r>
          </w:p>
        </w:tc>
        <w:tc>
          <w:tcPr>
            <w:tcW w:w="46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DDC625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AB4D4B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CV1</w:t>
            </w:r>
          </w:p>
        </w:tc>
      </w:tr>
      <w:tr w:rsidR="00EB37AF" w:rsidRPr="00EB37AF" w14:paraId="2DD81936" w14:textId="77777777" w:rsidTr="00D74DA1">
        <w:trPr>
          <w:trHeight w:val="439"/>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96937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4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DA4A01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35 DAP</w:t>
            </w:r>
            <w:r w:rsidRPr="00EB37AF">
              <w:rPr>
                <w:sz w:val="20"/>
                <w:szCs w:val="20"/>
                <w:vertAlign w:val="subscript"/>
              </w:rPr>
              <w:t>0</w:t>
            </w:r>
          </w:p>
        </w:tc>
        <w:tc>
          <w:tcPr>
            <w:tcW w:w="46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F9E5412"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80BF58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35 DAP</w:t>
            </w:r>
            <w:r w:rsidRPr="00EB37AF">
              <w:rPr>
                <w:sz w:val="20"/>
                <w:szCs w:val="20"/>
                <w:vertAlign w:val="subscript"/>
              </w:rPr>
              <w:t>0</w:t>
            </w:r>
          </w:p>
        </w:tc>
      </w:tr>
      <w:tr w:rsidR="00EB37AF" w:rsidRPr="00EB37AF" w14:paraId="51AFBA6C" w14:textId="77777777" w:rsidTr="00D74DA1">
        <w:trPr>
          <w:trHeight w:val="439"/>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564BF12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47" w:type="dxa"/>
            <w:tcBorders>
              <w:top w:val="nil"/>
              <w:left w:val="nil"/>
              <w:bottom w:val="nil"/>
              <w:right w:val="nil"/>
            </w:tcBorders>
            <w:shd w:val="clear" w:color="auto" w:fill="D6DCE5"/>
            <w:tcMar>
              <w:top w:w="15" w:type="dxa"/>
              <w:left w:w="15" w:type="dxa"/>
              <w:bottom w:w="0" w:type="dxa"/>
              <w:right w:w="15" w:type="dxa"/>
            </w:tcMar>
            <w:vAlign w:val="center"/>
            <w:hideMark/>
          </w:tcPr>
          <w:p w14:paraId="3A702CE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13,6</w:t>
            </w:r>
          </w:p>
        </w:tc>
        <w:tc>
          <w:tcPr>
            <w:tcW w:w="461" w:type="dxa"/>
            <w:tcBorders>
              <w:top w:val="nil"/>
              <w:left w:val="nil"/>
              <w:bottom w:val="nil"/>
              <w:right w:val="nil"/>
            </w:tcBorders>
            <w:shd w:val="clear" w:color="auto" w:fill="D6DCE5"/>
            <w:tcMar>
              <w:top w:w="15" w:type="dxa"/>
              <w:left w:w="15" w:type="dxa"/>
              <w:bottom w:w="0" w:type="dxa"/>
              <w:right w:w="15" w:type="dxa"/>
            </w:tcMar>
            <w:vAlign w:val="center"/>
            <w:hideMark/>
          </w:tcPr>
          <w:p w14:paraId="7C7786C9"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D6DCE5"/>
            <w:tcMar>
              <w:top w:w="15" w:type="dxa"/>
              <w:left w:w="15" w:type="dxa"/>
              <w:bottom w:w="0" w:type="dxa"/>
              <w:right w:w="15" w:type="dxa"/>
            </w:tcMar>
            <w:vAlign w:val="center"/>
            <w:hideMark/>
          </w:tcPr>
          <w:p w14:paraId="107ACA4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42,8</w:t>
            </w:r>
          </w:p>
        </w:tc>
      </w:tr>
      <w:tr w:rsidR="00EB37AF" w:rsidRPr="00EB37AF" w14:paraId="59031CC9" w14:textId="77777777" w:rsidTr="00D74DA1">
        <w:trPr>
          <w:trHeight w:val="499"/>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5D8FA1E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47" w:type="dxa"/>
            <w:tcBorders>
              <w:top w:val="nil"/>
              <w:left w:val="nil"/>
              <w:bottom w:val="nil"/>
              <w:right w:val="nil"/>
            </w:tcBorders>
            <w:shd w:val="clear" w:color="auto" w:fill="auto"/>
            <w:tcMar>
              <w:top w:w="15" w:type="dxa"/>
              <w:left w:w="15" w:type="dxa"/>
              <w:bottom w:w="0" w:type="dxa"/>
              <w:right w:w="15" w:type="dxa"/>
            </w:tcMar>
            <w:vAlign w:val="center"/>
            <w:hideMark/>
          </w:tcPr>
          <w:p w14:paraId="6A428DC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1" w:type="dxa"/>
            <w:tcBorders>
              <w:top w:val="nil"/>
              <w:left w:val="nil"/>
              <w:bottom w:val="nil"/>
              <w:right w:val="nil"/>
            </w:tcBorders>
            <w:shd w:val="clear" w:color="auto" w:fill="auto"/>
            <w:tcMar>
              <w:top w:w="15" w:type="dxa"/>
              <w:left w:w="15" w:type="dxa"/>
              <w:bottom w:w="0" w:type="dxa"/>
              <w:right w:w="15" w:type="dxa"/>
            </w:tcMar>
            <w:vAlign w:val="center"/>
            <w:hideMark/>
          </w:tcPr>
          <w:p w14:paraId="1646F9D8"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auto"/>
            <w:tcMar>
              <w:top w:w="15" w:type="dxa"/>
              <w:left w:w="15" w:type="dxa"/>
              <w:bottom w:w="0" w:type="dxa"/>
              <w:right w:w="15" w:type="dxa"/>
            </w:tcMar>
            <w:vAlign w:val="center"/>
            <w:hideMark/>
          </w:tcPr>
          <w:p w14:paraId="3BEB9D6C" w14:textId="77777777" w:rsidR="00EB37AF" w:rsidRPr="00EB37AF" w:rsidRDefault="00EB37AF" w:rsidP="00EB37AF">
            <w:pPr>
              <w:autoSpaceDE/>
              <w:autoSpaceDN/>
              <w:adjustRightInd/>
              <w:spacing w:after="0" w:line="360" w:lineRule="auto"/>
              <w:ind w:firstLine="0"/>
              <w:jc w:val="center"/>
              <w:rPr>
                <w:sz w:val="20"/>
                <w:szCs w:val="20"/>
              </w:rPr>
            </w:pPr>
          </w:p>
        </w:tc>
      </w:tr>
    </w:tbl>
    <w:p w14:paraId="67744214"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45"/>
        <w:gridCol w:w="3247"/>
        <w:gridCol w:w="461"/>
        <w:gridCol w:w="2611"/>
      </w:tblGrid>
      <w:tr w:rsidR="00EB37AF" w:rsidRPr="00EB37AF" w14:paraId="128BFC15" w14:textId="77777777" w:rsidTr="00D74DA1">
        <w:trPr>
          <w:trHeight w:val="439"/>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217EB27"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50</w:t>
            </w:r>
          </w:p>
        </w:tc>
        <w:tc>
          <w:tcPr>
            <w:tcW w:w="324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AA53AF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1/CV1</w:t>
            </w:r>
          </w:p>
        </w:tc>
        <w:tc>
          <w:tcPr>
            <w:tcW w:w="46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FD4030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385E417"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CV1</w:t>
            </w:r>
          </w:p>
        </w:tc>
      </w:tr>
      <w:tr w:rsidR="00EB37AF" w:rsidRPr="00EB37AF" w14:paraId="342C8264" w14:textId="77777777" w:rsidTr="00D74DA1">
        <w:trPr>
          <w:trHeight w:val="439"/>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F526E2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4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8595ED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52 DAP</w:t>
            </w:r>
            <w:r w:rsidRPr="00EB37AF">
              <w:rPr>
                <w:sz w:val="20"/>
                <w:szCs w:val="20"/>
                <w:vertAlign w:val="subscript"/>
              </w:rPr>
              <w:t>0</w:t>
            </w:r>
          </w:p>
        </w:tc>
        <w:tc>
          <w:tcPr>
            <w:tcW w:w="46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797EAD8"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1935A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52 DAP</w:t>
            </w:r>
            <w:r w:rsidRPr="00EB37AF">
              <w:rPr>
                <w:sz w:val="20"/>
                <w:szCs w:val="20"/>
                <w:vertAlign w:val="subscript"/>
              </w:rPr>
              <w:t>0</w:t>
            </w:r>
          </w:p>
        </w:tc>
      </w:tr>
      <w:tr w:rsidR="00EB37AF" w:rsidRPr="00EB37AF" w14:paraId="07AE6063" w14:textId="77777777" w:rsidTr="00D74DA1">
        <w:trPr>
          <w:trHeight w:val="439"/>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2A9302A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47" w:type="dxa"/>
            <w:tcBorders>
              <w:top w:val="nil"/>
              <w:left w:val="nil"/>
              <w:bottom w:val="nil"/>
              <w:right w:val="nil"/>
            </w:tcBorders>
            <w:shd w:val="clear" w:color="auto" w:fill="D6DCE5"/>
            <w:tcMar>
              <w:top w:w="15" w:type="dxa"/>
              <w:left w:w="15" w:type="dxa"/>
              <w:bottom w:w="0" w:type="dxa"/>
              <w:right w:w="15" w:type="dxa"/>
            </w:tcMar>
            <w:vAlign w:val="center"/>
            <w:hideMark/>
          </w:tcPr>
          <w:p w14:paraId="64DAAA9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11,4</w:t>
            </w:r>
          </w:p>
        </w:tc>
        <w:tc>
          <w:tcPr>
            <w:tcW w:w="461" w:type="dxa"/>
            <w:tcBorders>
              <w:top w:val="nil"/>
              <w:left w:val="nil"/>
              <w:bottom w:val="nil"/>
              <w:right w:val="nil"/>
            </w:tcBorders>
            <w:shd w:val="clear" w:color="auto" w:fill="D6DCE5"/>
            <w:tcMar>
              <w:top w:w="15" w:type="dxa"/>
              <w:left w:w="15" w:type="dxa"/>
              <w:bottom w:w="0" w:type="dxa"/>
              <w:right w:w="15" w:type="dxa"/>
            </w:tcMar>
            <w:vAlign w:val="center"/>
            <w:hideMark/>
          </w:tcPr>
          <w:p w14:paraId="33CE8951"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D6DCE5"/>
            <w:tcMar>
              <w:top w:w="15" w:type="dxa"/>
              <w:left w:w="15" w:type="dxa"/>
              <w:bottom w:w="0" w:type="dxa"/>
              <w:right w:w="15" w:type="dxa"/>
            </w:tcMar>
            <w:vAlign w:val="center"/>
            <w:hideMark/>
          </w:tcPr>
          <w:p w14:paraId="1576BFF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35,8</w:t>
            </w:r>
          </w:p>
        </w:tc>
      </w:tr>
      <w:tr w:rsidR="00EB37AF" w:rsidRPr="00EB37AF" w14:paraId="7813FC2B" w14:textId="77777777" w:rsidTr="00D74DA1">
        <w:trPr>
          <w:trHeight w:val="499"/>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47B475A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47" w:type="dxa"/>
            <w:tcBorders>
              <w:top w:val="nil"/>
              <w:left w:val="nil"/>
              <w:bottom w:val="nil"/>
              <w:right w:val="nil"/>
            </w:tcBorders>
            <w:shd w:val="clear" w:color="auto" w:fill="auto"/>
            <w:tcMar>
              <w:top w:w="15" w:type="dxa"/>
              <w:left w:w="15" w:type="dxa"/>
              <w:bottom w:w="0" w:type="dxa"/>
              <w:right w:w="15" w:type="dxa"/>
            </w:tcMar>
            <w:vAlign w:val="center"/>
            <w:hideMark/>
          </w:tcPr>
          <w:p w14:paraId="711270A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1" w:type="dxa"/>
            <w:tcBorders>
              <w:top w:val="nil"/>
              <w:left w:val="nil"/>
              <w:bottom w:val="nil"/>
              <w:right w:val="nil"/>
            </w:tcBorders>
            <w:shd w:val="clear" w:color="auto" w:fill="auto"/>
            <w:tcMar>
              <w:top w:w="15" w:type="dxa"/>
              <w:left w:w="15" w:type="dxa"/>
              <w:bottom w:w="0" w:type="dxa"/>
              <w:right w:w="15" w:type="dxa"/>
            </w:tcMar>
            <w:vAlign w:val="center"/>
            <w:hideMark/>
          </w:tcPr>
          <w:p w14:paraId="6B782FC6"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auto"/>
            <w:tcMar>
              <w:top w:w="15" w:type="dxa"/>
              <w:left w:w="15" w:type="dxa"/>
              <w:bottom w:w="0" w:type="dxa"/>
              <w:right w:w="15" w:type="dxa"/>
            </w:tcMar>
            <w:vAlign w:val="center"/>
            <w:hideMark/>
          </w:tcPr>
          <w:p w14:paraId="7CCDA3DB" w14:textId="77777777" w:rsidR="00EB37AF" w:rsidRPr="00EB37AF" w:rsidRDefault="00EB37AF" w:rsidP="00EB37AF">
            <w:pPr>
              <w:autoSpaceDE/>
              <w:autoSpaceDN/>
              <w:adjustRightInd/>
              <w:spacing w:after="0" w:line="360" w:lineRule="auto"/>
              <w:ind w:firstLine="0"/>
              <w:jc w:val="center"/>
              <w:rPr>
                <w:sz w:val="20"/>
                <w:szCs w:val="20"/>
              </w:rPr>
            </w:pPr>
          </w:p>
        </w:tc>
      </w:tr>
    </w:tbl>
    <w:p w14:paraId="31BE0851" w14:textId="77777777" w:rsidR="00EB37AF" w:rsidRPr="00EB37AF" w:rsidRDefault="00EB37AF" w:rsidP="00EB37AF">
      <w:pPr>
        <w:autoSpaceDE/>
        <w:autoSpaceDN/>
        <w:adjustRightInd/>
        <w:spacing w:after="0" w:line="360" w:lineRule="auto"/>
        <w:ind w:firstLine="0"/>
        <w:jc w:val="center"/>
        <w:rPr>
          <w:b/>
          <w:sz w:val="20"/>
          <w:szCs w:val="20"/>
        </w:rPr>
      </w:pPr>
    </w:p>
    <w:tbl>
      <w:tblPr>
        <w:tblW w:w="8364" w:type="dxa"/>
        <w:tblCellMar>
          <w:left w:w="0" w:type="dxa"/>
          <w:right w:w="0" w:type="dxa"/>
        </w:tblCellMar>
        <w:tblLook w:val="0600" w:firstRow="0" w:lastRow="0" w:firstColumn="0" w:lastColumn="0" w:noHBand="1" w:noVBand="1"/>
      </w:tblPr>
      <w:tblGrid>
        <w:gridCol w:w="2045"/>
        <w:gridCol w:w="3247"/>
        <w:gridCol w:w="461"/>
        <w:gridCol w:w="2611"/>
      </w:tblGrid>
      <w:tr w:rsidR="00EB37AF" w:rsidRPr="00EB37AF" w14:paraId="27A1337D" w14:textId="77777777" w:rsidTr="00D74DA1">
        <w:trPr>
          <w:trHeight w:val="407"/>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251C74B"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51</w:t>
            </w:r>
          </w:p>
        </w:tc>
        <w:tc>
          <w:tcPr>
            <w:tcW w:w="324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657671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1/CV1</w:t>
            </w:r>
          </w:p>
        </w:tc>
        <w:tc>
          <w:tcPr>
            <w:tcW w:w="46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21B4F0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CB284E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2/CV1</w:t>
            </w:r>
          </w:p>
        </w:tc>
      </w:tr>
      <w:tr w:rsidR="00EB37AF" w:rsidRPr="00EB37AF" w14:paraId="1159BCCE" w14:textId="77777777" w:rsidTr="00D74DA1">
        <w:trPr>
          <w:trHeight w:val="407"/>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E41044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4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F4DBE4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w:t>
            </w:r>
          </w:p>
        </w:tc>
        <w:tc>
          <w:tcPr>
            <w:tcW w:w="46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48A9E42"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4E647B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w:t>
            </w:r>
          </w:p>
        </w:tc>
      </w:tr>
      <w:tr w:rsidR="00EB37AF" w:rsidRPr="00EB37AF" w14:paraId="279B6775" w14:textId="77777777" w:rsidTr="00D74DA1">
        <w:trPr>
          <w:trHeight w:val="407"/>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3AACDA5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47" w:type="dxa"/>
            <w:tcBorders>
              <w:top w:val="nil"/>
              <w:left w:val="nil"/>
              <w:bottom w:val="nil"/>
              <w:right w:val="nil"/>
            </w:tcBorders>
            <w:shd w:val="clear" w:color="auto" w:fill="D6DCE5"/>
            <w:tcMar>
              <w:top w:w="15" w:type="dxa"/>
              <w:left w:w="15" w:type="dxa"/>
              <w:bottom w:w="0" w:type="dxa"/>
              <w:right w:w="15" w:type="dxa"/>
            </w:tcMar>
            <w:vAlign w:val="center"/>
            <w:hideMark/>
          </w:tcPr>
          <w:p w14:paraId="14411B9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14,9</w:t>
            </w:r>
          </w:p>
        </w:tc>
        <w:tc>
          <w:tcPr>
            <w:tcW w:w="461" w:type="dxa"/>
            <w:tcBorders>
              <w:top w:val="nil"/>
              <w:left w:val="nil"/>
              <w:bottom w:val="nil"/>
              <w:right w:val="nil"/>
            </w:tcBorders>
            <w:shd w:val="clear" w:color="auto" w:fill="D6DCE5"/>
            <w:tcMar>
              <w:top w:w="15" w:type="dxa"/>
              <w:left w:w="15" w:type="dxa"/>
              <w:bottom w:w="0" w:type="dxa"/>
              <w:right w:w="15" w:type="dxa"/>
            </w:tcMar>
            <w:vAlign w:val="center"/>
            <w:hideMark/>
          </w:tcPr>
          <w:p w14:paraId="20CC3D7C"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D6DCE5"/>
            <w:tcMar>
              <w:top w:w="15" w:type="dxa"/>
              <w:left w:w="15" w:type="dxa"/>
              <w:bottom w:w="0" w:type="dxa"/>
              <w:right w:w="15" w:type="dxa"/>
            </w:tcMar>
            <w:vAlign w:val="center"/>
            <w:hideMark/>
          </w:tcPr>
          <w:p w14:paraId="565F786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30,8</w:t>
            </w:r>
          </w:p>
        </w:tc>
      </w:tr>
      <w:tr w:rsidR="00EB37AF" w:rsidRPr="00EB37AF" w14:paraId="25750CB1" w14:textId="77777777" w:rsidTr="00D74DA1">
        <w:trPr>
          <w:trHeight w:val="462"/>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0FDCAB0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47" w:type="dxa"/>
            <w:tcBorders>
              <w:top w:val="nil"/>
              <w:left w:val="nil"/>
              <w:bottom w:val="nil"/>
              <w:right w:val="nil"/>
            </w:tcBorders>
            <w:shd w:val="clear" w:color="auto" w:fill="auto"/>
            <w:tcMar>
              <w:top w:w="15" w:type="dxa"/>
              <w:left w:w="15" w:type="dxa"/>
              <w:bottom w:w="0" w:type="dxa"/>
              <w:right w:w="15" w:type="dxa"/>
            </w:tcMar>
            <w:vAlign w:val="center"/>
            <w:hideMark/>
          </w:tcPr>
          <w:p w14:paraId="1F99F5E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1" w:type="dxa"/>
            <w:tcBorders>
              <w:top w:val="nil"/>
              <w:left w:val="nil"/>
              <w:bottom w:val="nil"/>
              <w:right w:val="nil"/>
            </w:tcBorders>
            <w:shd w:val="clear" w:color="auto" w:fill="auto"/>
            <w:tcMar>
              <w:top w:w="15" w:type="dxa"/>
              <w:left w:w="15" w:type="dxa"/>
              <w:bottom w:w="0" w:type="dxa"/>
              <w:right w:w="15" w:type="dxa"/>
            </w:tcMar>
            <w:vAlign w:val="center"/>
            <w:hideMark/>
          </w:tcPr>
          <w:p w14:paraId="707A4D0B"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auto"/>
            <w:tcMar>
              <w:top w:w="15" w:type="dxa"/>
              <w:left w:w="15" w:type="dxa"/>
              <w:bottom w:w="0" w:type="dxa"/>
              <w:right w:w="15" w:type="dxa"/>
            </w:tcMar>
            <w:vAlign w:val="center"/>
            <w:hideMark/>
          </w:tcPr>
          <w:p w14:paraId="1EEA8174" w14:textId="77777777" w:rsidR="00EB37AF" w:rsidRPr="00EB37AF" w:rsidRDefault="00EB37AF" w:rsidP="00EB37AF">
            <w:pPr>
              <w:autoSpaceDE/>
              <w:autoSpaceDN/>
              <w:adjustRightInd/>
              <w:spacing w:after="0" w:line="360" w:lineRule="auto"/>
              <w:ind w:firstLine="0"/>
              <w:jc w:val="center"/>
              <w:rPr>
                <w:sz w:val="20"/>
                <w:szCs w:val="20"/>
              </w:rPr>
            </w:pPr>
          </w:p>
        </w:tc>
      </w:tr>
    </w:tbl>
    <w:p w14:paraId="1674BC11"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45"/>
        <w:gridCol w:w="3247"/>
        <w:gridCol w:w="461"/>
        <w:gridCol w:w="2611"/>
      </w:tblGrid>
      <w:tr w:rsidR="00EB37AF" w:rsidRPr="00EB37AF" w14:paraId="1DAA4F6E" w14:textId="77777777" w:rsidTr="00D74DA1">
        <w:trPr>
          <w:trHeight w:val="407"/>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75FA2E2"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52</w:t>
            </w:r>
          </w:p>
        </w:tc>
        <w:tc>
          <w:tcPr>
            <w:tcW w:w="324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AF86F4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1/CV1</w:t>
            </w:r>
          </w:p>
        </w:tc>
        <w:tc>
          <w:tcPr>
            <w:tcW w:w="46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7D0B81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D338CB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2/CV1</w:t>
            </w:r>
          </w:p>
        </w:tc>
      </w:tr>
      <w:tr w:rsidR="00EB37AF" w:rsidRPr="00EB37AF" w14:paraId="2B474899" w14:textId="77777777" w:rsidTr="00D74DA1">
        <w:trPr>
          <w:trHeight w:val="407"/>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9B5E79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4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2830B7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w:t>
            </w:r>
          </w:p>
        </w:tc>
        <w:tc>
          <w:tcPr>
            <w:tcW w:w="46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85A9145"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583C5C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T5</w:t>
            </w:r>
          </w:p>
        </w:tc>
      </w:tr>
      <w:tr w:rsidR="00EB37AF" w:rsidRPr="00EB37AF" w14:paraId="336E822B" w14:textId="77777777" w:rsidTr="00D74DA1">
        <w:trPr>
          <w:trHeight w:val="407"/>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68B8DF3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47" w:type="dxa"/>
            <w:tcBorders>
              <w:top w:val="nil"/>
              <w:left w:val="nil"/>
              <w:bottom w:val="nil"/>
              <w:right w:val="nil"/>
            </w:tcBorders>
            <w:shd w:val="clear" w:color="auto" w:fill="D6DCE5"/>
            <w:tcMar>
              <w:top w:w="15" w:type="dxa"/>
              <w:left w:w="15" w:type="dxa"/>
              <w:bottom w:w="0" w:type="dxa"/>
              <w:right w:w="15" w:type="dxa"/>
            </w:tcMar>
            <w:vAlign w:val="center"/>
            <w:hideMark/>
          </w:tcPr>
          <w:p w14:paraId="1758EFD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12,1</w:t>
            </w:r>
          </w:p>
        </w:tc>
        <w:tc>
          <w:tcPr>
            <w:tcW w:w="461" w:type="dxa"/>
            <w:tcBorders>
              <w:top w:val="nil"/>
              <w:left w:val="nil"/>
              <w:bottom w:val="nil"/>
              <w:right w:val="nil"/>
            </w:tcBorders>
            <w:shd w:val="clear" w:color="auto" w:fill="D6DCE5"/>
            <w:tcMar>
              <w:top w:w="15" w:type="dxa"/>
              <w:left w:w="15" w:type="dxa"/>
              <w:bottom w:w="0" w:type="dxa"/>
              <w:right w:w="15" w:type="dxa"/>
            </w:tcMar>
            <w:vAlign w:val="center"/>
            <w:hideMark/>
          </w:tcPr>
          <w:p w14:paraId="49F5EC4A"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D6DCE5"/>
            <w:tcMar>
              <w:top w:w="15" w:type="dxa"/>
              <w:left w:w="15" w:type="dxa"/>
              <w:bottom w:w="0" w:type="dxa"/>
              <w:right w:w="15" w:type="dxa"/>
            </w:tcMar>
            <w:vAlign w:val="center"/>
            <w:hideMark/>
          </w:tcPr>
          <w:p w14:paraId="7A769CE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31,8</w:t>
            </w:r>
          </w:p>
        </w:tc>
      </w:tr>
      <w:tr w:rsidR="00EB37AF" w:rsidRPr="00EB37AF" w14:paraId="4A63AD17" w14:textId="77777777" w:rsidTr="00D74DA1">
        <w:trPr>
          <w:trHeight w:val="462"/>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3184784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47" w:type="dxa"/>
            <w:tcBorders>
              <w:top w:val="nil"/>
              <w:left w:val="nil"/>
              <w:bottom w:val="nil"/>
              <w:right w:val="nil"/>
            </w:tcBorders>
            <w:shd w:val="clear" w:color="auto" w:fill="auto"/>
            <w:tcMar>
              <w:top w:w="15" w:type="dxa"/>
              <w:left w:w="15" w:type="dxa"/>
              <w:bottom w:w="0" w:type="dxa"/>
              <w:right w:w="15" w:type="dxa"/>
            </w:tcMar>
            <w:vAlign w:val="center"/>
            <w:hideMark/>
          </w:tcPr>
          <w:p w14:paraId="4206E84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1" w:type="dxa"/>
            <w:tcBorders>
              <w:top w:val="nil"/>
              <w:left w:val="nil"/>
              <w:bottom w:val="nil"/>
              <w:right w:val="nil"/>
            </w:tcBorders>
            <w:shd w:val="clear" w:color="auto" w:fill="auto"/>
            <w:tcMar>
              <w:top w:w="15" w:type="dxa"/>
              <w:left w:w="15" w:type="dxa"/>
              <w:bottom w:w="0" w:type="dxa"/>
              <w:right w:w="15" w:type="dxa"/>
            </w:tcMar>
            <w:vAlign w:val="center"/>
            <w:hideMark/>
          </w:tcPr>
          <w:p w14:paraId="1E0AA7C5"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auto"/>
            <w:tcMar>
              <w:top w:w="15" w:type="dxa"/>
              <w:left w:w="15" w:type="dxa"/>
              <w:bottom w:w="0" w:type="dxa"/>
              <w:right w:w="15" w:type="dxa"/>
            </w:tcMar>
            <w:vAlign w:val="center"/>
            <w:hideMark/>
          </w:tcPr>
          <w:p w14:paraId="19D2E338" w14:textId="77777777" w:rsidR="00EB37AF" w:rsidRPr="00EB37AF" w:rsidRDefault="00EB37AF" w:rsidP="00EB37AF">
            <w:pPr>
              <w:autoSpaceDE/>
              <w:autoSpaceDN/>
              <w:adjustRightInd/>
              <w:spacing w:after="0" w:line="360" w:lineRule="auto"/>
              <w:ind w:firstLine="0"/>
              <w:jc w:val="center"/>
              <w:rPr>
                <w:sz w:val="20"/>
                <w:szCs w:val="20"/>
              </w:rPr>
            </w:pPr>
          </w:p>
        </w:tc>
      </w:tr>
    </w:tbl>
    <w:p w14:paraId="6CF42BB6"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45"/>
        <w:gridCol w:w="3247"/>
        <w:gridCol w:w="461"/>
        <w:gridCol w:w="2611"/>
      </w:tblGrid>
      <w:tr w:rsidR="00EB37AF" w:rsidRPr="00EB37AF" w14:paraId="0D029340" w14:textId="77777777" w:rsidTr="00D74DA1">
        <w:trPr>
          <w:trHeight w:val="407"/>
        </w:trPr>
        <w:tc>
          <w:tcPr>
            <w:tcW w:w="204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E3DD595"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53</w:t>
            </w:r>
          </w:p>
        </w:tc>
        <w:tc>
          <w:tcPr>
            <w:tcW w:w="324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537A7B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1/CV1</w:t>
            </w:r>
          </w:p>
        </w:tc>
        <w:tc>
          <w:tcPr>
            <w:tcW w:w="46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329272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CD0456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2/CV1</w:t>
            </w:r>
          </w:p>
        </w:tc>
      </w:tr>
      <w:tr w:rsidR="00EB37AF" w:rsidRPr="00EB37AF" w14:paraId="5C45ABF8" w14:textId="77777777" w:rsidTr="00D74DA1">
        <w:trPr>
          <w:trHeight w:val="407"/>
        </w:trPr>
        <w:tc>
          <w:tcPr>
            <w:tcW w:w="204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6D7BF3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4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DCF66F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w:t>
            </w:r>
          </w:p>
        </w:tc>
        <w:tc>
          <w:tcPr>
            <w:tcW w:w="46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8ADDE3B"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13368B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w:t>
            </w:r>
          </w:p>
        </w:tc>
      </w:tr>
      <w:tr w:rsidR="00EB37AF" w:rsidRPr="00EB37AF" w14:paraId="792DFD38" w14:textId="77777777" w:rsidTr="00D74DA1">
        <w:trPr>
          <w:trHeight w:val="407"/>
        </w:trPr>
        <w:tc>
          <w:tcPr>
            <w:tcW w:w="2045" w:type="dxa"/>
            <w:tcBorders>
              <w:top w:val="nil"/>
              <w:left w:val="nil"/>
              <w:bottom w:val="nil"/>
              <w:right w:val="nil"/>
            </w:tcBorders>
            <w:shd w:val="clear" w:color="auto" w:fill="D6DCE5"/>
            <w:tcMar>
              <w:top w:w="15" w:type="dxa"/>
              <w:left w:w="15" w:type="dxa"/>
              <w:bottom w:w="0" w:type="dxa"/>
              <w:right w:w="15" w:type="dxa"/>
            </w:tcMar>
            <w:vAlign w:val="center"/>
            <w:hideMark/>
          </w:tcPr>
          <w:p w14:paraId="77E3216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47" w:type="dxa"/>
            <w:tcBorders>
              <w:top w:val="nil"/>
              <w:left w:val="nil"/>
              <w:bottom w:val="nil"/>
              <w:right w:val="nil"/>
            </w:tcBorders>
            <w:shd w:val="clear" w:color="auto" w:fill="D6DCE5"/>
            <w:tcMar>
              <w:top w:w="15" w:type="dxa"/>
              <w:left w:w="15" w:type="dxa"/>
              <w:bottom w:w="0" w:type="dxa"/>
              <w:right w:w="15" w:type="dxa"/>
            </w:tcMar>
            <w:vAlign w:val="center"/>
            <w:hideMark/>
          </w:tcPr>
          <w:p w14:paraId="5F867F1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12,1</w:t>
            </w:r>
          </w:p>
        </w:tc>
        <w:tc>
          <w:tcPr>
            <w:tcW w:w="461" w:type="dxa"/>
            <w:tcBorders>
              <w:top w:val="nil"/>
              <w:left w:val="nil"/>
              <w:bottom w:val="nil"/>
              <w:right w:val="nil"/>
            </w:tcBorders>
            <w:shd w:val="clear" w:color="auto" w:fill="D6DCE5"/>
            <w:tcMar>
              <w:top w:w="15" w:type="dxa"/>
              <w:left w:w="15" w:type="dxa"/>
              <w:bottom w:w="0" w:type="dxa"/>
              <w:right w:w="15" w:type="dxa"/>
            </w:tcMar>
            <w:vAlign w:val="center"/>
            <w:hideMark/>
          </w:tcPr>
          <w:p w14:paraId="45C627DD"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D6DCE5"/>
            <w:tcMar>
              <w:top w:w="15" w:type="dxa"/>
              <w:left w:w="15" w:type="dxa"/>
              <w:bottom w:w="0" w:type="dxa"/>
              <w:right w:w="15" w:type="dxa"/>
            </w:tcMar>
            <w:vAlign w:val="center"/>
            <w:hideMark/>
          </w:tcPr>
          <w:p w14:paraId="5DF41DF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30,8</w:t>
            </w:r>
          </w:p>
        </w:tc>
      </w:tr>
      <w:tr w:rsidR="00EB37AF" w:rsidRPr="00EB37AF" w14:paraId="3685F57A" w14:textId="77777777" w:rsidTr="00D74DA1">
        <w:trPr>
          <w:trHeight w:val="462"/>
        </w:trPr>
        <w:tc>
          <w:tcPr>
            <w:tcW w:w="2045" w:type="dxa"/>
            <w:tcBorders>
              <w:top w:val="nil"/>
              <w:left w:val="nil"/>
              <w:bottom w:val="nil"/>
              <w:right w:val="nil"/>
            </w:tcBorders>
            <w:shd w:val="clear" w:color="auto" w:fill="auto"/>
            <w:tcMar>
              <w:top w:w="15" w:type="dxa"/>
              <w:left w:w="15" w:type="dxa"/>
              <w:bottom w:w="0" w:type="dxa"/>
              <w:right w:w="15" w:type="dxa"/>
            </w:tcMar>
            <w:vAlign w:val="center"/>
            <w:hideMark/>
          </w:tcPr>
          <w:p w14:paraId="7458368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47" w:type="dxa"/>
            <w:tcBorders>
              <w:top w:val="nil"/>
              <w:left w:val="nil"/>
              <w:bottom w:val="nil"/>
              <w:right w:val="nil"/>
            </w:tcBorders>
            <w:shd w:val="clear" w:color="auto" w:fill="auto"/>
            <w:tcMar>
              <w:top w:w="15" w:type="dxa"/>
              <w:left w:w="15" w:type="dxa"/>
              <w:bottom w:w="0" w:type="dxa"/>
              <w:right w:w="15" w:type="dxa"/>
            </w:tcMar>
            <w:vAlign w:val="center"/>
            <w:hideMark/>
          </w:tcPr>
          <w:p w14:paraId="77314D3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1" w:type="dxa"/>
            <w:tcBorders>
              <w:top w:val="nil"/>
              <w:left w:val="nil"/>
              <w:bottom w:val="nil"/>
              <w:right w:val="nil"/>
            </w:tcBorders>
            <w:shd w:val="clear" w:color="auto" w:fill="auto"/>
            <w:tcMar>
              <w:top w:w="15" w:type="dxa"/>
              <w:left w:w="15" w:type="dxa"/>
              <w:bottom w:w="0" w:type="dxa"/>
              <w:right w:w="15" w:type="dxa"/>
            </w:tcMar>
            <w:vAlign w:val="center"/>
            <w:hideMark/>
          </w:tcPr>
          <w:p w14:paraId="396CCF70" w14:textId="77777777" w:rsidR="00EB37AF" w:rsidRPr="00EB37AF" w:rsidRDefault="00EB37AF" w:rsidP="00EB37AF">
            <w:pPr>
              <w:autoSpaceDE/>
              <w:autoSpaceDN/>
              <w:adjustRightInd/>
              <w:spacing w:after="0" w:line="360" w:lineRule="auto"/>
              <w:ind w:firstLine="0"/>
              <w:jc w:val="center"/>
              <w:rPr>
                <w:sz w:val="20"/>
                <w:szCs w:val="20"/>
              </w:rPr>
            </w:pPr>
          </w:p>
        </w:tc>
        <w:tc>
          <w:tcPr>
            <w:tcW w:w="2611" w:type="dxa"/>
            <w:tcBorders>
              <w:top w:val="nil"/>
              <w:left w:val="nil"/>
              <w:bottom w:val="nil"/>
              <w:right w:val="nil"/>
            </w:tcBorders>
            <w:shd w:val="clear" w:color="auto" w:fill="auto"/>
            <w:tcMar>
              <w:top w:w="15" w:type="dxa"/>
              <w:left w:w="15" w:type="dxa"/>
              <w:bottom w:w="0" w:type="dxa"/>
              <w:right w:w="15" w:type="dxa"/>
            </w:tcMar>
            <w:vAlign w:val="center"/>
            <w:hideMark/>
          </w:tcPr>
          <w:p w14:paraId="1E5ED109" w14:textId="77777777" w:rsidR="00EB37AF" w:rsidRPr="00EB37AF" w:rsidRDefault="00EB37AF" w:rsidP="00EB37AF">
            <w:pPr>
              <w:autoSpaceDE/>
              <w:autoSpaceDN/>
              <w:adjustRightInd/>
              <w:spacing w:after="0" w:line="360" w:lineRule="auto"/>
              <w:ind w:firstLine="0"/>
              <w:jc w:val="center"/>
              <w:rPr>
                <w:sz w:val="20"/>
                <w:szCs w:val="20"/>
              </w:rPr>
            </w:pPr>
          </w:p>
        </w:tc>
      </w:tr>
    </w:tbl>
    <w:p w14:paraId="4C270D6E"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325"/>
        <w:gridCol w:w="3707"/>
        <w:gridCol w:w="521"/>
        <w:gridCol w:w="1811"/>
      </w:tblGrid>
      <w:tr w:rsidR="00EB37AF" w:rsidRPr="00EB37AF" w14:paraId="666FD318" w14:textId="77777777" w:rsidTr="00D74DA1">
        <w:trPr>
          <w:trHeight w:val="429"/>
        </w:trPr>
        <w:tc>
          <w:tcPr>
            <w:tcW w:w="232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13B1313"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54</w:t>
            </w:r>
          </w:p>
        </w:tc>
        <w:tc>
          <w:tcPr>
            <w:tcW w:w="370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25778C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CV1/ 17 DAP</w:t>
            </w:r>
            <w:r w:rsidRPr="00EB37AF">
              <w:rPr>
                <w:b/>
                <w:sz w:val="20"/>
                <w:szCs w:val="20"/>
                <w:vertAlign w:val="subscript"/>
              </w:rPr>
              <w:t>0</w:t>
            </w:r>
          </w:p>
        </w:tc>
        <w:tc>
          <w:tcPr>
            <w:tcW w:w="52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0C1189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18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AD98929"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CV1/ 35 DAP</w:t>
            </w:r>
            <w:r w:rsidRPr="00EB37AF">
              <w:rPr>
                <w:b/>
                <w:sz w:val="20"/>
                <w:szCs w:val="20"/>
                <w:vertAlign w:val="subscript"/>
              </w:rPr>
              <w:t>0</w:t>
            </w:r>
          </w:p>
        </w:tc>
      </w:tr>
      <w:tr w:rsidR="00EB37AF" w:rsidRPr="00EB37AF" w14:paraId="62CAA1CD" w14:textId="77777777" w:rsidTr="00D74DA1">
        <w:trPr>
          <w:trHeight w:val="429"/>
        </w:trPr>
        <w:tc>
          <w:tcPr>
            <w:tcW w:w="232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B021A7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70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ABDD31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c>
          <w:tcPr>
            <w:tcW w:w="52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F5727FD"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DA5F59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r>
      <w:tr w:rsidR="00EB37AF" w:rsidRPr="00EB37AF" w14:paraId="2491043C" w14:textId="77777777" w:rsidTr="00D74DA1">
        <w:trPr>
          <w:trHeight w:val="429"/>
        </w:trPr>
        <w:tc>
          <w:tcPr>
            <w:tcW w:w="2325" w:type="dxa"/>
            <w:tcBorders>
              <w:top w:val="nil"/>
              <w:left w:val="nil"/>
              <w:bottom w:val="nil"/>
              <w:right w:val="nil"/>
            </w:tcBorders>
            <w:shd w:val="clear" w:color="auto" w:fill="D6DCE5"/>
            <w:tcMar>
              <w:top w:w="15" w:type="dxa"/>
              <w:left w:w="15" w:type="dxa"/>
              <w:bottom w:w="0" w:type="dxa"/>
              <w:right w:w="15" w:type="dxa"/>
            </w:tcMar>
            <w:vAlign w:val="center"/>
            <w:hideMark/>
          </w:tcPr>
          <w:p w14:paraId="12AE257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707" w:type="dxa"/>
            <w:tcBorders>
              <w:top w:val="nil"/>
              <w:left w:val="nil"/>
              <w:bottom w:val="nil"/>
              <w:right w:val="nil"/>
            </w:tcBorders>
            <w:shd w:val="clear" w:color="auto" w:fill="D6DCE5"/>
            <w:tcMar>
              <w:top w:w="15" w:type="dxa"/>
              <w:left w:w="15" w:type="dxa"/>
              <w:bottom w:w="0" w:type="dxa"/>
              <w:right w:w="15" w:type="dxa"/>
            </w:tcMar>
            <w:vAlign w:val="center"/>
            <w:hideMark/>
          </w:tcPr>
          <w:p w14:paraId="3DE11B7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15,4</w:t>
            </w:r>
          </w:p>
        </w:tc>
        <w:tc>
          <w:tcPr>
            <w:tcW w:w="521" w:type="dxa"/>
            <w:tcBorders>
              <w:top w:val="nil"/>
              <w:left w:val="nil"/>
              <w:bottom w:val="nil"/>
              <w:right w:val="nil"/>
            </w:tcBorders>
            <w:shd w:val="clear" w:color="auto" w:fill="D6DCE5"/>
            <w:tcMar>
              <w:top w:w="15" w:type="dxa"/>
              <w:left w:w="15" w:type="dxa"/>
              <w:bottom w:w="0" w:type="dxa"/>
              <w:right w:w="15" w:type="dxa"/>
            </w:tcMar>
            <w:vAlign w:val="center"/>
            <w:hideMark/>
          </w:tcPr>
          <w:p w14:paraId="7FE71252"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nil"/>
              <w:left w:val="nil"/>
              <w:bottom w:val="nil"/>
              <w:right w:val="nil"/>
            </w:tcBorders>
            <w:shd w:val="clear" w:color="auto" w:fill="D6DCE5"/>
            <w:tcMar>
              <w:top w:w="15" w:type="dxa"/>
              <w:left w:w="15" w:type="dxa"/>
              <w:bottom w:w="0" w:type="dxa"/>
              <w:right w:w="15" w:type="dxa"/>
            </w:tcMar>
            <w:vAlign w:val="center"/>
            <w:hideMark/>
          </w:tcPr>
          <w:p w14:paraId="5EB6C42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28,2</w:t>
            </w:r>
          </w:p>
        </w:tc>
      </w:tr>
      <w:tr w:rsidR="00EB37AF" w:rsidRPr="00EB37AF" w14:paraId="10C7BB77" w14:textId="77777777" w:rsidTr="00D74DA1">
        <w:trPr>
          <w:trHeight w:val="487"/>
        </w:trPr>
        <w:tc>
          <w:tcPr>
            <w:tcW w:w="2325" w:type="dxa"/>
            <w:tcBorders>
              <w:top w:val="nil"/>
              <w:left w:val="nil"/>
              <w:bottom w:val="nil"/>
              <w:right w:val="nil"/>
            </w:tcBorders>
            <w:shd w:val="clear" w:color="auto" w:fill="auto"/>
            <w:tcMar>
              <w:top w:w="15" w:type="dxa"/>
              <w:left w:w="15" w:type="dxa"/>
              <w:bottom w:w="0" w:type="dxa"/>
              <w:right w:w="15" w:type="dxa"/>
            </w:tcMar>
            <w:vAlign w:val="center"/>
            <w:hideMark/>
          </w:tcPr>
          <w:p w14:paraId="6A5C3E5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707" w:type="dxa"/>
            <w:tcBorders>
              <w:top w:val="nil"/>
              <w:left w:val="nil"/>
              <w:bottom w:val="nil"/>
              <w:right w:val="nil"/>
            </w:tcBorders>
            <w:shd w:val="clear" w:color="auto" w:fill="auto"/>
            <w:tcMar>
              <w:top w:w="15" w:type="dxa"/>
              <w:left w:w="15" w:type="dxa"/>
              <w:bottom w:w="0" w:type="dxa"/>
              <w:right w:w="15" w:type="dxa"/>
            </w:tcMar>
            <w:vAlign w:val="center"/>
            <w:hideMark/>
          </w:tcPr>
          <w:p w14:paraId="6FD1B4C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0,026</w:t>
            </w:r>
          </w:p>
        </w:tc>
        <w:tc>
          <w:tcPr>
            <w:tcW w:w="521" w:type="dxa"/>
            <w:tcBorders>
              <w:top w:val="nil"/>
              <w:left w:val="nil"/>
              <w:bottom w:val="nil"/>
              <w:right w:val="nil"/>
            </w:tcBorders>
            <w:shd w:val="clear" w:color="auto" w:fill="auto"/>
            <w:tcMar>
              <w:top w:w="15" w:type="dxa"/>
              <w:left w:w="15" w:type="dxa"/>
              <w:bottom w:w="0" w:type="dxa"/>
              <w:right w:w="15" w:type="dxa"/>
            </w:tcMar>
            <w:vAlign w:val="center"/>
            <w:hideMark/>
          </w:tcPr>
          <w:p w14:paraId="5B111035"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nil"/>
              <w:left w:val="nil"/>
              <w:bottom w:val="nil"/>
              <w:right w:val="nil"/>
            </w:tcBorders>
            <w:shd w:val="clear" w:color="auto" w:fill="auto"/>
            <w:tcMar>
              <w:top w:w="15" w:type="dxa"/>
              <w:left w:w="15" w:type="dxa"/>
              <w:bottom w:w="0" w:type="dxa"/>
              <w:right w:w="15" w:type="dxa"/>
            </w:tcMar>
            <w:vAlign w:val="center"/>
            <w:hideMark/>
          </w:tcPr>
          <w:p w14:paraId="38A799E5" w14:textId="77777777" w:rsidR="00EB37AF" w:rsidRPr="00EB37AF" w:rsidRDefault="00EB37AF" w:rsidP="00EB37AF">
            <w:pPr>
              <w:autoSpaceDE/>
              <w:autoSpaceDN/>
              <w:adjustRightInd/>
              <w:spacing w:after="0" w:line="360" w:lineRule="auto"/>
              <w:ind w:firstLine="0"/>
              <w:jc w:val="center"/>
              <w:rPr>
                <w:sz w:val="20"/>
                <w:szCs w:val="20"/>
              </w:rPr>
            </w:pPr>
          </w:p>
        </w:tc>
      </w:tr>
    </w:tbl>
    <w:p w14:paraId="596F6C77" w14:textId="77777777" w:rsidR="00EB37AF" w:rsidRPr="00EB37AF" w:rsidRDefault="00EB37AF" w:rsidP="00EB37AF">
      <w:pPr>
        <w:autoSpaceDE/>
        <w:autoSpaceDN/>
        <w:adjustRightInd/>
        <w:spacing w:after="0" w:line="360" w:lineRule="auto"/>
        <w:ind w:firstLine="0"/>
        <w:jc w:val="center"/>
        <w:rPr>
          <w:b/>
          <w:sz w:val="20"/>
          <w:szCs w:val="20"/>
        </w:rPr>
      </w:pPr>
    </w:p>
    <w:p w14:paraId="22A0FFD4" w14:textId="77777777" w:rsidR="00EB37AF" w:rsidRPr="00EB37AF" w:rsidRDefault="00EB37AF" w:rsidP="00EB37AF">
      <w:pPr>
        <w:autoSpaceDE/>
        <w:autoSpaceDN/>
        <w:adjustRightInd/>
        <w:spacing w:after="0" w:line="360" w:lineRule="auto"/>
        <w:ind w:firstLine="0"/>
        <w:jc w:val="center"/>
        <w:rPr>
          <w:b/>
          <w:sz w:val="20"/>
          <w:szCs w:val="20"/>
        </w:rPr>
      </w:pPr>
    </w:p>
    <w:p w14:paraId="15831F64" w14:textId="77777777" w:rsidR="00EB37AF" w:rsidRPr="00EB37AF" w:rsidRDefault="00EB37AF" w:rsidP="00EB37AF">
      <w:pPr>
        <w:autoSpaceDE/>
        <w:autoSpaceDN/>
        <w:adjustRightInd/>
        <w:spacing w:after="0" w:line="360" w:lineRule="auto"/>
        <w:ind w:firstLine="0"/>
        <w:jc w:val="center"/>
        <w:rPr>
          <w:b/>
          <w:sz w:val="20"/>
          <w:szCs w:val="20"/>
        </w:rPr>
      </w:pPr>
    </w:p>
    <w:tbl>
      <w:tblPr>
        <w:tblW w:w="8364" w:type="dxa"/>
        <w:tblCellMar>
          <w:left w:w="0" w:type="dxa"/>
          <w:right w:w="0" w:type="dxa"/>
        </w:tblCellMar>
        <w:tblLook w:val="0600" w:firstRow="0" w:lastRow="0" w:firstColumn="0" w:lastColumn="0" w:noHBand="1" w:noVBand="1"/>
      </w:tblPr>
      <w:tblGrid>
        <w:gridCol w:w="2325"/>
        <w:gridCol w:w="3707"/>
        <w:gridCol w:w="521"/>
        <w:gridCol w:w="1811"/>
      </w:tblGrid>
      <w:tr w:rsidR="00EB37AF" w:rsidRPr="00EB37AF" w14:paraId="725687DC" w14:textId="77777777" w:rsidTr="00D74DA1">
        <w:trPr>
          <w:trHeight w:val="429"/>
        </w:trPr>
        <w:tc>
          <w:tcPr>
            <w:tcW w:w="232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257FBB8"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55</w:t>
            </w:r>
          </w:p>
        </w:tc>
        <w:tc>
          <w:tcPr>
            <w:tcW w:w="370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460AB1E"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CV1/ 17 DAP</w:t>
            </w:r>
            <w:r w:rsidRPr="00EB37AF">
              <w:rPr>
                <w:b/>
                <w:sz w:val="20"/>
                <w:szCs w:val="20"/>
                <w:vertAlign w:val="subscript"/>
              </w:rPr>
              <w:t>0</w:t>
            </w:r>
          </w:p>
        </w:tc>
        <w:tc>
          <w:tcPr>
            <w:tcW w:w="52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B917F9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18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7D931C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CV1/ 52 DAP</w:t>
            </w:r>
            <w:r w:rsidRPr="00EB37AF">
              <w:rPr>
                <w:b/>
                <w:sz w:val="20"/>
                <w:szCs w:val="20"/>
                <w:vertAlign w:val="subscript"/>
              </w:rPr>
              <w:t>0</w:t>
            </w:r>
          </w:p>
        </w:tc>
      </w:tr>
      <w:tr w:rsidR="00EB37AF" w:rsidRPr="00EB37AF" w14:paraId="3B058D0A" w14:textId="77777777" w:rsidTr="00D74DA1">
        <w:trPr>
          <w:trHeight w:val="429"/>
        </w:trPr>
        <w:tc>
          <w:tcPr>
            <w:tcW w:w="232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CA6FF7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70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DA2DAC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c>
          <w:tcPr>
            <w:tcW w:w="52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BB01C2C"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E35A4F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r>
      <w:tr w:rsidR="00EB37AF" w:rsidRPr="00EB37AF" w14:paraId="6E9D3086" w14:textId="77777777" w:rsidTr="00D74DA1">
        <w:trPr>
          <w:trHeight w:val="429"/>
        </w:trPr>
        <w:tc>
          <w:tcPr>
            <w:tcW w:w="2325" w:type="dxa"/>
            <w:tcBorders>
              <w:top w:val="nil"/>
              <w:left w:val="nil"/>
              <w:bottom w:val="nil"/>
              <w:right w:val="nil"/>
            </w:tcBorders>
            <w:shd w:val="clear" w:color="auto" w:fill="D6DCE5"/>
            <w:tcMar>
              <w:top w:w="15" w:type="dxa"/>
              <w:left w:w="15" w:type="dxa"/>
              <w:bottom w:w="0" w:type="dxa"/>
              <w:right w:w="15" w:type="dxa"/>
            </w:tcMar>
            <w:vAlign w:val="center"/>
            <w:hideMark/>
          </w:tcPr>
          <w:p w14:paraId="5F008A2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707" w:type="dxa"/>
            <w:tcBorders>
              <w:top w:val="nil"/>
              <w:left w:val="nil"/>
              <w:bottom w:val="nil"/>
              <w:right w:val="nil"/>
            </w:tcBorders>
            <w:shd w:val="clear" w:color="auto" w:fill="D6DCE5"/>
            <w:tcMar>
              <w:top w:w="15" w:type="dxa"/>
              <w:left w:w="15" w:type="dxa"/>
              <w:bottom w:w="0" w:type="dxa"/>
              <w:right w:w="15" w:type="dxa"/>
            </w:tcMar>
            <w:vAlign w:val="center"/>
            <w:hideMark/>
          </w:tcPr>
          <w:p w14:paraId="32C0EBF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15,4</w:t>
            </w:r>
          </w:p>
        </w:tc>
        <w:tc>
          <w:tcPr>
            <w:tcW w:w="521" w:type="dxa"/>
            <w:tcBorders>
              <w:top w:val="nil"/>
              <w:left w:val="nil"/>
              <w:bottom w:val="nil"/>
              <w:right w:val="nil"/>
            </w:tcBorders>
            <w:shd w:val="clear" w:color="auto" w:fill="D6DCE5"/>
            <w:tcMar>
              <w:top w:w="15" w:type="dxa"/>
              <w:left w:w="15" w:type="dxa"/>
              <w:bottom w:w="0" w:type="dxa"/>
              <w:right w:w="15" w:type="dxa"/>
            </w:tcMar>
            <w:vAlign w:val="center"/>
            <w:hideMark/>
          </w:tcPr>
          <w:p w14:paraId="2E29F904"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nil"/>
              <w:left w:val="nil"/>
              <w:bottom w:val="nil"/>
              <w:right w:val="nil"/>
            </w:tcBorders>
            <w:shd w:val="clear" w:color="auto" w:fill="D6DCE5"/>
            <w:tcMar>
              <w:top w:w="15" w:type="dxa"/>
              <w:left w:w="15" w:type="dxa"/>
              <w:bottom w:w="0" w:type="dxa"/>
              <w:right w:w="15" w:type="dxa"/>
            </w:tcMar>
            <w:vAlign w:val="center"/>
            <w:hideMark/>
          </w:tcPr>
          <w:p w14:paraId="1B42D97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23,6</w:t>
            </w:r>
          </w:p>
        </w:tc>
      </w:tr>
      <w:tr w:rsidR="00EB37AF" w:rsidRPr="00EB37AF" w14:paraId="764F5930" w14:textId="77777777" w:rsidTr="00D74DA1">
        <w:trPr>
          <w:trHeight w:val="487"/>
        </w:trPr>
        <w:tc>
          <w:tcPr>
            <w:tcW w:w="2325" w:type="dxa"/>
            <w:tcBorders>
              <w:top w:val="nil"/>
              <w:left w:val="nil"/>
              <w:bottom w:val="nil"/>
              <w:right w:val="nil"/>
            </w:tcBorders>
            <w:shd w:val="clear" w:color="auto" w:fill="auto"/>
            <w:tcMar>
              <w:top w:w="15" w:type="dxa"/>
              <w:left w:w="15" w:type="dxa"/>
              <w:bottom w:w="0" w:type="dxa"/>
              <w:right w:w="15" w:type="dxa"/>
            </w:tcMar>
            <w:vAlign w:val="center"/>
            <w:hideMark/>
          </w:tcPr>
          <w:p w14:paraId="1F5B686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707" w:type="dxa"/>
            <w:tcBorders>
              <w:top w:val="nil"/>
              <w:left w:val="nil"/>
              <w:bottom w:val="nil"/>
              <w:right w:val="nil"/>
            </w:tcBorders>
            <w:shd w:val="clear" w:color="auto" w:fill="auto"/>
            <w:tcMar>
              <w:top w:w="15" w:type="dxa"/>
              <w:left w:w="15" w:type="dxa"/>
              <w:bottom w:w="0" w:type="dxa"/>
              <w:right w:w="15" w:type="dxa"/>
            </w:tcMar>
            <w:vAlign w:val="center"/>
            <w:hideMark/>
          </w:tcPr>
          <w:p w14:paraId="10C154F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521" w:type="dxa"/>
            <w:tcBorders>
              <w:top w:val="nil"/>
              <w:left w:val="nil"/>
              <w:bottom w:val="nil"/>
              <w:right w:val="nil"/>
            </w:tcBorders>
            <w:shd w:val="clear" w:color="auto" w:fill="auto"/>
            <w:tcMar>
              <w:top w:w="15" w:type="dxa"/>
              <w:left w:w="15" w:type="dxa"/>
              <w:bottom w:w="0" w:type="dxa"/>
              <w:right w:w="15" w:type="dxa"/>
            </w:tcMar>
            <w:vAlign w:val="center"/>
            <w:hideMark/>
          </w:tcPr>
          <w:p w14:paraId="63E66DBC"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nil"/>
              <w:left w:val="nil"/>
              <w:bottom w:val="nil"/>
              <w:right w:val="nil"/>
            </w:tcBorders>
            <w:shd w:val="clear" w:color="auto" w:fill="auto"/>
            <w:tcMar>
              <w:top w:w="15" w:type="dxa"/>
              <w:left w:w="15" w:type="dxa"/>
              <w:bottom w:w="0" w:type="dxa"/>
              <w:right w:w="15" w:type="dxa"/>
            </w:tcMar>
            <w:vAlign w:val="center"/>
            <w:hideMark/>
          </w:tcPr>
          <w:p w14:paraId="1A0CC0DB" w14:textId="77777777" w:rsidR="00EB37AF" w:rsidRPr="00EB37AF" w:rsidRDefault="00EB37AF" w:rsidP="00EB37AF">
            <w:pPr>
              <w:autoSpaceDE/>
              <w:autoSpaceDN/>
              <w:adjustRightInd/>
              <w:spacing w:after="0" w:line="360" w:lineRule="auto"/>
              <w:ind w:firstLine="0"/>
              <w:jc w:val="center"/>
              <w:rPr>
                <w:sz w:val="20"/>
                <w:szCs w:val="20"/>
              </w:rPr>
            </w:pPr>
          </w:p>
        </w:tc>
      </w:tr>
    </w:tbl>
    <w:p w14:paraId="5D1D7927" w14:textId="77777777" w:rsidR="00EB37AF" w:rsidRPr="00EB37AF" w:rsidRDefault="00EB37AF" w:rsidP="00EB37AF">
      <w:pPr>
        <w:autoSpaceDE/>
        <w:autoSpaceDN/>
        <w:adjustRightInd/>
        <w:spacing w:after="0" w:line="360" w:lineRule="auto"/>
        <w:ind w:firstLine="0"/>
        <w:jc w:val="center"/>
        <w:rPr>
          <w:b/>
          <w:sz w:val="20"/>
          <w:szCs w:val="20"/>
        </w:rPr>
      </w:pPr>
    </w:p>
    <w:tbl>
      <w:tblPr>
        <w:tblW w:w="8364" w:type="dxa"/>
        <w:tblCellMar>
          <w:left w:w="0" w:type="dxa"/>
          <w:right w:w="0" w:type="dxa"/>
        </w:tblCellMar>
        <w:tblLook w:val="0600" w:firstRow="0" w:lastRow="0" w:firstColumn="0" w:lastColumn="0" w:noHBand="1" w:noVBand="1"/>
      </w:tblPr>
      <w:tblGrid>
        <w:gridCol w:w="2325"/>
        <w:gridCol w:w="3707"/>
        <w:gridCol w:w="521"/>
        <w:gridCol w:w="1811"/>
      </w:tblGrid>
      <w:tr w:rsidR="00EB37AF" w:rsidRPr="00EB37AF" w14:paraId="06C3D70C" w14:textId="77777777" w:rsidTr="00D74DA1">
        <w:trPr>
          <w:trHeight w:val="429"/>
        </w:trPr>
        <w:tc>
          <w:tcPr>
            <w:tcW w:w="232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EBDAA9A"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56</w:t>
            </w:r>
          </w:p>
        </w:tc>
        <w:tc>
          <w:tcPr>
            <w:tcW w:w="370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D46C33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CV1/ 35 DAP</w:t>
            </w:r>
            <w:r w:rsidRPr="00EB37AF">
              <w:rPr>
                <w:b/>
                <w:sz w:val="20"/>
                <w:szCs w:val="20"/>
                <w:vertAlign w:val="subscript"/>
              </w:rPr>
              <w:t>0</w:t>
            </w:r>
          </w:p>
        </w:tc>
        <w:tc>
          <w:tcPr>
            <w:tcW w:w="52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EBB023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1811"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750185F"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CV1/52 DAP</w:t>
            </w:r>
            <w:r w:rsidRPr="00EB37AF">
              <w:rPr>
                <w:b/>
                <w:sz w:val="20"/>
                <w:szCs w:val="20"/>
                <w:vertAlign w:val="subscript"/>
              </w:rPr>
              <w:t>0</w:t>
            </w:r>
          </w:p>
        </w:tc>
      </w:tr>
      <w:tr w:rsidR="00EB37AF" w:rsidRPr="00EB37AF" w14:paraId="55AE6779" w14:textId="77777777" w:rsidTr="00D74DA1">
        <w:trPr>
          <w:trHeight w:val="429"/>
        </w:trPr>
        <w:tc>
          <w:tcPr>
            <w:tcW w:w="232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21D955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70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3F7FED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c>
          <w:tcPr>
            <w:tcW w:w="52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BF8EAE1"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75792F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r>
      <w:tr w:rsidR="00EB37AF" w:rsidRPr="00EB37AF" w14:paraId="1E899056" w14:textId="77777777" w:rsidTr="00D74DA1">
        <w:trPr>
          <w:trHeight w:val="429"/>
        </w:trPr>
        <w:tc>
          <w:tcPr>
            <w:tcW w:w="2325" w:type="dxa"/>
            <w:tcBorders>
              <w:top w:val="nil"/>
              <w:left w:val="nil"/>
              <w:bottom w:val="nil"/>
              <w:right w:val="nil"/>
            </w:tcBorders>
            <w:shd w:val="clear" w:color="auto" w:fill="D6DCE5"/>
            <w:tcMar>
              <w:top w:w="15" w:type="dxa"/>
              <w:left w:w="15" w:type="dxa"/>
              <w:bottom w:w="0" w:type="dxa"/>
              <w:right w:w="15" w:type="dxa"/>
            </w:tcMar>
            <w:vAlign w:val="center"/>
            <w:hideMark/>
          </w:tcPr>
          <w:p w14:paraId="1EC460F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707" w:type="dxa"/>
            <w:tcBorders>
              <w:top w:val="nil"/>
              <w:left w:val="nil"/>
              <w:bottom w:val="nil"/>
              <w:right w:val="nil"/>
            </w:tcBorders>
            <w:shd w:val="clear" w:color="auto" w:fill="D6DCE5"/>
            <w:tcMar>
              <w:top w:w="15" w:type="dxa"/>
              <w:left w:w="15" w:type="dxa"/>
              <w:bottom w:w="0" w:type="dxa"/>
              <w:right w:w="15" w:type="dxa"/>
            </w:tcMar>
            <w:vAlign w:val="center"/>
            <w:hideMark/>
          </w:tcPr>
          <w:p w14:paraId="6EC83BD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28,2</w:t>
            </w:r>
          </w:p>
        </w:tc>
        <w:tc>
          <w:tcPr>
            <w:tcW w:w="521" w:type="dxa"/>
            <w:tcBorders>
              <w:top w:val="nil"/>
              <w:left w:val="nil"/>
              <w:bottom w:val="nil"/>
              <w:right w:val="nil"/>
            </w:tcBorders>
            <w:shd w:val="clear" w:color="auto" w:fill="D6DCE5"/>
            <w:tcMar>
              <w:top w:w="15" w:type="dxa"/>
              <w:left w:w="15" w:type="dxa"/>
              <w:bottom w:w="0" w:type="dxa"/>
              <w:right w:w="15" w:type="dxa"/>
            </w:tcMar>
            <w:vAlign w:val="center"/>
            <w:hideMark/>
          </w:tcPr>
          <w:p w14:paraId="12AD9B94"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nil"/>
              <w:left w:val="nil"/>
              <w:bottom w:val="nil"/>
              <w:right w:val="nil"/>
            </w:tcBorders>
            <w:shd w:val="clear" w:color="auto" w:fill="D6DCE5"/>
            <w:tcMar>
              <w:top w:w="15" w:type="dxa"/>
              <w:left w:w="15" w:type="dxa"/>
              <w:bottom w:w="0" w:type="dxa"/>
              <w:right w:w="15" w:type="dxa"/>
            </w:tcMar>
            <w:vAlign w:val="center"/>
            <w:hideMark/>
          </w:tcPr>
          <w:p w14:paraId="29362DD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23,6</w:t>
            </w:r>
          </w:p>
        </w:tc>
      </w:tr>
      <w:tr w:rsidR="00EB37AF" w:rsidRPr="00EB37AF" w14:paraId="4EEE195B" w14:textId="77777777" w:rsidTr="00D74DA1">
        <w:trPr>
          <w:trHeight w:val="487"/>
        </w:trPr>
        <w:tc>
          <w:tcPr>
            <w:tcW w:w="2325" w:type="dxa"/>
            <w:tcBorders>
              <w:top w:val="nil"/>
              <w:left w:val="nil"/>
              <w:bottom w:val="nil"/>
              <w:right w:val="nil"/>
            </w:tcBorders>
            <w:shd w:val="clear" w:color="auto" w:fill="auto"/>
            <w:tcMar>
              <w:top w:w="15" w:type="dxa"/>
              <w:left w:w="15" w:type="dxa"/>
              <w:bottom w:w="0" w:type="dxa"/>
              <w:right w:w="15" w:type="dxa"/>
            </w:tcMar>
            <w:vAlign w:val="center"/>
            <w:hideMark/>
          </w:tcPr>
          <w:p w14:paraId="1E72F70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707" w:type="dxa"/>
            <w:tcBorders>
              <w:top w:val="nil"/>
              <w:left w:val="nil"/>
              <w:bottom w:val="nil"/>
              <w:right w:val="nil"/>
            </w:tcBorders>
            <w:shd w:val="clear" w:color="auto" w:fill="auto"/>
            <w:tcMar>
              <w:top w:w="15" w:type="dxa"/>
              <w:left w:w="15" w:type="dxa"/>
              <w:bottom w:w="0" w:type="dxa"/>
              <w:right w:w="15" w:type="dxa"/>
            </w:tcMar>
            <w:vAlign w:val="center"/>
            <w:hideMark/>
          </w:tcPr>
          <w:p w14:paraId="3B7C965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521" w:type="dxa"/>
            <w:tcBorders>
              <w:top w:val="nil"/>
              <w:left w:val="nil"/>
              <w:bottom w:val="nil"/>
              <w:right w:val="nil"/>
            </w:tcBorders>
            <w:shd w:val="clear" w:color="auto" w:fill="auto"/>
            <w:tcMar>
              <w:top w:w="15" w:type="dxa"/>
              <w:left w:w="15" w:type="dxa"/>
              <w:bottom w:w="0" w:type="dxa"/>
              <w:right w:w="15" w:type="dxa"/>
            </w:tcMar>
            <w:vAlign w:val="center"/>
            <w:hideMark/>
          </w:tcPr>
          <w:p w14:paraId="359FB782" w14:textId="77777777" w:rsidR="00EB37AF" w:rsidRPr="00EB37AF" w:rsidRDefault="00EB37AF" w:rsidP="00EB37AF">
            <w:pPr>
              <w:autoSpaceDE/>
              <w:autoSpaceDN/>
              <w:adjustRightInd/>
              <w:spacing w:after="0" w:line="360" w:lineRule="auto"/>
              <w:ind w:firstLine="0"/>
              <w:jc w:val="center"/>
              <w:rPr>
                <w:sz w:val="20"/>
                <w:szCs w:val="20"/>
              </w:rPr>
            </w:pPr>
          </w:p>
        </w:tc>
        <w:tc>
          <w:tcPr>
            <w:tcW w:w="1811" w:type="dxa"/>
            <w:tcBorders>
              <w:top w:val="nil"/>
              <w:left w:val="nil"/>
              <w:bottom w:val="nil"/>
              <w:right w:val="nil"/>
            </w:tcBorders>
            <w:shd w:val="clear" w:color="auto" w:fill="auto"/>
            <w:tcMar>
              <w:top w:w="15" w:type="dxa"/>
              <w:left w:w="15" w:type="dxa"/>
              <w:bottom w:w="0" w:type="dxa"/>
              <w:right w:w="15" w:type="dxa"/>
            </w:tcMar>
            <w:vAlign w:val="center"/>
            <w:hideMark/>
          </w:tcPr>
          <w:p w14:paraId="4B4FC966" w14:textId="77777777" w:rsidR="00EB37AF" w:rsidRPr="00EB37AF" w:rsidRDefault="00EB37AF" w:rsidP="00EB37AF">
            <w:pPr>
              <w:autoSpaceDE/>
              <w:autoSpaceDN/>
              <w:adjustRightInd/>
              <w:spacing w:after="0" w:line="360" w:lineRule="auto"/>
              <w:ind w:firstLine="0"/>
              <w:jc w:val="center"/>
              <w:rPr>
                <w:sz w:val="20"/>
                <w:szCs w:val="20"/>
              </w:rPr>
            </w:pPr>
          </w:p>
        </w:tc>
      </w:tr>
    </w:tbl>
    <w:p w14:paraId="1F4FA6F4"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51BE5FA5"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DC4B1E3"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57</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DE923B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/CV1</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40CCE1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A4A5C29"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/CV1</w:t>
            </w:r>
          </w:p>
        </w:tc>
      </w:tr>
      <w:tr w:rsidR="00EB37AF" w:rsidRPr="00EB37AF" w14:paraId="4DB026E6"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F68131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6B1EEA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31DD344"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3E939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w:t>
            </w:r>
          </w:p>
        </w:tc>
      </w:tr>
      <w:tr w:rsidR="00EB37AF" w:rsidRPr="00EB37AF" w14:paraId="26CC938F"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79D11DE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6674B9F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22,8</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270E7E83"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72183C4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22</w:t>
            </w:r>
          </w:p>
        </w:tc>
      </w:tr>
      <w:tr w:rsidR="00EB37AF" w:rsidRPr="00EB37AF" w14:paraId="0589D8B4"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114597D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35DFB4A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622158EE"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345D9780" w14:textId="77777777" w:rsidR="00EB37AF" w:rsidRPr="00EB37AF" w:rsidRDefault="00EB37AF" w:rsidP="00EB37AF">
            <w:pPr>
              <w:autoSpaceDE/>
              <w:autoSpaceDN/>
              <w:adjustRightInd/>
              <w:spacing w:after="0" w:line="360" w:lineRule="auto"/>
              <w:ind w:firstLine="0"/>
              <w:jc w:val="center"/>
              <w:rPr>
                <w:sz w:val="20"/>
                <w:szCs w:val="20"/>
              </w:rPr>
            </w:pPr>
          </w:p>
        </w:tc>
      </w:tr>
    </w:tbl>
    <w:p w14:paraId="144B24A5"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69B155CE"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1C98AB6"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58</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BDB278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/CV1</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187735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46033D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Carbox./CV1</w:t>
            </w:r>
          </w:p>
        </w:tc>
      </w:tr>
      <w:tr w:rsidR="00EB37AF" w:rsidRPr="00EB37AF" w14:paraId="23AA18E1"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335C17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04BAED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 17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27F92A7"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329BFA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 17 DAP</w:t>
            </w:r>
            <w:r w:rsidRPr="00EB37AF">
              <w:rPr>
                <w:sz w:val="20"/>
                <w:szCs w:val="20"/>
                <w:vertAlign w:val="subscript"/>
              </w:rPr>
              <w:t>0</w:t>
            </w:r>
          </w:p>
        </w:tc>
      </w:tr>
      <w:tr w:rsidR="00EB37AF" w:rsidRPr="00EB37AF" w14:paraId="5E24543E"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4F89249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5B4C845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19,3</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217D4017"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5D10875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11,5</w:t>
            </w:r>
          </w:p>
        </w:tc>
      </w:tr>
      <w:tr w:rsidR="00EB37AF" w:rsidRPr="00EB37AF" w14:paraId="220E8F17"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32C0A73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23DCAB6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0,007</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63A83288"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46A77A60" w14:textId="77777777" w:rsidR="00EB37AF" w:rsidRPr="00EB37AF" w:rsidRDefault="00EB37AF" w:rsidP="00EB37AF">
            <w:pPr>
              <w:autoSpaceDE/>
              <w:autoSpaceDN/>
              <w:adjustRightInd/>
              <w:spacing w:after="0" w:line="360" w:lineRule="auto"/>
              <w:ind w:firstLine="0"/>
              <w:jc w:val="center"/>
              <w:rPr>
                <w:sz w:val="20"/>
                <w:szCs w:val="20"/>
              </w:rPr>
            </w:pPr>
          </w:p>
        </w:tc>
      </w:tr>
    </w:tbl>
    <w:p w14:paraId="23943382"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33AE68E4"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788C704"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59</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5478E3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 CV1</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526A7F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705C6F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Carbox./CV1</w:t>
            </w:r>
          </w:p>
        </w:tc>
      </w:tr>
      <w:tr w:rsidR="00EB37AF" w:rsidRPr="00EB37AF" w14:paraId="1A151E20"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4FABC2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2122A3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 35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DEB7E30"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E54E65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 35 DAP</w:t>
            </w:r>
            <w:r w:rsidRPr="00EB37AF">
              <w:rPr>
                <w:sz w:val="20"/>
                <w:szCs w:val="20"/>
                <w:vertAlign w:val="subscript"/>
              </w:rPr>
              <w:t>0</w:t>
            </w:r>
          </w:p>
        </w:tc>
      </w:tr>
      <w:tr w:rsidR="00EB37AF" w:rsidRPr="00EB37AF" w14:paraId="5A6FF673"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373183F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01A0B2D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27,3</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0CF98B3F"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5C5F98A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29,2</w:t>
            </w:r>
          </w:p>
        </w:tc>
      </w:tr>
      <w:tr w:rsidR="00EB37AF" w:rsidRPr="00EB37AF" w14:paraId="0D40C011"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144E8FB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24EC359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14D016EE"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0E0C69BA" w14:textId="77777777" w:rsidR="00EB37AF" w:rsidRPr="00EB37AF" w:rsidRDefault="00EB37AF" w:rsidP="00EB37AF">
            <w:pPr>
              <w:autoSpaceDE/>
              <w:autoSpaceDN/>
              <w:adjustRightInd/>
              <w:spacing w:after="0" w:line="360" w:lineRule="auto"/>
              <w:ind w:firstLine="0"/>
              <w:jc w:val="center"/>
              <w:rPr>
                <w:sz w:val="20"/>
                <w:szCs w:val="20"/>
              </w:rPr>
            </w:pPr>
          </w:p>
        </w:tc>
      </w:tr>
    </w:tbl>
    <w:p w14:paraId="08150832"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2C9711F2"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9E82C99"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60</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B03B98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/CV1</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8F168F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0551F1B"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/CV1</w:t>
            </w:r>
          </w:p>
        </w:tc>
      </w:tr>
      <w:tr w:rsidR="00EB37AF" w:rsidRPr="00EB37AF" w14:paraId="3CF42DE7"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A98412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E08B05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 52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E61C968"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8785F7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 52 DAP</w:t>
            </w:r>
            <w:r w:rsidRPr="00EB37AF">
              <w:rPr>
                <w:sz w:val="20"/>
                <w:szCs w:val="20"/>
                <w:vertAlign w:val="subscript"/>
              </w:rPr>
              <w:t>0</w:t>
            </w:r>
          </w:p>
        </w:tc>
      </w:tr>
      <w:tr w:rsidR="00EB37AF" w:rsidRPr="00EB37AF" w14:paraId="60A3C425"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7E91DB8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3CA0618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21,9</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6FCA3F99"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3CF6BC5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25,3</w:t>
            </w:r>
          </w:p>
        </w:tc>
      </w:tr>
      <w:tr w:rsidR="00EB37AF" w:rsidRPr="00EB37AF" w14:paraId="1DA95799"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05A8B34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33F2A3F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7E889676"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5901305D" w14:textId="77777777" w:rsidR="00EB37AF" w:rsidRPr="00EB37AF" w:rsidRDefault="00EB37AF" w:rsidP="00EB37AF">
            <w:pPr>
              <w:autoSpaceDE/>
              <w:autoSpaceDN/>
              <w:adjustRightInd/>
              <w:spacing w:after="0" w:line="360" w:lineRule="auto"/>
              <w:ind w:firstLine="0"/>
              <w:jc w:val="center"/>
              <w:rPr>
                <w:sz w:val="20"/>
                <w:szCs w:val="20"/>
              </w:rPr>
            </w:pPr>
          </w:p>
        </w:tc>
      </w:tr>
    </w:tbl>
    <w:p w14:paraId="04924D12" w14:textId="77777777" w:rsidR="00EB37AF" w:rsidRPr="00EB37AF" w:rsidRDefault="00EB37AF" w:rsidP="00EB37AF">
      <w:pPr>
        <w:autoSpaceDE/>
        <w:autoSpaceDN/>
        <w:adjustRightInd/>
        <w:spacing w:after="0" w:line="360" w:lineRule="auto"/>
        <w:ind w:firstLine="0"/>
        <w:jc w:val="center"/>
        <w:rPr>
          <w:sz w:val="20"/>
          <w:szCs w:val="20"/>
        </w:rPr>
      </w:pPr>
    </w:p>
    <w:p w14:paraId="7BA35FC3"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60"/>
        <w:gridCol w:w="460"/>
        <w:gridCol w:w="2584"/>
      </w:tblGrid>
      <w:tr w:rsidR="00EB37AF" w:rsidRPr="00EB37AF" w14:paraId="3A1878C6"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459DACD5"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61</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4CFC3DEC"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17 DAP</w:t>
            </w:r>
            <w:r w:rsidRPr="00EB37AF">
              <w:rPr>
                <w:b/>
                <w:sz w:val="20"/>
                <w:szCs w:val="20"/>
                <w:vertAlign w:val="subscript"/>
              </w:rPr>
              <w:t>0</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03E058B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8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50B7E6A7"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35 DAP</w:t>
            </w:r>
            <w:r w:rsidRPr="00EB37AF">
              <w:rPr>
                <w:b/>
                <w:sz w:val="20"/>
                <w:szCs w:val="20"/>
                <w:vertAlign w:val="subscript"/>
              </w:rPr>
              <w:t>0</w:t>
            </w:r>
          </w:p>
        </w:tc>
      </w:tr>
      <w:tr w:rsidR="00EB37AF" w:rsidRPr="00EB37AF" w14:paraId="743A697B"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7DE112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D45F5F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FF9DFEA"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010167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r>
      <w:tr w:rsidR="00EB37AF" w:rsidRPr="00EB37AF" w14:paraId="18FA12F4"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bottom"/>
            <w:hideMark/>
          </w:tcPr>
          <w:p w14:paraId="7FED91D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bottom"/>
            <w:hideMark/>
          </w:tcPr>
          <w:p w14:paraId="5801A0A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27,1</w:t>
            </w:r>
          </w:p>
        </w:tc>
        <w:tc>
          <w:tcPr>
            <w:tcW w:w="460" w:type="dxa"/>
            <w:tcBorders>
              <w:top w:val="nil"/>
              <w:left w:val="nil"/>
              <w:bottom w:val="nil"/>
              <w:right w:val="nil"/>
            </w:tcBorders>
            <w:shd w:val="clear" w:color="auto" w:fill="D6DCE5"/>
            <w:tcMar>
              <w:top w:w="15" w:type="dxa"/>
              <w:left w:w="15" w:type="dxa"/>
              <w:bottom w:w="0" w:type="dxa"/>
              <w:right w:w="15" w:type="dxa"/>
            </w:tcMar>
            <w:vAlign w:val="bottom"/>
            <w:hideMark/>
          </w:tcPr>
          <w:p w14:paraId="517C1621"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D6DCE5"/>
            <w:tcMar>
              <w:top w:w="15" w:type="dxa"/>
              <w:left w:w="15" w:type="dxa"/>
              <w:bottom w:w="0" w:type="dxa"/>
              <w:right w:w="15" w:type="dxa"/>
            </w:tcMar>
            <w:vAlign w:val="bottom"/>
            <w:hideMark/>
          </w:tcPr>
          <w:p w14:paraId="2069E16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37,4</w:t>
            </w:r>
          </w:p>
        </w:tc>
      </w:tr>
      <w:tr w:rsidR="00EB37AF" w:rsidRPr="00EB37AF" w14:paraId="07D62E59"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bottom"/>
            <w:hideMark/>
          </w:tcPr>
          <w:p w14:paraId="4CB5D3E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bottom"/>
            <w:hideMark/>
          </w:tcPr>
          <w:p w14:paraId="768E7C9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0,021</w:t>
            </w:r>
          </w:p>
        </w:tc>
        <w:tc>
          <w:tcPr>
            <w:tcW w:w="460" w:type="dxa"/>
            <w:tcBorders>
              <w:top w:val="nil"/>
              <w:left w:val="nil"/>
              <w:bottom w:val="nil"/>
              <w:right w:val="nil"/>
            </w:tcBorders>
            <w:shd w:val="clear" w:color="auto" w:fill="auto"/>
            <w:tcMar>
              <w:top w:w="15" w:type="dxa"/>
              <w:left w:w="15" w:type="dxa"/>
              <w:bottom w:w="0" w:type="dxa"/>
              <w:right w:w="15" w:type="dxa"/>
            </w:tcMar>
            <w:vAlign w:val="bottom"/>
            <w:hideMark/>
          </w:tcPr>
          <w:p w14:paraId="534F6202"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auto"/>
            <w:tcMar>
              <w:top w:w="15" w:type="dxa"/>
              <w:left w:w="15" w:type="dxa"/>
              <w:bottom w:w="0" w:type="dxa"/>
              <w:right w:w="15" w:type="dxa"/>
            </w:tcMar>
            <w:vAlign w:val="bottom"/>
            <w:hideMark/>
          </w:tcPr>
          <w:p w14:paraId="276FD1F3" w14:textId="77777777" w:rsidR="00EB37AF" w:rsidRPr="00EB37AF" w:rsidRDefault="00EB37AF" w:rsidP="00EB37AF">
            <w:pPr>
              <w:autoSpaceDE/>
              <w:autoSpaceDN/>
              <w:adjustRightInd/>
              <w:spacing w:after="0" w:line="360" w:lineRule="auto"/>
              <w:ind w:firstLine="0"/>
              <w:jc w:val="center"/>
              <w:rPr>
                <w:sz w:val="20"/>
                <w:szCs w:val="20"/>
              </w:rPr>
            </w:pPr>
          </w:p>
        </w:tc>
      </w:tr>
    </w:tbl>
    <w:p w14:paraId="3EBCC25B"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60"/>
        <w:gridCol w:w="460"/>
        <w:gridCol w:w="2584"/>
      </w:tblGrid>
      <w:tr w:rsidR="00EB37AF" w:rsidRPr="00EB37AF" w14:paraId="1A3C6E77"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6A78F579" w14:textId="77777777" w:rsidR="00EB37AF" w:rsidRPr="00EB37AF" w:rsidRDefault="00EB37AF" w:rsidP="00EB37AF">
            <w:pPr>
              <w:autoSpaceDE/>
              <w:autoSpaceDN/>
              <w:adjustRightInd/>
              <w:spacing w:after="0" w:line="360" w:lineRule="auto"/>
              <w:ind w:firstLine="0"/>
              <w:jc w:val="center"/>
              <w:rPr>
                <w:b/>
                <w:sz w:val="20"/>
                <w:szCs w:val="20"/>
              </w:rPr>
            </w:pPr>
            <w:r w:rsidRPr="00EB37AF">
              <w:rPr>
                <w:rFonts w:eastAsia="Times New Roman"/>
                <w:b/>
                <w:sz w:val="20"/>
                <w:szCs w:val="20"/>
                <w:lang w:eastAsia="pt-BR"/>
              </w:rPr>
              <w:t>Contraste 62</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3D6E09AF"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17 DAP</w:t>
            </w:r>
            <w:r w:rsidRPr="00EB37AF">
              <w:rPr>
                <w:b/>
                <w:sz w:val="20"/>
                <w:szCs w:val="20"/>
                <w:vertAlign w:val="subscript"/>
              </w:rPr>
              <w:t>0</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4176598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8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7455CA3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52 DAP</w:t>
            </w:r>
            <w:r w:rsidRPr="00EB37AF">
              <w:rPr>
                <w:b/>
                <w:sz w:val="20"/>
                <w:szCs w:val="20"/>
                <w:vertAlign w:val="subscript"/>
              </w:rPr>
              <w:t>0</w:t>
            </w:r>
          </w:p>
        </w:tc>
      </w:tr>
      <w:tr w:rsidR="00EB37AF" w:rsidRPr="00EB37AF" w14:paraId="52D945F2"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B6678B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531C1C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0E392BC"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5810CE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r>
      <w:tr w:rsidR="00EB37AF" w:rsidRPr="00EB37AF" w14:paraId="6A832EE9"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bottom"/>
            <w:hideMark/>
          </w:tcPr>
          <w:p w14:paraId="745D460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bottom"/>
            <w:hideMark/>
          </w:tcPr>
          <w:p w14:paraId="39556B9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27,1</w:t>
            </w:r>
          </w:p>
        </w:tc>
        <w:tc>
          <w:tcPr>
            <w:tcW w:w="460" w:type="dxa"/>
            <w:tcBorders>
              <w:top w:val="nil"/>
              <w:left w:val="nil"/>
              <w:bottom w:val="nil"/>
              <w:right w:val="nil"/>
            </w:tcBorders>
            <w:shd w:val="clear" w:color="auto" w:fill="D6DCE5"/>
            <w:tcMar>
              <w:top w:w="15" w:type="dxa"/>
              <w:left w:w="15" w:type="dxa"/>
              <w:bottom w:w="0" w:type="dxa"/>
              <w:right w:w="15" w:type="dxa"/>
            </w:tcMar>
            <w:vAlign w:val="bottom"/>
            <w:hideMark/>
          </w:tcPr>
          <w:p w14:paraId="1D0C637C"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D6DCE5"/>
            <w:tcMar>
              <w:top w:w="15" w:type="dxa"/>
              <w:left w:w="15" w:type="dxa"/>
              <w:bottom w:w="0" w:type="dxa"/>
              <w:right w:w="15" w:type="dxa"/>
            </w:tcMar>
            <w:vAlign w:val="bottom"/>
            <w:hideMark/>
          </w:tcPr>
          <w:p w14:paraId="7F513C4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35,9</w:t>
            </w:r>
          </w:p>
        </w:tc>
      </w:tr>
      <w:tr w:rsidR="00EB37AF" w:rsidRPr="00EB37AF" w14:paraId="4121AD0F"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bottom"/>
            <w:hideMark/>
          </w:tcPr>
          <w:p w14:paraId="45AB91D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bottom"/>
            <w:hideMark/>
          </w:tcPr>
          <w:p w14:paraId="6207905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0,022</w:t>
            </w:r>
          </w:p>
        </w:tc>
        <w:tc>
          <w:tcPr>
            <w:tcW w:w="460" w:type="dxa"/>
            <w:tcBorders>
              <w:top w:val="nil"/>
              <w:left w:val="nil"/>
              <w:bottom w:val="nil"/>
              <w:right w:val="nil"/>
            </w:tcBorders>
            <w:shd w:val="clear" w:color="auto" w:fill="auto"/>
            <w:tcMar>
              <w:top w:w="15" w:type="dxa"/>
              <w:left w:w="15" w:type="dxa"/>
              <w:bottom w:w="0" w:type="dxa"/>
              <w:right w:w="15" w:type="dxa"/>
            </w:tcMar>
            <w:vAlign w:val="bottom"/>
            <w:hideMark/>
          </w:tcPr>
          <w:p w14:paraId="573A521E"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auto"/>
            <w:tcMar>
              <w:top w:w="15" w:type="dxa"/>
              <w:left w:w="15" w:type="dxa"/>
              <w:bottom w:w="0" w:type="dxa"/>
              <w:right w:w="15" w:type="dxa"/>
            </w:tcMar>
            <w:vAlign w:val="bottom"/>
            <w:hideMark/>
          </w:tcPr>
          <w:p w14:paraId="736D3F48" w14:textId="77777777" w:rsidR="00EB37AF" w:rsidRPr="00EB37AF" w:rsidRDefault="00EB37AF" w:rsidP="00EB37AF">
            <w:pPr>
              <w:autoSpaceDE/>
              <w:autoSpaceDN/>
              <w:adjustRightInd/>
              <w:spacing w:after="0" w:line="360" w:lineRule="auto"/>
              <w:ind w:firstLine="0"/>
              <w:jc w:val="center"/>
              <w:rPr>
                <w:sz w:val="20"/>
                <w:szCs w:val="20"/>
              </w:rPr>
            </w:pPr>
          </w:p>
        </w:tc>
      </w:tr>
    </w:tbl>
    <w:p w14:paraId="43F8F4B0" w14:textId="77777777" w:rsidR="00EB37AF" w:rsidRPr="00EB37AF" w:rsidRDefault="00EB37AF" w:rsidP="00EB37AF">
      <w:pPr>
        <w:autoSpaceDE/>
        <w:autoSpaceDN/>
        <w:adjustRightInd/>
        <w:spacing w:after="0" w:line="360" w:lineRule="auto"/>
        <w:ind w:firstLine="0"/>
        <w:jc w:val="center"/>
        <w:rPr>
          <w:b/>
          <w:sz w:val="20"/>
          <w:szCs w:val="20"/>
        </w:rPr>
      </w:pPr>
    </w:p>
    <w:tbl>
      <w:tblPr>
        <w:tblW w:w="8364" w:type="dxa"/>
        <w:tblCellMar>
          <w:left w:w="0" w:type="dxa"/>
          <w:right w:w="0" w:type="dxa"/>
        </w:tblCellMar>
        <w:tblLook w:val="0600" w:firstRow="0" w:lastRow="0" w:firstColumn="0" w:lastColumn="0" w:noHBand="1" w:noVBand="1"/>
      </w:tblPr>
      <w:tblGrid>
        <w:gridCol w:w="2060"/>
        <w:gridCol w:w="3260"/>
        <w:gridCol w:w="460"/>
        <w:gridCol w:w="2584"/>
      </w:tblGrid>
      <w:tr w:rsidR="00EB37AF" w:rsidRPr="00EB37AF" w14:paraId="21D6F885"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40CFCE6B"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63</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7F2EA779"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35 DAP</w:t>
            </w:r>
            <w:r w:rsidRPr="00EB37AF">
              <w:rPr>
                <w:b/>
                <w:sz w:val="20"/>
                <w:szCs w:val="20"/>
                <w:vertAlign w:val="subscript"/>
              </w:rPr>
              <w:t>0</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3BDBCD89"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8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bottom"/>
            <w:hideMark/>
          </w:tcPr>
          <w:p w14:paraId="7A68CEEB"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52 DAP</w:t>
            </w:r>
            <w:r w:rsidRPr="00EB37AF">
              <w:rPr>
                <w:b/>
                <w:sz w:val="20"/>
                <w:szCs w:val="20"/>
                <w:vertAlign w:val="subscript"/>
              </w:rPr>
              <w:t>0</w:t>
            </w:r>
          </w:p>
        </w:tc>
      </w:tr>
      <w:tr w:rsidR="00EB37AF" w:rsidRPr="00EB37AF" w14:paraId="4157B81F"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F08D69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11C40C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3ED2246"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B48C26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 T4 + T5)</w:t>
            </w:r>
          </w:p>
        </w:tc>
      </w:tr>
      <w:tr w:rsidR="00EB37AF" w:rsidRPr="00EB37AF" w14:paraId="445D4B5B"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bottom"/>
            <w:hideMark/>
          </w:tcPr>
          <w:p w14:paraId="5D3F660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bottom"/>
            <w:hideMark/>
          </w:tcPr>
          <w:p w14:paraId="6439586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37,4</w:t>
            </w:r>
          </w:p>
        </w:tc>
        <w:tc>
          <w:tcPr>
            <w:tcW w:w="460" w:type="dxa"/>
            <w:tcBorders>
              <w:top w:val="nil"/>
              <w:left w:val="nil"/>
              <w:bottom w:val="nil"/>
              <w:right w:val="nil"/>
            </w:tcBorders>
            <w:shd w:val="clear" w:color="auto" w:fill="D6DCE5"/>
            <w:tcMar>
              <w:top w:w="15" w:type="dxa"/>
              <w:left w:w="15" w:type="dxa"/>
              <w:bottom w:w="0" w:type="dxa"/>
              <w:right w:w="15" w:type="dxa"/>
            </w:tcMar>
            <w:vAlign w:val="bottom"/>
            <w:hideMark/>
          </w:tcPr>
          <w:p w14:paraId="07007289"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D6DCE5"/>
            <w:tcMar>
              <w:top w:w="15" w:type="dxa"/>
              <w:left w:w="15" w:type="dxa"/>
              <w:bottom w:w="0" w:type="dxa"/>
              <w:right w:w="15" w:type="dxa"/>
            </w:tcMar>
            <w:vAlign w:val="bottom"/>
            <w:hideMark/>
          </w:tcPr>
          <w:p w14:paraId="3736977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35,9</w:t>
            </w:r>
          </w:p>
        </w:tc>
      </w:tr>
      <w:tr w:rsidR="00EB37AF" w:rsidRPr="00EB37AF" w14:paraId="0D3D3EFB"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bottom"/>
            <w:hideMark/>
          </w:tcPr>
          <w:p w14:paraId="4A20B27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bottom"/>
            <w:hideMark/>
          </w:tcPr>
          <w:p w14:paraId="636B088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bottom"/>
            <w:hideMark/>
          </w:tcPr>
          <w:p w14:paraId="1C32C43D"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auto"/>
            <w:tcMar>
              <w:top w:w="15" w:type="dxa"/>
              <w:left w:w="15" w:type="dxa"/>
              <w:bottom w:w="0" w:type="dxa"/>
              <w:right w:w="15" w:type="dxa"/>
            </w:tcMar>
            <w:vAlign w:val="bottom"/>
            <w:hideMark/>
          </w:tcPr>
          <w:p w14:paraId="629F1D8B" w14:textId="77777777" w:rsidR="00EB37AF" w:rsidRPr="00EB37AF" w:rsidRDefault="00EB37AF" w:rsidP="00EB37AF">
            <w:pPr>
              <w:autoSpaceDE/>
              <w:autoSpaceDN/>
              <w:adjustRightInd/>
              <w:spacing w:after="0" w:line="360" w:lineRule="auto"/>
              <w:ind w:firstLine="0"/>
              <w:jc w:val="center"/>
              <w:rPr>
                <w:sz w:val="20"/>
                <w:szCs w:val="20"/>
              </w:rPr>
            </w:pPr>
          </w:p>
        </w:tc>
      </w:tr>
    </w:tbl>
    <w:p w14:paraId="01A5E2BA"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6DCB28AB"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3F7AE3E"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64</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FE474F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1 / CV2</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A67F10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095CC4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 CV2</w:t>
            </w:r>
          </w:p>
        </w:tc>
      </w:tr>
      <w:tr w:rsidR="00EB37AF" w:rsidRPr="00EB37AF" w14:paraId="3EB86494"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5E416A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A45686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3C3BEB8"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778574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w:t>
            </w:r>
          </w:p>
        </w:tc>
      </w:tr>
      <w:tr w:rsidR="00EB37AF" w:rsidRPr="00EB37AF" w14:paraId="2504B2CE"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42F7674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284286C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23,6</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1B3A6F85"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2BD4FD4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35,8</w:t>
            </w:r>
          </w:p>
        </w:tc>
      </w:tr>
      <w:tr w:rsidR="00EB37AF" w:rsidRPr="00EB37AF" w14:paraId="4023B186"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404C5CE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4C95027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0B8CE621"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3765315E" w14:textId="77777777" w:rsidR="00EB37AF" w:rsidRPr="00EB37AF" w:rsidRDefault="00EB37AF" w:rsidP="00EB37AF">
            <w:pPr>
              <w:autoSpaceDE/>
              <w:autoSpaceDN/>
              <w:adjustRightInd/>
              <w:spacing w:after="0" w:line="360" w:lineRule="auto"/>
              <w:ind w:firstLine="0"/>
              <w:jc w:val="center"/>
              <w:rPr>
                <w:sz w:val="20"/>
                <w:szCs w:val="20"/>
              </w:rPr>
            </w:pPr>
          </w:p>
        </w:tc>
      </w:tr>
    </w:tbl>
    <w:p w14:paraId="345E3B5F"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34E83552"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E186F4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65</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A70A58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1 / CV2</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E8AACCB"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913BA8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 CV2</w:t>
            </w:r>
          </w:p>
        </w:tc>
      </w:tr>
      <w:tr w:rsidR="00EB37AF" w:rsidRPr="00EB37AF" w14:paraId="655A4160"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B5267E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369C07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17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B099F78"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B37C3A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17 DAP</w:t>
            </w:r>
            <w:r w:rsidRPr="00EB37AF">
              <w:rPr>
                <w:sz w:val="20"/>
                <w:szCs w:val="20"/>
                <w:vertAlign w:val="subscript"/>
              </w:rPr>
              <w:t>0</w:t>
            </w:r>
          </w:p>
        </w:tc>
      </w:tr>
      <w:tr w:rsidR="00EB37AF" w:rsidRPr="00EB37AF" w14:paraId="2F8B3449"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528AD9F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33D7B2C4"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18,4</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74F1D63A"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7CB464C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48,1</w:t>
            </w:r>
          </w:p>
        </w:tc>
      </w:tr>
      <w:tr w:rsidR="00EB37AF" w:rsidRPr="00EB37AF" w14:paraId="0AE6CABD"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0A61901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5BE1855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75C54347"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2BB2F17B" w14:textId="77777777" w:rsidR="00EB37AF" w:rsidRPr="00EB37AF" w:rsidRDefault="00EB37AF" w:rsidP="00EB37AF">
            <w:pPr>
              <w:autoSpaceDE/>
              <w:autoSpaceDN/>
              <w:adjustRightInd/>
              <w:spacing w:after="0" w:line="360" w:lineRule="auto"/>
              <w:ind w:firstLine="0"/>
              <w:jc w:val="center"/>
              <w:rPr>
                <w:sz w:val="20"/>
                <w:szCs w:val="20"/>
              </w:rPr>
            </w:pPr>
          </w:p>
        </w:tc>
      </w:tr>
    </w:tbl>
    <w:p w14:paraId="52FC59F9" w14:textId="77777777" w:rsidR="00EB37AF" w:rsidRPr="00EB37AF" w:rsidRDefault="00EB37AF" w:rsidP="00EB37AF">
      <w:pPr>
        <w:autoSpaceDE/>
        <w:autoSpaceDN/>
        <w:adjustRightInd/>
        <w:spacing w:after="0" w:line="360" w:lineRule="auto"/>
        <w:ind w:firstLine="0"/>
        <w:jc w:val="center"/>
        <w:rPr>
          <w:b/>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44CCAC17"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61490D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66</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E04FA0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1 / CV2</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FF865F6"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76C678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 CV2</w:t>
            </w:r>
          </w:p>
        </w:tc>
      </w:tr>
      <w:tr w:rsidR="00EB37AF" w:rsidRPr="00EB37AF" w14:paraId="5428EDEC"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AF2C67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EB4DAC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35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B3B22BA"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6AFDFC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35 DAP</w:t>
            </w:r>
            <w:r w:rsidRPr="00EB37AF">
              <w:rPr>
                <w:sz w:val="20"/>
                <w:szCs w:val="20"/>
                <w:vertAlign w:val="subscript"/>
              </w:rPr>
              <w:t>0</w:t>
            </w:r>
          </w:p>
        </w:tc>
      </w:tr>
      <w:tr w:rsidR="00EB37AF" w:rsidRPr="00EB37AF" w14:paraId="581EEA99"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413C50B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41F1A8D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26,7</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6EE62B12"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0F0F46E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46,1</w:t>
            </w:r>
          </w:p>
        </w:tc>
      </w:tr>
      <w:tr w:rsidR="00EB37AF" w:rsidRPr="00EB37AF" w14:paraId="507E1337"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351AC6A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5F43AAB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41F820B7"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670BF335" w14:textId="77777777" w:rsidR="00EB37AF" w:rsidRPr="00EB37AF" w:rsidRDefault="00EB37AF" w:rsidP="00EB37AF">
            <w:pPr>
              <w:autoSpaceDE/>
              <w:autoSpaceDN/>
              <w:adjustRightInd/>
              <w:spacing w:after="0" w:line="360" w:lineRule="auto"/>
              <w:ind w:firstLine="0"/>
              <w:jc w:val="center"/>
              <w:rPr>
                <w:sz w:val="20"/>
                <w:szCs w:val="20"/>
              </w:rPr>
            </w:pPr>
          </w:p>
        </w:tc>
      </w:tr>
    </w:tbl>
    <w:p w14:paraId="0FB41274" w14:textId="77777777" w:rsidR="00EB37AF" w:rsidRPr="00EB37AF" w:rsidRDefault="00EB37AF" w:rsidP="00EB37AF">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80"/>
        <w:gridCol w:w="460"/>
        <w:gridCol w:w="2564"/>
      </w:tblGrid>
      <w:tr w:rsidR="00EB37AF" w:rsidRPr="00EB37AF" w14:paraId="33858EE9" w14:textId="77777777" w:rsidTr="00D74DA1">
        <w:trPr>
          <w:trHeight w:val="429"/>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A34AE1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67</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207091D"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1 / CV2</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2F55AD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6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9AA40D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Carbox.  2 / CV2</w:t>
            </w:r>
          </w:p>
        </w:tc>
      </w:tr>
      <w:tr w:rsidR="00EB37AF" w:rsidRPr="00EB37AF" w14:paraId="247782DD" w14:textId="77777777" w:rsidTr="00D74DA1">
        <w:trPr>
          <w:trHeight w:val="429"/>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5C84A3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FD454C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T3) 52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FC561F5"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24BE40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 + T5) 52 DAP</w:t>
            </w:r>
            <w:r w:rsidRPr="00EB37AF">
              <w:rPr>
                <w:sz w:val="20"/>
                <w:szCs w:val="20"/>
                <w:vertAlign w:val="subscript"/>
              </w:rPr>
              <w:t>0</w:t>
            </w:r>
          </w:p>
        </w:tc>
      </w:tr>
      <w:tr w:rsidR="00EB37AF" w:rsidRPr="00EB37AF" w14:paraId="0DAFD010" w14:textId="77777777" w:rsidTr="00D74DA1">
        <w:trPr>
          <w:trHeight w:val="429"/>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17E4131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23BDBCD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25,8</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41024944"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D6DCE5"/>
            <w:tcMar>
              <w:top w:w="15" w:type="dxa"/>
              <w:left w:w="15" w:type="dxa"/>
              <w:bottom w:w="0" w:type="dxa"/>
              <w:right w:w="15" w:type="dxa"/>
            </w:tcMar>
            <w:vAlign w:val="center"/>
            <w:hideMark/>
          </w:tcPr>
          <w:p w14:paraId="0FC1824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43,3</w:t>
            </w:r>
          </w:p>
        </w:tc>
      </w:tr>
      <w:tr w:rsidR="00EB37AF" w:rsidRPr="00EB37AF" w14:paraId="3839217B" w14:textId="77777777" w:rsidTr="00D74DA1">
        <w:trPr>
          <w:trHeight w:val="487"/>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2CCDA95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68E72D6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07C683DF" w14:textId="77777777" w:rsidR="00EB37AF" w:rsidRPr="00EB37AF" w:rsidRDefault="00EB37AF" w:rsidP="00EB37AF">
            <w:pPr>
              <w:autoSpaceDE/>
              <w:autoSpaceDN/>
              <w:adjustRightInd/>
              <w:spacing w:after="0" w:line="360" w:lineRule="auto"/>
              <w:ind w:firstLine="0"/>
              <w:jc w:val="center"/>
              <w:rPr>
                <w:sz w:val="20"/>
                <w:szCs w:val="20"/>
              </w:rPr>
            </w:pPr>
          </w:p>
        </w:tc>
        <w:tc>
          <w:tcPr>
            <w:tcW w:w="2564" w:type="dxa"/>
            <w:tcBorders>
              <w:top w:val="nil"/>
              <w:left w:val="nil"/>
              <w:bottom w:val="nil"/>
              <w:right w:val="nil"/>
            </w:tcBorders>
            <w:shd w:val="clear" w:color="auto" w:fill="auto"/>
            <w:tcMar>
              <w:top w:w="15" w:type="dxa"/>
              <w:left w:w="15" w:type="dxa"/>
              <w:bottom w:w="0" w:type="dxa"/>
              <w:right w:w="15" w:type="dxa"/>
            </w:tcMar>
            <w:vAlign w:val="center"/>
            <w:hideMark/>
          </w:tcPr>
          <w:p w14:paraId="65BDAA3F" w14:textId="77777777" w:rsidR="00EB37AF" w:rsidRPr="00EB37AF" w:rsidRDefault="00EB37AF" w:rsidP="00EB37AF">
            <w:pPr>
              <w:autoSpaceDE/>
              <w:autoSpaceDN/>
              <w:adjustRightInd/>
              <w:spacing w:after="0" w:line="360" w:lineRule="auto"/>
              <w:ind w:firstLine="0"/>
              <w:jc w:val="center"/>
              <w:rPr>
                <w:sz w:val="20"/>
                <w:szCs w:val="20"/>
              </w:rPr>
            </w:pPr>
          </w:p>
        </w:tc>
      </w:tr>
    </w:tbl>
    <w:p w14:paraId="02C6496C" w14:textId="77777777" w:rsidR="00EB37AF" w:rsidRPr="00EB37AF" w:rsidRDefault="00EB37AF" w:rsidP="00EB37AF">
      <w:pPr>
        <w:autoSpaceDE/>
        <w:autoSpaceDN/>
        <w:adjustRightInd/>
        <w:spacing w:after="0" w:line="360" w:lineRule="auto"/>
        <w:ind w:firstLine="0"/>
        <w:jc w:val="center"/>
        <w:rPr>
          <w:b/>
          <w:sz w:val="20"/>
          <w:szCs w:val="20"/>
        </w:rPr>
      </w:pPr>
    </w:p>
    <w:tbl>
      <w:tblPr>
        <w:tblW w:w="8364" w:type="dxa"/>
        <w:tblCellMar>
          <w:left w:w="0" w:type="dxa"/>
          <w:right w:w="0" w:type="dxa"/>
        </w:tblCellMar>
        <w:tblLook w:val="0600" w:firstRow="0" w:lastRow="0" w:firstColumn="0" w:lastColumn="0" w:noHBand="1" w:noVBand="1"/>
      </w:tblPr>
      <w:tblGrid>
        <w:gridCol w:w="2060"/>
        <w:gridCol w:w="3260"/>
        <w:gridCol w:w="460"/>
        <w:gridCol w:w="2584"/>
      </w:tblGrid>
      <w:tr w:rsidR="00EB37AF" w:rsidRPr="00EB37AF" w14:paraId="36796C71"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BFB70A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68</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81C9367"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1 / CV2</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B4FA8C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58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A09D69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2 / CV2</w:t>
            </w:r>
          </w:p>
        </w:tc>
      </w:tr>
      <w:tr w:rsidR="00EB37AF" w:rsidRPr="00EB37AF" w14:paraId="467B20BA"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B41F6E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CA8E8A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6F35E69"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179BE0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w:t>
            </w:r>
          </w:p>
        </w:tc>
      </w:tr>
      <w:tr w:rsidR="00EB37AF" w:rsidRPr="00EB37AF" w14:paraId="6CD5D210"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7CA35CC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222B3D0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24,7</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6FCFE278"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D6DCE5"/>
            <w:tcMar>
              <w:top w:w="15" w:type="dxa"/>
              <w:left w:w="15" w:type="dxa"/>
              <w:bottom w:w="0" w:type="dxa"/>
              <w:right w:w="15" w:type="dxa"/>
            </w:tcMar>
            <w:vAlign w:val="center"/>
            <w:hideMark/>
          </w:tcPr>
          <w:p w14:paraId="152FFBA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45,3</w:t>
            </w:r>
          </w:p>
        </w:tc>
      </w:tr>
      <w:tr w:rsidR="00EB37AF" w:rsidRPr="00EB37AF" w14:paraId="7E52197B"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61E8A9F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35CC85C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0233F29E" w14:textId="77777777" w:rsidR="00EB37AF" w:rsidRPr="00EB37AF" w:rsidRDefault="00EB37AF" w:rsidP="00EB37AF">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auto"/>
            <w:tcMar>
              <w:top w:w="15" w:type="dxa"/>
              <w:left w:w="15" w:type="dxa"/>
              <w:bottom w:w="0" w:type="dxa"/>
              <w:right w:w="15" w:type="dxa"/>
            </w:tcMar>
            <w:vAlign w:val="center"/>
            <w:hideMark/>
          </w:tcPr>
          <w:p w14:paraId="1DEF3F0A" w14:textId="77777777" w:rsidR="00EB37AF" w:rsidRPr="00EB37AF" w:rsidRDefault="00EB37AF" w:rsidP="00EB37AF">
            <w:pPr>
              <w:autoSpaceDE/>
              <w:autoSpaceDN/>
              <w:adjustRightInd/>
              <w:spacing w:after="0" w:line="360" w:lineRule="auto"/>
              <w:ind w:firstLine="0"/>
              <w:jc w:val="center"/>
              <w:rPr>
                <w:sz w:val="20"/>
                <w:szCs w:val="20"/>
              </w:rPr>
            </w:pPr>
          </w:p>
        </w:tc>
      </w:tr>
    </w:tbl>
    <w:p w14:paraId="2EA87307" w14:textId="77777777" w:rsidR="00EB37AF" w:rsidRPr="00EB37AF" w:rsidRDefault="00EB37AF" w:rsidP="00EB37AF">
      <w:pPr>
        <w:autoSpaceDE/>
        <w:autoSpaceDN/>
        <w:adjustRightInd/>
        <w:spacing w:after="0" w:line="360" w:lineRule="auto"/>
        <w:ind w:firstLine="0"/>
        <w:jc w:val="center"/>
        <w:rPr>
          <w:sz w:val="20"/>
          <w:szCs w:val="20"/>
        </w:rPr>
      </w:pPr>
    </w:p>
    <w:tbl>
      <w:tblPr>
        <w:tblW w:w="8505" w:type="dxa"/>
        <w:tblCellMar>
          <w:left w:w="0" w:type="dxa"/>
          <w:right w:w="0" w:type="dxa"/>
        </w:tblCellMar>
        <w:tblLook w:val="0600" w:firstRow="0" w:lastRow="0" w:firstColumn="0" w:lastColumn="0" w:noHBand="1" w:noVBand="1"/>
      </w:tblPr>
      <w:tblGrid>
        <w:gridCol w:w="2060"/>
        <w:gridCol w:w="3280"/>
        <w:gridCol w:w="460"/>
        <w:gridCol w:w="2705"/>
      </w:tblGrid>
      <w:tr w:rsidR="00EB37AF" w:rsidRPr="00EB37AF" w14:paraId="02E3A2F3"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F51AA6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69</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B025F7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1 /CV2</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5147D3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70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E13A667"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2 / CV2</w:t>
            </w:r>
          </w:p>
        </w:tc>
      </w:tr>
      <w:tr w:rsidR="00EB37AF" w:rsidRPr="00EB37AF" w14:paraId="0FAB5814"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1EEFC8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85B708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6F8207D" w14:textId="77777777" w:rsidR="00EB37AF" w:rsidRPr="00EB37AF" w:rsidRDefault="00EB37AF" w:rsidP="00EB37AF">
            <w:pPr>
              <w:autoSpaceDE/>
              <w:autoSpaceDN/>
              <w:adjustRightInd/>
              <w:spacing w:after="0" w:line="360" w:lineRule="auto"/>
              <w:ind w:firstLine="0"/>
              <w:jc w:val="center"/>
              <w:rPr>
                <w:sz w:val="20"/>
                <w:szCs w:val="20"/>
              </w:rPr>
            </w:pPr>
          </w:p>
        </w:tc>
        <w:tc>
          <w:tcPr>
            <w:tcW w:w="270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8033F9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T5</w:t>
            </w:r>
          </w:p>
        </w:tc>
      </w:tr>
      <w:tr w:rsidR="00EB37AF" w:rsidRPr="00EB37AF" w14:paraId="62D6D0CF"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3B5EB10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3ABA81D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22,6</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2013A0DF" w14:textId="77777777" w:rsidR="00EB37AF" w:rsidRPr="00EB37AF" w:rsidRDefault="00EB37AF" w:rsidP="00EB37AF">
            <w:pPr>
              <w:autoSpaceDE/>
              <w:autoSpaceDN/>
              <w:adjustRightInd/>
              <w:spacing w:after="0" w:line="360" w:lineRule="auto"/>
              <w:ind w:firstLine="0"/>
              <w:jc w:val="center"/>
              <w:rPr>
                <w:sz w:val="20"/>
                <w:szCs w:val="20"/>
              </w:rPr>
            </w:pPr>
          </w:p>
        </w:tc>
        <w:tc>
          <w:tcPr>
            <w:tcW w:w="2705" w:type="dxa"/>
            <w:tcBorders>
              <w:top w:val="nil"/>
              <w:left w:val="nil"/>
              <w:bottom w:val="nil"/>
              <w:right w:val="nil"/>
            </w:tcBorders>
            <w:shd w:val="clear" w:color="auto" w:fill="D6DCE5"/>
            <w:tcMar>
              <w:top w:w="15" w:type="dxa"/>
              <w:left w:w="15" w:type="dxa"/>
              <w:bottom w:w="0" w:type="dxa"/>
              <w:right w:w="15" w:type="dxa"/>
            </w:tcMar>
            <w:vAlign w:val="center"/>
            <w:hideMark/>
          </w:tcPr>
          <w:p w14:paraId="2C0F525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41,4</w:t>
            </w:r>
          </w:p>
        </w:tc>
      </w:tr>
      <w:tr w:rsidR="00EB37AF" w:rsidRPr="00EB37AF" w14:paraId="57819B62"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6615830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625121C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5D898E88" w14:textId="77777777" w:rsidR="00EB37AF" w:rsidRPr="00EB37AF" w:rsidRDefault="00EB37AF" w:rsidP="00EB37AF">
            <w:pPr>
              <w:autoSpaceDE/>
              <w:autoSpaceDN/>
              <w:adjustRightInd/>
              <w:spacing w:after="0" w:line="360" w:lineRule="auto"/>
              <w:ind w:firstLine="0"/>
              <w:jc w:val="center"/>
              <w:rPr>
                <w:sz w:val="20"/>
                <w:szCs w:val="20"/>
              </w:rPr>
            </w:pPr>
          </w:p>
        </w:tc>
        <w:tc>
          <w:tcPr>
            <w:tcW w:w="2705" w:type="dxa"/>
            <w:tcBorders>
              <w:top w:val="nil"/>
              <w:left w:val="nil"/>
              <w:bottom w:val="nil"/>
              <w:right w:val="nil"/>
            </w:tcBorders>
            <w:shd w:val="clear" w:color="auto" w:fill="auto"/>
            <w:tcMar>
              <w:top w:w="15" w:type="dxa"/>
              <w:left w:w="15" w:type="dxa"/>
              <w:bottom w:w="0" w:type="dxa"/>
              <w:right w:w="15" w:type="dxa"/>
            </w:tcMar>
            <w:vAlign w:val="center"/>
            <w:hideMark/>
          </w:tcPr>
          <w:p w14:paraId="012DDCF0" w14:textId="77777777" w:rsidR="00EB37AF" w:rsidRPr="00EB37AF" w:rsidRDefault="00EB37AF" w:rsidP="00EB37AF">
            <w:pPr>
              <w:autoSpaceDE/>
              <w:autoSpaceDN/>
              <w:adjustRightInd/>
              <w:spacing w:after="0" w:line="360" w:lineRule="auto"/>
              <w:ind w:firstLine="0"/>
              <w:jc w:val="center"/>
              <w:rPr>
                <w:sz w:val="20"/>
                <w:szCs w:val="20"/>
              </w:rPr>
            </w:pPr>
          </w:p>
        </w:tc>
      </w:tr>
    </w:tbl>
    <w:p w14:paraId="2232E149" w14:textId="77777777" w:rsidR="00EB37AF" w:rsidRPr="00EB37AF" w:rsidRDefault="00EB37AF" w:rsidP="00EB37AF">
      <w:pPr>
        <w:autoSpaceDE/>
        <w:autoSpaceDN/>
        <w:adjustRightInd/>
        <w:spacing w:after="0" w:line="360" w:lineRule="auto"/>
        <w:ind w:firstLine="0"/>
        <w:jc w:val="center"/>
        <w:rPr>
          <w:sz w:val="20"/>
          <w:szCs w:val="20"/>
        </w:rPr>
      </w:pPr>
    </w:p>
    <w:tbl>
      <w:tblPr>
        <w:tblW w:w="8505" w:type="dxa"/>
        <w:tblCellMar>
          <w:left w:w="0" w:type="dxa"/>
          <w:right w:w="0" w:type="dxa"/>
        </w:tblCellMar>
        <w:tblLook w:val="0600" w:firstRow="0" w:lastRow="0" w:firstColumn="0" w:lastColumn="0" w:noHBand="1" w:noVBand="1"/>
      </w:tblPr>
      <w:tblGrid>
        <w:gridCol w:w="2080"/>
        <w:gridCol w:w="3280"/>
        <w:gridCol w:w="460"/>
        <w:gridCol w:w="2685"/>
      </w:tblGrid>
      <w:tr w:rsidR="00EB37AF" w:rsidRPr="00EB37AF" w14:paraId="0072E00A" w14:textId="77777777" w:rsidTr="00D74DA1">
        <w:trPr>
          <w:trHeight w:val="474"/>
        </w:trPr>
        <w:tc>
          <w:tcPr>
            <w:tcW w:w="20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4F974EE"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70</w:t>
            </w:r>
          </w:p>
        </w:tc>
        <w:tc>
          <w:tcPr>
            <w:tcW w:w="328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10785E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2 aplicações Carbox 1 / CV2</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8A8FF0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68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64BAE8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1 aplicação Carbox. 2 / CV2</w:t>
            </w:r>
          </w:p>
        </w:tc>
      </w:tr>
      <w:tr w:rsidR="00EB37AF" w:rsidRPr="00EB37AF" w14:paraId="5926D8EB" w14:textId="77777777" w:rsidTr="00D74DA1">
        <w:trPr>
          <w:trHeight w:val="474"/>
        </w:trPr>
        <w:tc>
          <w:tcPr>
            <w:tcW w:w="20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2098A3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3075A3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C1D8C55" w14:textId="77777777" w:rsidR="00EB37AF" w:rsidRPr="00EB37AF" w:rsidRDefault="00EB37AF" w:rsidP="00EB37AF">
            <w:pPr>
              <w:autoSpaceDE/>
              <w:autoSpaceDN/>
              <w:adjustRightInd/>
              <w:spacing w:after="0" w:line="360" w:lineRule="auto"/>
              <w:ind w:firstLine="0"/>
              <w:jc w:val="center"/>
              <w:rPr>
                <w:sz w:val="20"/>
                <w:szCs w:val="20"/>
              </w:rPr>
            </w:pPr>
          </w:p>
        </w:tc>
        <w:tc>
          <w:tcPr>
            <w:tcW w:w="268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49D7F3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T4</w:t>
            </w:r>
          </w:p>
        </w:tc>
      </w:tr>
      <w:tr w:rsidR="00EB37AF" w:rsidRPr="00EB37AF" w14:paraId="072DCD41" w14:textId="77777777" w:rsidTr="00D74DA1">
        <w:trPr>
          <w:trHeight w:val="474"/>
        </w:trPr>
        <w:tc>
          <w:tcPr>
            <w:tcW w:w="2080" w:type="dxa"/>
            <w:tcBorders>
              <w:top w:val="nil"/>
              <w:left w:val="nil"/>
              <w:bottom w:val="nil"/>
              <w:right w:val="nil"/>
            </w:tcBorders>
            <w:shd w:val="clear" w:color="auto" w:fill="D6DCE5"/>
            <w:tcMar>
              <w:top w:w="15" w:type="dxa"/>
              <w:left w:w="15" w:type="dxa"/>
              <w:bottom w:w="0" w:type="dxa"/>
              <w:right w:w="15" w:type="dxa"/>
            </w:tcMar>
            <w:vAlign w:val="center"/>
            <w:hideMark/>
          </w:tcPr>
          <w:p w14:paraId="425C8B2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80" w:type="dxa"/>
            <w:tcBorders>
              <w:top w:val="nil"/>
              <w:left w:val="nil"/>
              <w:bottom w:val="nil"/>
              <w:right w:val="nil"/>
            </w:tcBorders>
            <w:shd w:val="clear" w:color="auto" w:fill="D6DCE5"/>
            <w:tcMar>
              <w:top w:w="15" w:type="dxa"/>
              <w:left w:w="15" w:type="dxa"/>
              <w:bottom w:w="0" w:type="dxa"/>
              <w:right w:w="15" w:type="dxa"/>
            </w:tcMar>
            <w:vAlign w:val="center"/>
            <w:hideMark/>
          </w:tcPr>
          <w:p w14:paraId="73536AE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22,6</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6239E76E" w14:textId="77777777" w:rsidR="00EB37AF" w:rsidRPr="00EB37AF" w:rsidRDefault="00EB37AF" w:rsidP="00EB37AF">
            <w:pPr>
              <w:autoSpaceDE/>
              <w:autoSpaceDN/>
              <w:adjustRightInd/>
              <w:spacing w:after="0" w:line="360" w:lineRule="auto"/>
              <w:ind w:firstLine="0"/>
              <w:jc w:val="center"/>
              <w:rPr>
                <w:sz w:val="20"/>
                <w:szCs w:val="20"/>
              </w:rPr>
            </w:pPr>
          </w:p>
        </w:tc>
        <w:tc>
          <w:tcPr>
            <w:tcW w:w="2685" w:type="dxa"/>
            <w:tcBorders>
              <w:top w:val="nil"/>
              <w:left w:val="nil"/>
              <w:bottom w:val="nil"/>
              <w:right w:val="nil"/>
            </w:tcBorders>
            <w:shd w:val="clear" w:color="auto" w:fill="D6DCE5"/>
            <w:tcMar>
              <w:top w:w="15" w:type="dxa"/>
              <w:left w:w="15" w:type="dxa"/>
              <w:bottom w:w="0" w:type="dxa"/>
              <w:right w:w="15" w:type="dxa"/>
            </w:tcMar>
            <w:vAlign w:val="center"/>
            <w:hideMark/>
          </w:tcPr>
          <w:p w14:paraId="62703F0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45,3</w:t>
            </w:r>
          </w:p>
        </w:tc>
      </w:tr>
      <w:tr w:rsidR="00EB37AF" w:rsidRPr="00EB37AF" w14:paraId="7D7160DA" w14:textId="77777777" w:rsidTr="00D74DA1">
        <w:trPr>
          <w:trHeight w:val="539"/>
        </w:trPr>
        <w:tc>
          <w:tcPr>
            <w:tcW w:w="2080" w:type="dxa"/>
            <w:tcBorders>
              <w:top w:val="nil"/>
              <w:left w:val="nil"/>
              <w:bottom w:val="nil"/>
              <w:right w:val="nil"/>
            </w:tcBorders>
            <w:shd w:val="clear" w:color="auto" w:fill="auto"/>
            <w:tcMar>
              <w:top w:w="15" w:type="dxa"/>
              <w:left w:w="15" w:type="dxa"/>
              <w:bottom w:w="0" w:type="dxa"/>
              <w:right w:w="15" w:type="dxa"/>
            </w:tcMar>
            <w:vAlign w:val="center"/>
            <w:hideMark/>
          </w:tcPr>
          <w:p w14:paraId="0327D97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80" w:type="dxa"/>
            <w:tcBorders>
              <w:top w:val="nil"/>
              <w:left w:val="nil"/>
              <w:bottom w:val="nil"/>
              <w:right w:val="nil"/>
            </w:tcBorders>
            <w:shd w:val="clear" w:color="auto" w:fill="auto"/>
            <w:tcMar>
              <w:top w:w="15" w:type="dxa"/>
              <w:left w:w="15" w:type="dxa"/>
              <w:bottom w:w="0" w:type="dxa"/>
              <w:right w:w="15" w:type="dxa"/>
            </w:tcMar>
            <w:vAlign w:val="center"/>
            <w:hideMark/>
          </w:tcPr>
          <w:p w14:paraId="2ACE22B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41178035" w14:textId="77777777" w:rsidR="00EB37AF" w:rsidRPr="00EB37AF" w:rsidRDefault="00EB37AF" w:rsidP="00EB37AF">
            <w:pPr>
              <w:autoSpaceDE/>
              <w:autoSpaceDN/>
              <w:adjustRightInd/>
              <w:spacing w:after="0" w:line="360" w:lineRule="auto"/>
              <w:ind w:firstLine="0"/>
              <w:jc w:val="center"/>
              <w:rPr>
                <w:sz w:val="20"/>
                <w:szCs w:val="20"/>
              </w:rPr>
            </w:pPr>
          </w:p>
        </w:tc>
        <w:tc>
          <w:tcPr>
            <w:tcW w:w="2685" w:type="dxa"/>
            <w:tcBorders>
              <w:top w:val="nil"/>
              <w:left w:val="nil"/>
              <w:bottom w:val="nil"/>
              <w:right w:val="nil"/>
            </w:tcBorders>
            <w:shd w:val="clear" w:color="auto" w:fill="auto"/>
            <w:tcMar>
              <w:top w:w="15" w:type="dxa"/>
              <w:left w:w="15" w:type="dxa"/>
              <w:bottom w:w="0" w:type="dxa"/>
              <w:right w:w="15" w:type="dxa"/>
            </w:tcMar>
            <w:vAlign w:val="center"/>
            <w:hideMark/>
          </w:tcPr>
          <w:p w14:paraId="3D9E500A" w14:textId="77777777" w:rsidR="00EB37AF" w:rsidRPr="00EB37AF" w:rsidRDefault="00EB37AF" w:rsidP="00EB37AF">
            <w:pPr>
              <w:autoSpaceDE/>
              <w:autoSpaceDN/>
              <w:adjustRightInd/>
              <w:spacing w:after="0" w:line="360" w:lineRule="auto"/>
              <w:ind w:firstLine="0"/>
              <w:jc w:val="center"/>
              <w:rPr>
                <w:sz w:val="20"/>
                <w:szCs w:val="20"/>
              </w:rPr>
            </w:pPr>
          </w:p>
        </w:tc>
      </w:tr>
    </w:tbl>
    <w:p w14:paraId="019D8781" w14:textId="77777777" w:rsidR="00EB37AF" w:rsidRPr="00EB37AF" w:rsidRDefault="00EB37AF" w:rsidP="00EB37AF">
      <w:pPr>
        <w:autoSpaceDE/>
        <w:autoSpaceDN/>
        <w:adjustRightInd/>
        <w:spacing w:after="0" w:line="360" w:lineRule="auto"/>
        <w:ind w:firstLine="0"/>
        <w:jc w:val="center"/>
        <w:rPr>
          <w:b/>
          <w:sz w:val="20"/>
          <w:szCs w:val="20"/>
        </w:rPr>
      </w:pPr>
    </w:p>
    <w:tbl>
      <w:tblPr>
        <w:tblW w:w="8505" w:type="dxa"/>
        <w:tblCellMar>
          <w:left w:w="0" w:type="dxa"/>
          <w:right w:w="0" w:type="dxa"/>
        </w:tblCellMar>
        <w:tblLook w:val="0600" w:firstRow="0" w:lastRow="0" w:firstColumn="0" w:lastColumn="0" w:noHBand="1" w:noVBand="1"/>
      </w:tblPr>
      <w:tblGrid>
        <w:gridCol w:w="2060"/>
        <w:gridCol w:w="3260"/>
        <w:gridCol w:w="460"/>
        <w:gridCol w:w="2725"/>
      </w:tblGrid>
      <w:tr w:rsidR="00EB37AF" w:rsidRPr="00EB37AF" w14:paraId="24FCBFDA"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364208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71</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340AB85"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1 aplicação Carbox.</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300CF7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72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3122F42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2 aplicações Carbox.</w:t>
            </w:r>
          </w:p>
        </w:tc>
      </w:tr>
      <w:tr w:rsidR="00EB37AF" w:rsidRPr="00EB37AF" w14:paraId="5DE64C59"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F58DF9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F85A18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493A34C" w14:textId="77777777" w:rsidR="00EB37AF" w:rsidRPr="00EB37AF" w:rsidRDefault="00EB37AF" w:rsidP="00EB37AF">
            <w:pPr>
              <w:autoSpaceDE/>
              <w:autoSpaceDN/>
              <w:adjustRightInd/>
              <w:spacing w:after="0" w:line="360" w:lineRule="auto"/>
              <w:ind w:firstLine="0"/>
              <w:jc w:val="center"/>
              <w:rPr>
                <w:sz w:val="20"/>
                <w:szCs w:val="20"/>
              </w:rPr>
            </w:pPr>
          </w:p>
        </w:tc>
        <w:tc>
          <w:tcPr>
            <w:tcW w:w="272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EEC64D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w:t>
            </w:r>
          </w:p>
        </w:tc>
      </w:tr>
      <w:tr w:rsidR="00EB37AF" w:rsidRPr="00EB37AF" w14:paraId="226AB75A"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670BD8E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4C8D2FAC"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35</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5F6AA8D5" w14:textId="77777777" w:rsidR="00EB37AF" w:rsidRPr="00EB37AF" w:rsidRDefault="00EB37AF" w:rsidP="00EB37AF">
            <w:pPr>
              <w:autoSpaceDE/>
              <w:autoSpaceDN/>
              <w:adjustRightInd/>
              <w:spacing w:after="0" w:line="360" w:lineRule="auto"/>
              <w:ind w:firstLine="0"/>
              <w:jc w:val="center"/>
              <w:rPr>
                <w:sz w:val="20"/>
                <w:szCs w:val="20"/>
              </w:rPr>
            </w:pPr>
          </w:p>
        </w:tc>
        <w:tc>
          <w:tcPr>
            <w:tcW w:w="2725" w:type="dxa"/>
            <w:tcBorders>
              <w:top w:val="nil"/>
              <w:left w:val="nil"/>
              <w:bottom w:val="nil"/>
              <w:right w:val="nil"/>
            </w:tcBorders>
            <w:shd w:val="clear" w:color="auto" w:fill="D6DCE5"/>
            <w:tcMar>
              <w:top w:w="15" w:type="dxa"/>
              <w:left w:w="15" w:type="dxa"/>
              <w:bottom w:w="0" w:type="dxa"/>
              <w:right w:w="15" w:type="dxa"/>
            </w:tcMar>
            <w:vAlign w:val="center"/>
            <w:hideMark/>
          </w:tcPr>
          <w:p w14:paraId="19DBDAE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32</w:t>
            </w:r>
          </w:p>
        </w:tc>
      </w:tr>
      <w:tr w:rsidR="00EB37AF" w:rsidRPr="00EB37AF" w14:paraId="713B5905"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7308B7D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308152C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6C525604" w14:textId="77777777" w:rsidR="00EB37AF" w:rsidRPr="00EB37AF" w:rsidRDefault="00EB37AF" w:rsidP="00EB37AF">
            <w:pPr>
              <w:autoSpaceDE/>
              <w:autoSpaceDN/>
              <w:adjustRightInd/>
              <w:spacing w:after="0" w:line="360" w:lineRule="auto"/>
              <w:ind w:firstLine="0"/>
              <w:jc w:val="center"/>
              <w:rPr>
                <w:sz w:val="20"/>
                <w:szCs w:val="20"/>
              </w:rPr>
            </w:pPr>
          </w:p>
        </w:tc>
        <w:tc>
          <w:tcPr>
            <w:tcW w:w="2725" w:type="dxa"/>
            <w:tcBorders>
              <w:top w:val="nil"/>
              <w:left w:val="nil"/>
              <w:bottom w:val="nil"/>
              <w:right w:val="nil"/>
            </w:tcBorders>
            <w:shd w:val="clear" w:color="auto" w:fill="auto"/>
            <w:tcMar>
              <w:top w:w="15" w:type="dxa"/>
              <w:left w:w="15" w:type="dxa"/>
              <w:bottom w:w="0" w:type="dxa"/>
              <w:right w:w="15" w:type="dxa"/>
            </w:tcMar>
            <w:vAlign w:val="center"/>
            <w:hideMark/>
          </w:tcPr>
          <w:p w14:paraId="2DBAC599" w14:textId="77777777" w:rsidR="00EB37AF" w:rsidRPr="00EB37AF" w:rsidRDefault="00EB37AF" w:rsidP="00EB37AF">
            <w:pPr>
              <w:autoSpaceDE/>
              <w:autoSpaceDN/>
              <w:adjustRightInd/>
              <w:spacing w:after="0" w:line="360" w:lineRule="auto"/>
              <w:ind w:firstLine="0"/>
              <w:jc w:val="center"/>
              <w:rPr>
                <w:sz w:val="20"/>
                <w:szCs w:val="20"/>
              </w:rPr>
            </w:pPr>
          </w:p>
        </w:tc>
      </w:tr>
    </w:tbl>
    <w:p w14:paraId="0CD2F7E0" w14:textId="77777777" w:rsidR="00EB37AF" w:rsidRPr="00EB37AF" w:rsidRDefault="00EB37AF" w:rsidP="00EB37AF">
      <w:pPr>
        <w:autoSpaceDE/>
        <w:autoSpaceDN/>
        <w:adjustRightInd/>
        <w:spacing w:after="0" w:line="360" w:lineRule="auto"/>
        <w:ind w:firstLine="0"/>
        <w:jc w:val="center"/>
        <w:rPr>
          <w:sz w:val="20"/>
          <w:szCs w:val="20"/>
        </w:rPr>
      </w:pPr>
    </w:p>
    <w:tbl>
      <w:tblPr>
        <w:tblW w:w="8505" w:type="dxa"/>
        <w:tblCellMar>
          <w:left w:w="0" w:type="dxa"/>
          <w:right w:w="0" w:type="dxa"/>
        </w:tblCellMar>
        <w:tblLook w:val="0600" w:firstRow="0" w:lastRow="0" w:firstColumn="0" w:lastColumn="0" w:noHBand="1" w:noVBand="1"/>
      </w:tblPr>
      <w:tblGrid>
        <w:gridCol w:w="2060"/>
        <w:gridCol w:w="3260"/>
        <w:gridCol w:w="460"/>
        <w:gridCol w:w="2725"/>
      </w:tblGrid>
      <w:tr w:rsidR="00EB37AF" w:rsidRPr="00EB37AF" w14:paraId="587CFAA3"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47C04F3"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72</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74D69712"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1 aplicação Carbox.</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76E819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725"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56ED8B9"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2 aplicações Carbox.</w:t>
            </w:r>
          </w:p>
        </w:tc>
      </w:tr>
      <w:tr w:rsidR="00EB37AF" w:rsidRPr="00EB37AF" w14:paraId="3BE8C29B"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A8195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4E17F3E"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 17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9DB366E" w14:textId="77777777" w:rsidR="00EB37AF" w:rsidRPr="00EB37AF" w:rsidRDefault="00EB37AF" w:rsidP="00EB37AF">
            <w:pPr>
              <w:autoSpaceDE/>
              <w:autoSpaceDN/>
              <w:adjustRightInd/>
              <w:spacing w:after="0" w:line="360" w:lineRule="auto"/>
              <w:ind w:firstLine="0"/>
              <w:jc w:val="center"/>
              <w:rPr>
                <w:sz w:val="20"/>
                <w:szCs w:val="20"/>
              </w:rPr>
            </w:pPr>
          </w:p>
        </w:tc>
        <w:tc>
          <w:tcPr>
            <w:tcW w:w="272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9C3E9B0"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 17 DAP</w:t>
            </w:r>
            <w:r w:rsidRPr="00EB37AF">
              <w:rPr>
                <w:sz w:val="20"/>
                <w:szCs w:val="20"/>
                <w:vertAlign w:val="subscript"/>
              </w:rPr>
              <w:t>0</w:t>
            </w:r>
          </w:p>
        </w:tc>
      </w:tr>
      <w:tr w:rsidR="00EB37AF" w:rsidRPr="00EB37AF" w14:paraId="61E55C2C"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6B7E7A9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6E31DB3A"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28</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09B44153" w14:textId="77777777" w:rsidR="00EB37AF" w:rsidRPr="00EB37AF" w:rsidRDefault="00EB37AF" w:rsidP="00EB37AF">
            <w:pPr>
              <w:autoSpaceDE/>
              <w:autoSpaceDN/>
              <w:adjustRightInd/>
              <w:spacing w:after="0" w:line="360" w:lineRule="auto"/>
              <w:ind w:firstLine="0"/>
              <w:jc w:val="center"/>
              <w:rPr>
                <w:sz w:val="20"/>
                <w:szCs w:val="20"/>
              </w:rPr>
            </w:pPr>
          </w:p>
        </w:tc>
        <w:tc>
          <w:tcPr>
            <w:tcW w:w="2725" w:type="dxa"/>
            <w:tcBorders>
              <w:top w:val="nil"/>
              <w:left w:val="nil"/>
              <w:bottom w:val="nil"/>
              <w:right w:val="nil"/>
            </w:tcBorders>
            <w:shd w:val="clear" w:color="auto" w:fill="D6DCE5"/>
            <w:tcMar>
              <w:top w:w="15" w:type="dxa"/>
              <w:left w:w="15" w:type="dxa"/>
              <w:bottom w:w="0" w:type="dxa"/>
              <w:right w:w="15" w:type="dxa"/>
            </w:tcMar>
            <w:vAlign w:val="center"/>
            <w:hideMark/>
          </w:tcPr>
          <w:p w14:paraId="633ACD5D"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26,3</w:t>
            </w:r>
          </w:p>
        </w:tc>
      </w:tr>
      <w:tr w:rsidR="00EB37AF" w:rsidRPr="00EB37AF" w14:paraId="347F423A"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370DF9B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2E31093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2A3B5DDF" w14:textId="77777777" w:rsidR="00EB37AF" w:rsidRPr="00EB37AF" w:rsidRDefault="00EB37AF" w:rsidP="00EB37AF">
            <w:pPr>
              <w:autoSpaceDE/>
              <w:autoSpaceDN/>
              <w:adjustRightInd/>
              <w:spacing w:after="0" w:line="360" w:lineRule="auto"/>
              <w:ind w:firstLine="0"/>
              <w:jc w:val="center"/>
              <w:rPr>
                <w:sz w:val="20"/>
                <w:szCs w:val="20"/>
              </w:rPr>
            </w:pPr>
          </w:p>
        </w:tc>
        <w:tc>
          <w:tcPr>
            <w:tcW w:w="2725" w:type="dxa"/>
            <w:tcBorders>
              <w:top w:val="nil"/>
              <w:left w:val="nil"/>
              <w:bottom w:val="nil"/>
              <w:right w:val="nil"/>
            </w:tcBorders>
            <w:shd w:val="clear" w:color="auto" w:fill="auto"/>
            <w:tcMar>
              <w:top w:w="15" w:type="dxa"/>
              <w:left w:w="15" w:type="dxa"/>
              <w:bottom w:w="0" w:type="dxa"/>
              <w:right w:w="15" w:type="dxa"/>
            </w:tcMar>
            <w:vAlign w:val="center"/>
            <w:hideMark/>
          </w:tcPr>
          <w:p w14:paraId="428CF427" w14:textId="77777777" w:rsidR="00EB37AF" w:rsidRPr="00EB37AF" w:rsidRDefault="00EB37AF" w:rsidP="00EB37AF">
            <w:pPr>
              <w:autoSpaceDE/>
              <w:autoSpaceDN/>
              <w:adjustRightInd/>
              <w:spacing w:after="0" w:line="360" w:lineRule="auto"/>
              <w:ind w:firstLine="0"/>
              <w:jc w:val="center"/>
              <w:rPr>
                <w:sz w:val="20"/>
                <w:szCs w:val="20"/>
              </w:rPr>
            </w:pPr>
          </w:p>
        </w:tc>
      </w:tr>
    </w:tbl>
    <w:p w14:paraId="111C7E8B" w14:textId="77777777" w:rsidR="00EB37AF" w:rsidRPr="00EB37AF" w:rsidRDefault="00EB37AF" w:rsidP="00EB37AF">
      <w:pPr>
        <w:autoSpaceDE/>
        <w:autoSpaceDN/>
        <w:adjustRightInd/>
        <w:spacing w:after="0" w:line="360" w:lineRule="auto"/>
        <w:ind w:firstLine="0"/>
        <w:jc w:val="center"/>
        <w:rPr>
          <w:sz w:val="20"/>
          <w:szCs w:val="20"/>
        </w:rPr>
      </w:pPr>
    </w:p>
    <w:tbl>
      <w:tblPr>
        <w:tblW w:w="8647" w:type="dxa"/>
        <w:tblCellMar>
          <w:left w:w="0" w:type="dxa"/>
          <w:right w:w="0" w:type="dxa"/>
        </w:tblCellMar>
        <w:tblLook w:val="0600" w:firstRow="0" w:lastRow="0" w:firstColumn="0" w:lastColumn="0" w:noHBand="1" w:noVBand="1"/>
      </w:tblPr>
      <w:tblGrid>
        <w:gridCol w:w="2060"/>
        <w:gridCol w:w="3260"/>
        <w:gridCol w:w="460"/>
        <w:gridCol w:w="2867"/>
      </w:tblGrid>
      <w:tr w:rsidR="00EB37AF" w:rsidRPr="00EB37AF" w14:paraId="1BCAC58A"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D2F5B5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73</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CCEC41B"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1 aplicação Carbox.</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3463AEA"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86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84F0DA1"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2 aplicações Carbox.</w:t>
            </w:r>
          </w:p>
        </w:tc>
      </w:tr>
      <w:tr w:rsidR="00EB37AF" w:rsidRPr="00EB37AF" w14:paraId="63E20BE7"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08EFC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AE2E14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 35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CE87D84" w14:textId="77777777" w:rsidR="00EB37AF" w:rsidRPr="00EB37AF" w:rsidRDefault="00EB37AF" w:rsidP="00EB37AF">
            <w:pPr>
              <w:autoSpaceDE/>
              <w:autoSpaceDN/>
              <w:adjustRightInd/>
              <w:spacing w:after="0" w:line="360" w:lineRule="auto"/>
              <w:ind w:firstLine="0"/>
              <w:jc w:val="center"/>
              <w:rPr>
                <w:sz w:val="20"/>
                <w:szCs w:val="20"/>
              </w:rPr>
            </w:pPr>
          </w:p>
        </w:tc>
        <w:tc>
          <w:tcPr>
            <w:tcW w:w="286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E23F10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 35 DAP</w:t>
            </w:r>
            <w:r w:rsidRPr="00EB37AF">
              <w:rPr>
                <w:sz w:val="20"/>
                <w:szCs w:val="20"/>
                <w:vertAlign w:val="subscript"/>
              </w:rPr>
              <w:t>0</w:t>
            </w:r>
          </w:p>
        </w:tc>
      </w:tr>
      <w:tr w:rsidR="00EB37AF" w:rsidRPr="00EB37AF" w14:paraId="61B1D0EF"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71EF9AD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101543D1"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40,5</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1AD7647F" w14:textId="77777777" w:rsidR="00EB37AF" w:rsidRPr="00EB37AF" w:rsidRDefault="00EB37AF" w:rsidP="00EB37AF">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D6DCE5"/>
            <w:tcMar>
              <w:top w:w="15" w:type="dxa"/>
              <w:left w:w="15" w:type="dxa"/>
              <w:bottom w:w="0" w:type="dxa"/>
              <w:right w:w="15" w:type="dxa"/>
            </w:tcMar>
            <w:vAlign w:val="center"/>
            <w:hideMark/>
          </w:tcPr>
          <w:p w14:paraId="54371F1F"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34,4</w:t>
            </w:r>
          </w:p>
        </w:tc>
      </w:tr>
      <w:tr w:rsidR="00EB37AF" w:rsidRPr="00EB37AF" w14:paraId="4E81E871"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7DA95782"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648F0BA3"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5EBE5E54" w14:textId="77777777" w:rsidR="00EB37AF" w:rsidRPr="00EB37AF" w:rsidRDefault="00EB37AF" w:rsidP="00EB37AF">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auto"/>
            <w:tcMar>
              <w:top w:w="15" w:type="dxa"/>
              <w:left w:w="15" w:type="dxa"/>
              <w:bottom w:w="0" w:type="dxa"/>
              <w:right w:w="15" w:type="dxa"/>
            </w:tcMar>
            <w:vAlign w:val="center"/>
            <w:hideMark/>
          </w:tcPr>
          <w:p w14:paraId="4835AEDB" w14:textId="77777777" w:rsidR="00EB37AF" w:rsidRPr="00EB37AF" w:rsidRDefault="00EB37AF" w:rsidP="00EB37AF">
            <w:pPr>
              <w:autoSpaceDE/>
              <w:autoSpaceDN/>
              <w:adjustRightInd/>
              <w:spacing w:after="0" w:line="360" w:lineRule="auto"/>
              <w:ind w:firstLine="0"/>
              <w:jc w:val="center"/>
              <w:rPr>
                <w:sz w:val="20"/>
                <w:szCs w:val="20"/>
              </w:rPr>
            </w:pPr>
          </w:p>
        </w:tc>
      </w:tr>
    </w:tbl>
    <w:p w14:paraId="68BF0B91" w14:textId="77777777" w:rsidR="00EB37AF" w:rsidRPr="00EB37AF" w:rsidRDefault="00EB37AF" w:rsidP="00EB37AF">
      <w:pPr>
        <w:autoSpaceDE/>
        <w:autoSpaceDN/>
        <w:adjustRightInd/>
        <w:spacing w:after="0" w:line="360" w:lineRule="auto"/>
        <w:ind w:firstLine="0"/>
        <w:jc w:val="center"/>
        <w:rPr>
          <w:sz w:val="20"/>
          <w:szCs w:val="20"/>
        </w:rPr>
      </w:pPr>
    </w:p>
    <w:tbl>
      <w:tblPr>
        <w:tblW w:w="8647" w:type="dxa"/>
        <w:tblCellMar>
          <w:left w:w="0" w:type="dxa"/>
          <w:right w:w="0" w:type="dxa"/>
        </w:tblCellMar>
        <w:tblLook w:val="0600" w:firstRow="0" w:lastRow="0" w:firstColumn="0" w:lastColumn="0" w:noHBand="1" w:noVBand="1"/>
      </w:tblPr>
      <w:tblGrid>
        <w:gridCol w:w="2060"/>
        <w:gridCol w:w="3260"/>
        <w:gridCol w:w="460"/>
        <w:gridCol w:w="2867"/>
      </w:tblGrid>
      <w:tr w:rsidR="00EB37AF" w:rsidRPr="00EB37AF" w14:paraId="714179B9"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42BB5B0"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Contraste 74</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BE5C5A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1 aplicação Carbox.</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8DC71A8"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x</w:t>
            </w:r>
          </w:p>
        </w:tc>
        <w:tc>
          <w:tcPr>
            <w:tcW w:w="286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C0119A4" w14:textId="77777777" w:rsidR="00EB37AF" w:rsidRPr="00EB37AF" w:rsidRDefault="00EB37AF" w:rsidP="00EB37AF">
            <w:pPr>
              <w:autoSpaceDE/>
              <w:autoSpaceDN/>
              <w:adjustRightInd/>
              <w:spacing w:after="0" w:line="360" w:lineRule="auto"/>
              <w:ind w:firstLine="0"/>
              <w:jc w:val="center"/>
              <w:rPr>
                <w:b/>
                <w:sz w:val="20"/>
                <w:szCs w:val="20"/>
              </w:rPr>
            </w:pPr>
            <w:r w:rsidRPr="00EB37AF">
              <w:rPr>
                <w:b/>
                <w:sz w:val="20"/>
                <w:szCs w:val="20"/>
              </w:rPr>
              <w:t>CV2 / 2 aplicações Carbox.</w:t>
            </w:r>
          </w:p>
        </w:tc>
      </w:tr>
      <w:tr w:rsidR="00EB37AF" w:rsidRPr="00EB37AF" w14:paraId="490AFF36"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7E7A38B"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C79F6B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(T2 + T4) 52 DAP</w:t>
            </w:r>
            <w:r w:rsidRPr="00EB37AF">
              <w:rPr>
                <w:sz w:val="20"/>
                <w:szCs w:val="20"/>
                <w:vertAlign w:val="subscript"/>
              </w:rPr>
              <w:t>0</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DFAC7FC" w14:textId="77777777" w:rsidR="00EB37AF" w:rsidRPr="00EB37AF" w:rsidRDefault="00EB37AF" w:rsidP="00EB37AF">
            <w:pPr>
              <w:autoSpaceDE/>
              <w:autoSpaceDN/>
              <w:adjustRightInd/>
              <w:spacing w:after="0" w:line="360" w:lineRule="auto"/>
              <w:ind w:firstLine="0"/>
              <w:jc w:val="center"/>
              <w:rPr>
                <w:sz w:val="20"/>
                <w:szCs w:val="20"/>
              </w:rPr>
            </w:pPr>
          </w:p>
        </w:tc>
        <w:tc>
          <w:tcPr>
            <w:tcW w:w="286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8D6F1E7"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(T3 + T5) 52 DAP</w:t>
            </w:r>
            <w:r w:rsidRPr="00EB37AF">
              <w:rPr>
                <w:sz w:val="20"/>
                <w:szCs w:val="20"/>
                <w:vertAlign w:val="subscript"/>
              </w:rPr>
              <w:t>0</w:t>
            </w:r>
          </w:p>
        </w:tc>
      </w:tr>
      <w:tr w:rsidR="00EB37AF" w:rsidRPr="00EB37AF" w14:paraId="245A7D9B"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45EDA1B8"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4861E749"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36,6</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6EF2B462" w14:textId="77777777" w:rsidR="00EB37AF" w:rsidRPr="00EB37AF" w:rsidRDefault="00EB37AF" w:rsidP="00EB37AF">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D6DCE5"/>
            <w:tcMar>
              <w:top w:w="15" w:type="dxa"/>
              <w:left w:w="15" w:type="dxa"/>
              <w:bottom w:w="0" w:type="dxa"/>
              <w:right w:w="15" w:type="dxa"/>
            </w:tcMar>
            <w:vAlign w:val="center"/>
            <w:hideMark/>
          </w:tcPr>
          <w:p w14:paraId="6FFEFDC6"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35,3</w:t>
            </w:r>
          </w:p>
        </w:tc>
      </w:tr>
      <w:tr w:rsidR="00EB37AF" w:rsidRPr="00EB37AF" w14:paraId="430EA419"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3E9173B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6D10BCC5" w14:textId="77777777" w:rsidR="00EB37AF" w:rsidRPr="00EB37AF" w:rsidRDefault="00EB37AF" w:rsidP="00EB37AF">
            <w:pPr>
              <w:autoSpaceDE/>
              <w:autoSpaceDN/>
              <w:adjustRightInd/>
              <w:spacing w:after="0" w:line="360" w:lineRule="auto"/>
              <w:ind w:firstLine="0"/>
              <w:jc w:val="center"/>
              <w:rPr>
                <w:sz w:val="20"/>
                <w:szCs w:val="20"/>
              </w:rPr>
            </w:pPr>
            <w:r w:rsidRPr="00EB37AF">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3626BF7D" w14:textId="77777777" w:rsidR="00EB37AF" w:rsidRPr="00EB37AF" w:rsidRDefault="00EB37AF" w:rsidP="00EB37AF">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auto"/>
            <w:tcMar>
              <w:top w:w="15" w:type="dxa"/>
              <w:left w:w="15" w:type="dxa"/>
              <w:bottom w:w="0" w:type="dxa"/>
              <w:right w:w="15" w:type="dxa"/>
            </w:tcMar>
            <w:vAlign w:val="center"/>
            <w:hideMark/>
          </w:tcPr>
          <w:p w14:paraId="078CE3DF" w14:textId="77777777" w:rsidR="00EB37AF" w:rsidRPr="00EB37AF" w:rsidRDefault="00EB37AF" w:rsidP="00EB37AF">
            <w:pPr>
              <w:autoSpaceDE/>
              <w:autoSpaceDN/>
              <w:adjustRightInd/>
              <w:spacing w:after="0" w:line="360" w:lineRule="auto"/>
              <w:ind w:firstLine="0"/>
              <w:jc w:val="center"/>
              <w:rPr>
                <w:sz w:val="20"/>
                <w:szCs w:val="20"/>
              </w:rPr>
            </w:pPr>
          </w:p>
        </w:tc>
      </w:tr>
    </w:tbl>
    <w:p w14:paraId="3B06749D" w14:textId="1A559DE0" w:rsidR="00EB37AF" w:rsidRDefault="00EB37AF" w:rsidP="00817EAE">
      <w:pPr>
        <w:spacing w:after="0" w:line="240" w:lineRule="auto"/>
      </w:pPr>
    </w:p>
    <w:p w14:paraId="61966766" w14:textId="77777777" w:rsidR="00817EAE" w:rsidRDefault="00817EAE" w:rsidP="00817EAE">
      <w:pPr>
        <w:spacing w:after="0" w:line="240" w:lineRule="auto"/>
      </w:pPr>
    </w:p>
    <w:p w14:paraId="1251E27B" w14:textId="13107031" w:rsidR="006E6880" w:rsidRPr="006E6880" w:rsidRDefault="00256C81" w:rsidP="00817EAE">
      <w:pPr>
        <w:pStyle w:val="Ttulo2"/>
        <w:spacing w:after="0" w:line="240" w:lineRule="auto"/>
        <w:rPr>
          <w:bCs/>
          <w:color w:val="000000" w:themeColor="text1"/>
          <w:kern w:val="24"/>
        </w:rPr>
      </w:pPr>
      <w:bookmarkStart w:id="315" w:name="_Toc22568299"/>
      <w:r w:rsidRPr="00B7238F">
        <w:t xml:space="preserve">ANEXO </w:t>
      </w:r>
      <w:r w:rsidR="00B170EA" w:rsidRPr="00B7238F">
        <w:t>3. Contrastes estatísticos</w:t>
      </w:r>
      <w:r w:rsidR="00081316" w:rsidRPr="00B7238F">
        <w:t>, médias e probabilidade de significância</w:t>
      </w:r>
      <w:r w:rsidR="00B170EA" w:rsidRPr="00B7238F">
        <w:t xml:space="preserve"> realizados pelo teste t, com os resultados obtidos pela avaliação </w:t>
      </w:r>
      <w:r w:rsidR="00B170EA" w:rsidRPr="00B7238F">
        <w:rPr>
          <w:rFonts w:eastAsiaTheme="minorEastAsia"/>
          <w:bCs/>
          <w:color w:val="000000" w:themeColor="text1"/>
          <w:kern w:val="24"/>
        </w:rPr>
        <w:t xml:space="preserve">da adição de fungicidas a carboxamidas na ocorrência e frequência da mutação I86F em populações de </w:t>
      </w:r>
      <w:r w:rsidR="00B170EA" w:rsidRPr="00B7238F">
        <w:rPr>
          <w:rFonts w:eastAsiaTheme="minorEastAsia"/>
          <w:bCs/>
          <w:i/>
          <w:iCs/>
          <w:color w:val="000000" w:themeColor="text1"/>
          <w:kern w:val="24"/>
        </w:rPr>
        <w:t>Phakopsora pachyrhizi</w:t>
      </w:r>
      <w:r w:rsidR="00B170EA" w:rsidRPr="00B7238F">
        <w:rPr>
          <w:rFonts w:eastAsiaTheme="minorEastAsia"/>
          <w:bCs/>
          <w:color w:val="000000" w:themeColor="text1"/>
          <w:kern w:val="24"/>
        </w:rPr>
        <w:t>. Lages, 2019.</w:t>
      </w:r>
      <w:bookmarkEnd w:id="313"/>
      <w:bookmarkEnd w:id="315"/>
      <w:r w:rsidR="006E6880" w:rsidRPr="006E6880">
        <w:rPr>
          <w:rFonts w:eastAsiaTheme="minorEastAsia"/>
          <w:bCs/>
          <w:color w:val="000000" w:themeColor="text1"/>
          <w:kern w:val="24"/>
        </w:rPr>
        <w:t xml:space="preserve"> </w:t>
      </w:r>
    </w:p>
    <w:tbl>
      <w:tblPr>
        <w:tblW w:w="8647" w:type="dxa"/>
        <w:tblCellMar>
          <w:left w:w="0" w:type="dxa"/>
          <w:right w:w="0" w:type="dxa"/>
        </w:tblCellMar>
        <w:tblLook w:val="0600" w:firstRow="0" w:lastRow="0" w:firstColumn="0" w:lastColumn="0" w:noHBand="1" w:noVBand="1"/>
      </w:tblPr>
      <w:tblGrid>
        <w:gridCol w:w="2060"/>
        <w:gridCol w:w="3260"/>
        <w:gridCol w:w="460"/>
        <w:gridCol w:w="2867"/>
      </w:tblGrid>
      <w:tr w:rsidR="006E6880" w:rsidRPr="006E6880" w14:paraId="03157765"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A6A45E6"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Contraste 75</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A0888C3"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4734C27"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x</w:t>
            </w:r>
          </w:p>
        </w:tc>
        <w:tc>
          <w:tcPr>
            <w:tcW w:w="286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63D2731"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Testemunha sem fungicida</w:t>
            </w:r>
          </w:p>
        </w:tc>
      </w:tr>
      <w:tr w:rsidR="006E6880" w:rsidRPr="006E6880" w14:paraId="38AF72DE"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9920314"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18D089C"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T4 (14 a 42 DAP</w:t>
            </w:r>
            <w:r w:rsidRPr="006E6880">
              <w:rPr>
                <w:sz w:val="20"/>
                <w:szCs w:val="20"/>
                <w:vertAlign w:val="subscript"/>
                <w:lang w:val="fr-FR"/>
              </w:rPr>
              <w:t>0</w:t>
            </w:r>
            <w:r w:rsidRPr="006E6880">
              <w:rPr>
                <w:sz w:val="20"/>
                <w:szCs w:val="20"/>
                <w:lang w:val="fr-FR"/>
              </w:rPr>
              <w:t>)</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A901A32"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549BB9E"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T8 (14 a 42 DAP</w:t>
            </w:r>
            <w:r w:rsidRPr="006E6880">
              <w:rPr>
                <w:sz w:val="20"/>
                <w:szCs w:val="20"/>
                <w:vertAlign w:val="subscript"/>
                <w:lang w:val="fr-FR"/>
              </w:rPr>
              <w:t>0</w:t>
            </w:r>
            <w:r w:rsidRPr="006E6880">
              <w:rPr>
                <w:sz w:val="20"/>
                <w:szCs w:val="20"/>
                <w:lang w:val="fr-FR"/>
              </w:rPr>
              <w:t>)</w:t>
            </w:r>
          </w:p>
        </w:tc>
      </w:tr>
      <w:tr w:rsidR="006E6880" w:rsidRPr="006E6880" w14:paraId="531D74B0"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3DD679A7"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6805CEB0"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30,4</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41D719AB"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D6DCE5"/>
            <w:tcMar>
              <w:top w:w="15" w:type="dxa"/>
              <w:left w:w="15" w:type="dxa"/>
              <w:bottom w:w="0" w:type="dxa"/>
              <w:right w:w="15" w:type="dxa"/>
            </w:tcMar>
            <w:vAlign w:val="center"/>
            <w:hideMark/>
          </w:tcPr>
          <w:p w14:paraId="740085E4"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14,9</w:t>
            </w:r>
          </w:p>
        </w:tc>
      </w:tr>
      <w:tr w:rsidR="006E6880" w:rsidRPr="006E6880" w14:paraId="1BA8E2F4"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2C125D54"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57932DBD"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444E9DC7"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auto"/>
            <w:tcMar>
              <w:top w:w="15" w:type="dxa"/>
              <w:left w:w="15" w:type="dxa"/>
              <w:bottom w:w="0" w:type="dxa"/>
              <w:right w:w="15" w:type="dxa"/>
            </w:tcMar>
            <w:vAlign w:val="center"/>
            <w:hideMark/>
          </w:tcPr>
          <w:p w14:paraId="1707A746" w14:textId="77777777" w:rsidR="006E6880" w:rsidRPr="006E6880" w:rsidRDefault="006E6880" w:rsidP="006E6880">
            <w:pPr>
              <w:autoSpaceDE/>
              <w:autoSpaceDN/>
              <w:adjustRightInd/>
              <w:spacing w:after="0" w:line="360" w:lineRule="auto"/>
              <w:ind w:firstLine="0"/>
              <w:jc w:val="center"/>
              <w:rPr>
                <w:sz w:val="20"/>
                <w:szCs w:val="20"/>
              </w:rPr>
            </w:pPr>
          </w:p>
        </w:tc>
      </w:tr>
    </w:tbl>
    <w:p w14:paraId="391758CC" w14:textId="77777777" w:rsidR="006E6880" w:rsidRPr="006E6880" w:rsidRDefault="006E6880" w:rsidP="006E6880">
      <w:pPr>
        <w:autoSpaceDE/>
        <w:autoSpaceDN/>
        <w:adjustRightInd/>
        <w:spacing w:after="0" w:line="360" w:lineRule="auto"/>
        <w:ind w:firstLine="0"/>
        <w:jc w:val="center"/>
        <w:rPr>
          <w:sz w:val="20"/>
          <w:szCs w:val="20"/>
        </w:rPr>
      </w:pPr>
    </w:p>
    <w:tbl>
      <w:tblPr>
        <w:tblW w:w="8647" w:type="dxa"/>
        <w:tblCellMar>
          <w:left w:w="0" w:type="dxa"/>
          <w:right w:w="0" w:type="dxa"/>
        </w:tblCellMar>
        <w:tblLook w:val="0600" w:firstRow="0" w:lastRow="0" w:firstColumn="0" w:lastColumn="0" w:noHBand="1" w:noVBand="1"/>
      </w:tblPr>
      <w:tblGrid>
        <w:gridCol w:w="2060"/>
        <w:gridCol w:w="3260"/>
        <w:gridCol w:w="460"/>
        <w:gridCol w:w="2867"/>
      </w:tblGrid>
      <w:tr w:rsidR="006E6880" w:rsidRPr="006E6880" w14:paraId="6323906B"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FB65FC0"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Contraste 76</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2843A32"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 + Protetor</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5B943CA"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x</w:t>
            </w:r>
          </w:p>
        </w:tc>
        <w:tc>
          <w:tcPr>
            <w:tcW w:w="286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6F6A7BFD"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Testemunha sem fungicida</w:t>
            </w:r>
          </w:p>
        </w:tc>
      </w:tr>
      <w:tr w:rsidR="006E6880" w:rsidRPr="006E6880" w14:paraId="70C28712"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6684E48"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A901232"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T16 (14 a 42 DAP</w:t>
            </w:r>
            <w:r w:rsidRPr="006E6880">
              <w:rPr>
                <w:sz w:val="20"/>
                <w:szCs w:val="20"/>
                <w:vertAlign w:val="subscript"/>
                <w:lang w:val="fr-FR"/>
              </w:rPr>
              <w:t>0</w:t>
            </w:r>
            <w:r w:rsidRPr="006E6880">
              <w:rPr>
                <w:sz w:val="20"/>
                <w:szCs w:val="20"/>
                <w:lang w:val="fr-FR"/>
              </w:rPr>
              <w:t>)</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416F38A"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F89B3C6"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T17 (14 a 42 DAP</w:t>
            </w:r>
            <w:r w:rsidRPr="006E6880">
              <w:rPr>
                <w:sz w:val="20"/>
                <w:szCs w:val="20"/>
                <w:vertAlign w:val="subscript"/>
                <w:lang w:val="fr-FR"/>
              </w:rPr>
              <w:t>0</w:t>
            </w:r>
            <w:r w:rsidRPr="006E6880">
              <w:rPr>
                <w:sz w:val="20"/>
                <w:szCs w:val="20"/>
                <w:lang w:val="fr-FR"/>
              </w:rPr>
              <w:t>)</w:t>
            </w:r>
          </w:p>
        </w:tc>
      </w:tr>
      <w:tr w:rsidR="006E6880" w:rsidRPr="006E6880" w14:paraId="4A4220CA"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71C4BD10"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23961503"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29,4</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4FB0D3DA"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D6DCE5"/>
            <w:tcMar>
              <w:top w:w="15" w:type="dxa"/>
              <w:left w:w="15" w:type="dxa"/>
              <w:bottom w:w="0" w:type="dxa"/>
              <w:right w:w="15" w:type="dxa"/>
            </w:tcMar>
            <w:vAlign w:val="center"/>
            <w:hideMark/>
          </w:tcPr>
          <w:p w14:paraId="4DBC4223"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14,9</w:t>
            </w:r>
          </w:p>
        </w:tc>
      </w:tr>
      <w:tr w:rsidR="006E6880" w:rsidRPr="006E6880" w14:paraId="089112B1"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65F0CAAF"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619C8B97"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&lt;0,0001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4DA40EE6"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auto"/>
            <w:tcMar>
              <w:top w:w="15" w:type="dxa"/>
              <w:left w:w="15" w:type="dxa"/>
              <w:bottom w:w="0" w:type="dxa"/>
              <w:right w:w="15" w:type="dxa"/>
            </w:tcMar>
            <w:vAlign w:val="center"/>
            <w:hideMark/>
          </w:tcPr>
          <w:p w14:paraId="29DC6EBD" w14:textId="77777777" w:rsidR="006E6880" w:rsidRPr="006E6880" w:rsidRDefault="006E6880" w:rsidP="006E6880">
            <w:pPr>
              <w:autoSpaceDE/>
              <w:autoSpaceDN/>
              <w:adjustRightInd/>
              <w:spacing w:after="0" w:line="360" w:lineRule="auto"/>
              <w:ind w:firstLine="0"/>
              <w:jc w:val="center"/>
              <w:rPr>
                <w:sz w:val="20"/>
                <w:szCs w:val="20"/>
              </w:rPr>
            </w:pPr>
          </w:p>
        </w:tc>
      </w:tr>
    </w:tbl>
    <w:p w14:paraId="4086D576" w14:textId="77777777" w:rsidR="006E6880" w:rsidRPr="006E6880" w:rsidRDefault="006E6880" w:rsidP="006E6880">
      <w:pPr>
        <w:autoSpaceDE/>
        <w:autoSpaceDN/>
        <w:adjustRightInd/>
        <w:spacing w:after="0" w:line="360" w:lineRule="auto"/>
        <w:ind w:firstLine="0"/>
        <w:jc w:val="center"/>
        <w:rPr>
          <w:b/>
          <w:sz w:val="20"/>
          <w:szCs w:val="20"/>
        </w:rPr>
      </w:pPr>
    </w:p>
    <w:tbl>
      <w:tblPr>
        <w:tblW w:w="8647" w:type="dxa"/>
        <w:tblCellMar>
          <w:left w:w="0" w:type="dxa"/>
          <w:right w:w="0" w:type="dxa"/>
        </w:tblCellMar>
        <w:tblLook w:val="0600" w:firstRow="0" w:lastRow="0" w:firstColumn="0" w:lastColumn="0" w:noHBand="1" w:noVBand="1"/>
      </w:tblPr>
      <w:tblGrid>
        <w:gridCol w:w="2060"/>
        <w:gridCol w:w="3260"/>
        <w:gridCol w:w="460"/>
        <w:gridCol w:w="2867"/>
      </w:tblGrid>
      <w:tr w:rsidR="006E6880" w:rsidRPr="006E6880" w14:paraId="686D0627"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FB7DC72"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Contraste 77</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B90CD52"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Testemunha sem fungicida</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D217658"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x</w:t>
            </w:r>
          </w:p>
        </w:tc>
        <w:tc>
          <w:tcPr>
            <w:tcW w:w="2867"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27C5C03F"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 + Morfolina</w:t>
            </w:r>
          </w:p>
        </w:tc>
      </w:tr>
      <w:tr w:rsidR="006E6880" w:rsidRPr="006E6880" w14:paraId="623D89E8"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991FB22"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Contraste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05C0F95"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T8(14 a 42 DAP</w:t>
            </w:r>
            <w:r w:rsidRPr="006E6880">
              <w:rPr>
                <w:sz w:val="20"/>
                <w:szCs w:val="20"/>
                <w:vertAlign w:val="subscript"/>
              </w:rPr>
              <w:t>0</w:t>
            </w:r>
            <w:r w:rsidRPr="006E6880">
              <w:rPr>
                <w:sz w:val="20"/>
                <w:szCs w:val="20"/>
              </w:rPr>
              <w:t>)</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6CEA4DD"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097950A"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T17 (14 a 42 DAP</w:t>
            </w:r>
            <w:r w:rsidRPr="006E6880">
              <w:rPr>
                <w:sz w:val="20"/>
                <w:szCs w:val="20"/>
                <w:vertAlign w:val="subscript"/>
                <w:lang w:val="fr-FR"/>
              </w:rPr>
              <w:t>0</w:t>
            </w:r>
            <w:r w:rsidRPr="006E6880">
              <w:rPr>
                <w:sz w:val="20"/>
                <w:szCs w:val="20"/>
                <w:lang w:val="fr-FR"/>
              </w:rPr>
              <w:t>)</w:t>
            </w:r>
          </w:p>
        </w:tc>
      </w:tr>
      <w:tr w:rsidR="006E6880" w:rsidRPr="006E6880" w14:paraId="1E0573A5"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6DE06AFC"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5575405A"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14,9</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0E32B1D0"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D6DCE5"/>
            <w:tcMar>
              <w:top w:w="15" w:type="dxa"/>
              <w:left w:w="15" w:type="dxa"/>
              <w:bottom w:w="0" w:type="dxa"/>
              <w:right w:w="15" w:type="dxa"/>
            </w:tcMar>
            <w:vAlign w:val="center"/>
            <w:hideMark/>
          </w:tcPr>
          <w:p w14:paraId="49DC285E"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20,4</w:t>
            </w:r>
          </w:p>
        </w:tc>
      </w:tr>
      <w:tr w:rsidR="006E6880" w:rsidRPr="006E6880" w14:paraId="105A6D66"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52323E15"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6C848DDC"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34430FC8" w14:textId="77777777" w:rsidR="006E6880" w:rsidRPr="006E6880" w:rsidRDefault="006E6880" w:rsidP="006E6880">
            <w:pPr>
              <w:autoSpaceDE/>
              <w:autoSpaceDN/>
              <w:adjustRightInd/>
              <w:spacing w:after="0" w:line="360" w:lineRule="auto"/>
              <w:ind w:firstLine="0"/>
              <w:jc w:val="center"/>
              <w:rPr>
                <w:sz w:val="20"/>
                <w:szCs w:val="20"/>
              </w:rPr>
            </w:pPr>
          </w:p>
        </w:tc>
        <w:tc>
          <w:tcPr>
            <w:tcW w:w="2867" w:type="dxa"/>
            <w:tcBorders>
              <w:top w:val="nil"/>
              <w:left w:val="nil"/>
              <w:bottom w:val="nil"/>
              <w:right w:val="nil"/>
            </w:tcBorders>
            <w:shd w:val="clear" w:color="auto" w:fill="auto"/>
            <w:tcMar>
              <w:top w:w="15" w:type="dxa"/>
              <w:left w:w="15" w:type="dxa"/>
              <w:bottom w:w="0" w:type="dxa"/>
              <w:right w:w="15" w:type="dxa"/>
            </w:tcMar>
            <w:vAlign w:val="center"/>
            <w:hideMark/>
          </w:tcPr>
          <w:p w14:paraId="0BC14400" w14:textId="77777777" w:rsidR="006E6880" w:rsidRPr="006E6880" w:rsidRDefault="006E6880" w:rsidP="006E6880">
            <w:pPr>
              <w:autoSpaceDE/>
              <w:autoSpaceDN/>
              <w:adjustRightInd/>
              <w:spacing w:after="0" w:line="360" w:lineRule="auto"/>
              <w:ind w:firstLine="0"/>
              <w:jc w:val="center"/>
              <w:rPr>
                <w:sz w:val="20"/>
                <w:szCs w:val="20"/>
              </w:rPr>
            </w:pPr>
          </w:p>
        </w:tc>
      </w:tr>
    </w:tbl>
    <w:p w14:paraId="78239AC6" w14:textId="77777777" w:rsidR="006E6880" w:rsidRPr="006E6880" w:rsidRDefault="006E6880" w:rsidP="006E6880">
      <w:pPr>
        <w:autoSpaceDE/>
        <w:autoSpaceDN/>
        <w:adjustRightInd/>
        <w:spacing w:after="0" w:line="360" w:lineRule="auto"/>
        <w:ind w:firstLine="0"/>
        <w:jc w:val="center"/>
        <w:rPr>
          <w:b/>
          <w:sz w:val="20"/>
          <w:szCs w:val="20"/>
        </w:rPr>
      </w:pPr>
    </w:p>
    <w:tbl>
      <w:tblPr>
        <w:tblW w:w="8222" w:type="dxa"/>
        <w:tblCellMar>
          <w:left w:w="0" w:type="dxa"/>
          <w:right w:w="0" w:type="dxa"/>
        </w:tblCellMar>
        <w:tblLook w:val="0600" w:firstRow="0" w:lastRow="0" w:firstColumn="0" w:lastColumn="0" w:noHBand="1" w:noVBand="1"/>
      </w:tblPr>
      <w:tblGrid>
        <w:gridCol w:w="2060"/>
        <w:gridCol w:w="3260"/>
        <w:gridCol w:w="460"/>
        <w:gridCol w:w="2442"/>
      </w:tblGrid>
      <w:tr w:rsidR="006E6880" w:rsidRPr="006E6880" w14:paraId="2E838F5D"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8F58B07"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Contraste 78</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EE35100"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1A75574"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x</w:t>
            </w:r>
          </w:p>
        </w:tc>
        <w:tc>
          <w:tcPr>
            <w:tcW w:w="2442"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B85FE90"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 + Protetor</w:t>
            </w:r>
          </w:p>
        </w:tc>
      </w:tr>
      <w:tr w:rsidR="006E6880" w:rsidRPr="006E6880" w14:paraId="1C68A120"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81FB8D8"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Constraste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402EE54"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T4 (14 a 42 DAP</w:t>
            </w:r>
            <w:r w:rsidRPr="006E6880">
              <w:rPr>
                <w:sz w:val="20"/>
                <w:szCs w:val="20"/>
                <w:vertAlign w:val="subscript"/>
                <w:lang w:val="fr-FR"/>
              </w:rPr>
              <w:t>0</w:t>
            </w:r>
            <w:r w:rsidRPr="006E6880">
              <w:rPr>
                <w:sz w:val="20"/>
                <w:szCs w:val="20"/>
                <w:lang w:val="fr-FR"/>
              </w:rPr>
              <w:t>)</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F7DE305" w14:textId="77777777" w:rsidR="006E6880" w:rsidRPr="006E6880" w:rsidRDefault="006E6880" w:rsidP="006E6880">
            <w:pPr>
              <w:autoSpaceDE/>
              <w:autoSpaceDN/>
              <w:adjustRightInd/>
              <w:spacing w:after="0" w:line="360" w:lineRule="auto"/>
              <w:ind w:firstLine="0"/>
              <w:jc w:val="center"/>
              <w:rPr>
                <w:sz w:val="20"/>
                <w:szCs w:val="20"/>
              </w:rPr>
            </w:pPr>
          </w:p>
        </w:tc>
        <w:tc>
          <w:tcPr>
            <w:tcW w:w="2442"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B7B1886"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T16 (14 a 42 DAP</w:t>
            </w:r>
            <w:r w:rsidRPr="006E6880">
              <w:rPr>
                <w:sz w:val="20"/>
                <w:szCs w:val="20"/>
                <w:vertAlign w:val="subscript"/>
                <w:lang w:val="fr-FR"/>
              </w:rPr>
              <w:t>0</w:t>
            </w:r>
            <w:r w:rsidRPr="006E6880">
              <w:rPr>
                <w:sz w:val="20"/>
                <w:szCs w:val="20"/>
                <w:lang w:val="fr-FR"/>
              </w:rPr>
              <w:t>)</w:t>
            </w:r>
          </w:p>
        </w:tc>
      </w:tr>
      <w:tr w:rsidR="006E6880" w:rsidRPr="006E6880" w14:paraId="097162C4"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74FA174C"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395CB42C"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30,4</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3478D5AD" w14:textId="77777777" w:rsidR="006E6880" w:rsidRPr="006E6880" w:rsidRDefault="006E6880" w:rsidP="006E6880">
            <w:pPr>
              <w:autoSpaceDE/>
              <w:autoSpaceDN/>
              <w:adjustRightInd/>
              <w:spacing w:after="0" w:line="360" w:lineRule="auto"/>
              <w:ind w:firstLine="0"/>
              <w:jc w:val="center"/>
              <w:rPr>
                <w:sz w:val="20"/>
                <w:szCs w:val="20"/>
              </w:rPr>
            </w:pPr>
          </w:p>
        </w:tc>
        <w:tc>
          <w:tcPr>
            <w:tcW w:w="2442" w:type="dxa"/>
            <w:tcBorders>
              <w:top w:val="nil"/>
              <w:left w:val="nil"/>
              <w:bottom w:val="nil"/>
              <w:right w:val="nil"/>
            </w:tcBorders>
            <w:shd w:val="clear" w:color="auto" w:fill="D6DCE5"/>
            <w:tcMar>
              <w:top w:w="15" w:type="dxa"/>
              <w:left w:w="15" w:type="dxa"/>
              <w:bottom w:w="0" w:type="dxa"/>
              <w:right w:w="15" w:type="dxa"/>
            </w:tcMar>
            <w:vAlign w:val="center"/>
            <w:hideMark/>
          </w:tcPr>
          <w:p w14:paraId="1AAA1196"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29,4</w:t>
            </w:r>
          </w:p>
        </w:tc>
      </w:tr>
      <w:tr w:rsidR="006E6880" w:rsidRPr="006E6880" w14:paraId="10367ADF"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5DE6A050"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73A11638"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ns*</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05DE5789" w14:textId="77777777" w:rsidR="006E6880" w:rsidRPr="006E6880" w:rsidRDefault="006E6880" w:rsidP="006E6880">
            <w:pPr>
              <w:autoSpaceDE/>
              <w:autoSpaceDN/>
              <w:adjustRightInd/>
              <w:spacing w:after="0" w:line="360" w:lineRule="auto"/>
              <w:ind w:firstLine="0"/>
              <w:jc w:val="center"/>
              <w:rPr>
                <w:sz w:val="20"/>
                <w:szCs w:val="20"/>
              </w:rPr>
            </w:pPr>
          </w:p>
        </w:tc>
        <w:tc>
          <w:tcPr>
            <w:tcW w:w="2442" w:type="dxa"/>
            <w:tcBorders>
              <w:top w:val="nil"/>
              <w:left w:val="nil"/>
              <w:bottom w:val="nil"/>
              <w:right w:val="nil"/>
            </w:tcBorders>
            <w:shd w:val="clear" w:color="auto" w:fill="auto"/>
            <w:tcMar>
              <w:top w:w="15" w:type="dxa"/>
              <w:left w:w="15" w:type="dxa"/>
              <w:bottom w:w="0" w:type="dxa"/>
              <w:right w:w="15" w:type="dxa"/>
            </w:tcMar>
            <w:vAlign w:val="center"/>
            <w:hideMark/>
          </w:tcPr>
          <w:p w14:paraId="3DD0D98B" w14:textId="77777777" w:rsidR="006E6880" w:rsidRPr="006E6880" w:rsidRDefault="006E6880" w:rsidP="006E6880">
            <w:pPr>
              <w:autoSpaceDE/>
              <w:autoSpaceDN/>
              <w:adjustRightInd/>
              <w:spacing w:after="0" w:line="360" w:lineRule="auto"/>
              <w:ind w:firstLine="0"/>
              <w:jc w:val="center"/>
              <w:rPr>
                <w:sz w:val="20"/>
                <w:szCs w:val="20"/>
              </w:rPr>
            </w:pPr>
          </w:p>
        </w:tc>
      </w:tr>
    </w:tbl>
    <w:p w14:paraId="15147A88" w14:textId="77777777" w:rsidR="006E6880" w:rsidRPr="006E6880" w:rsidRDefault="006E6880" w:rsidP="006E6880">
      <w:pPr>
        <w:autoSpaceDE/>
        <w:autoSpaceDN/>
        <w:adjustRightInd/>
        <w:spacing w:after="0" w:line="360" w:lineRule="auto"/>
        <w:ind w:firstLine="0"/>
        <w:jc w:val="center"/>
        <w:rPr>
          <w:sz w:val="20"/>
          <w:szCs w:val="20"/>
        </w:rPr>
      </w:pPr>
    </w:p>
    <w:tbl>
      <w:tblPr>
        <w:tblW w:w="8222" w:type="dxa"/>
        <w:tblCellMar>
          <w:left w:w="0" w:type="dxa"/>
          <w:right w:w="0" w:type="dxa"/>
        </w:tblCellMar>
        <w:tblLook w:val="0600" w:firstRow="0" w:lastRow="0" w:firstColumn="0" w:lastColumn="0" w:noHBand="1" w:noVBand="1"/>
      </w:tblPr>
      <w:tblGrid>
        <w:gridCol w:w="2060"/>
        <w:gridCol w:w="3260"/>
        <w:gridCol w:w="460"/>
        <w:gridCol w:w="2442"/>
      </w:tblGrid>
      <w:tr w:rsidR="006E6880" w:rsidRPr="006E6880" w14:paraId="7B60EA30"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4DAD6BC0"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Contraste 79</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10B955F"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46E1137"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x</w:t>
            </w:r>
          </w:p>
        </w:tc>
        <w:tc>
          <w:tcPr>
            <w:tcW w:w="2442"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D972B33"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 + Morfolina</w:t>
            </w:r>
          </w:p>
        </w:tc>
      </w:tr>
      <w:tr w:rsidR="006E6880" w:rsidRPr="006E6880" w14:paraId="1636BBF3"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0052926"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Constraste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1087E6E"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T4 (14 a 42 DAP</w:t>
            </w:r>
            <w:r w:rsidRPr="006E6880">
              <w:rPr>
                <w:sz w:val="20"/>
                <w:szCs w:val="20"/>
                <w:vertAlign w:val="subscript"/>
                <w:lang w:val="fr-FR"/>
              </w:rPr>
              <w:t>0</w:t>
            </w:r>
            <w:r w:rsidRPr="006E6880">
              <w:rPr>
                <w:sz w:val="20"/>
                <w:szCs w:val="20"/>
                <w:lang w:val="fr-FR"/>
              </w:rPr>
              <w:t>)</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DE723D1" w14:textId="77777777" w:rsidR="006E6880" w:rsidRPr="006E6880" w:rsidRDefault="006E6880" w:rsidP="006E6880">
            <w:pPr>
              <w:autoSpaceDE/>
              <w:autoSpaceDN/>
              <w:adjustRightInd/>
              <w:spacing w:after="0" w:line="360" w:lineRule="auto"/>
              <w:ind w:firstLine="0"/>
              <w:jc w:val="center"/>
              <w:rPr>
                <w:sz w:val="20"/>
                <w:szCs w:val="20"/>
              </w:rPr>
            </w:pPr>
          </w:p>
        </w:tc>
        <w:tc>
          <w:tcPr>
            <w:tcW w:w="2442"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755EB75"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T17 (14 a 42 DAP</w:t>
            </w:r>
            <w:r w:rsidRPr="006E6880">
              <w:rPr>
                <w:sz w:val="20"/>
                <w:szCs w:val="20"/>
                <w:vertAlign w:val="subscript"/>
                <w:lang w:val="fr-FR"/>
              </w:rPr>
              <w:t>0</w:t>
            </w:r>
            <w:r w:rsidRPr="006E6880">
              <w:rPr>
                <w:sz w:val="20"/>
                <w:szCs w:val="20"/>
                <w:lang w:val="fr-FR"/>
              </w:rPr>
              <w:t>)</w:t>
            </w:r>
          </w:p>
        </w:tc>
      </w:tr>
      <w:tr w:rsidR="006E6880" w:rsidRPr="006E6880" w14:paraId="0916C237"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4CD527F4"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286A8AD7"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30,4</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1A5D33B9" w14:textId="77777777" w:rsidR="006E6880" w:rsidRPr="006E6880" w:rsidRDefault="006E6880" w:rsidP="006E6880">
            <w:pPr>
              <w:autoSpaceDE/>
              <w:autoSpaceDN/>
              <w:adjustRightInd/>
              <w:spacing w:after="0" w:line="360" w:lineRule="auto"/>
              <w:ind w:firstLine="0"/>
              <w:jc w:val="center"/>
              <w:rPr>
                <w:sz w:val="20"/>
                <w:szCs w:val="20"/>
              </w:rPr>
            </w:pPr>
          </w:p>
        </w:tc>
        <w:tc>
          <w:tcPr>
            <w:tcW w:w="2442" w:type="dxa"/>
            <w:tcBorders>
              <w:top w:val="nil"/>
              <w:left w:val="nil"/>
              <w:bottom w:val="nil"/>
              <w:right w:val="nil"/>
            </w:tcBorders>
            <w:shd w:val="clear" w:color="auto" w:fill="D6DCE5"/>
            <w:tcMar>
              <w:top w:w="15" w:type="dxa"/>
              <w:left w:w="15" w:type="dxa"/>
              <w:bottom w:w="0" w:type="dxa"/>
              <w:right w:w="15" w:type="dxa"/>
            </w:tcMar>
            <w:vAlign w:val="center"/>
            <w:hideMark/>
          </w:tcPr>
          <w:p w14:paraId="0495FCFA"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20,4</w:t>
            </w:r>
          </w:p>
        </w:tc>
      </w:tr>
      <w:tr w:rsidR="006E6880" w:rsidRPr="006E6880" w14:paraId="206E177E" w14:textId="77777777" w:rsidTr="00D74DA1">
        <w:trPr>
          <w:trHeight w:val="539"/>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49255EB8"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39AF8F29"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0,01</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1F13FB54" w14:textId="77777777" w:rsidR="006E6880" w:rsidRPr="006E6880" w:rsidRDefault="006E6880" w:rsidP="006E6880">
            <w:pPr>
              <w:autoSpaceDE/>
              <w:autoSpaceDN/>
              <w:adjustRightInd/>
              <w:spacing w:after="0" w:line="360" w:lineRule="auto"/>
              <w:ind w:firstLine="0"/>
              <w:jc w:val="center"/>
              <w:rPr>
                <w:sz w:val="20"/>
                <w:szCs w:val="20"/>
              </w:rPr>
            </w:pPr>
          </w:p>
        </w:tc>
        <w:tc>
          <w:tcPr>
            <w:tcW w:w="2442" w:type="dxa"/>
            <w:tcBorders>
              <w:top w:val="nil"/>
              <w:left w:val="nil"/>
              <w:bottom w:val="nil"/>
              <w:right w:val="nil"/>
            </w:tcBorders>
            <w:shd w:val="clear" w:color="auto" w:fill="auto"/>
            <w:tcMar>
              <w:top w:w="15" w:type="dxa"/>
              <w:left w:w="15" w:type="dxa"/>
              <w:bottom w:w="0" w:type="dxa"/>
              <w:right w:w="15" w:type="dxa"/>
            </w:tcMar>
            <w:vAlign w:val="center"/>
            <w:hideMark/>
          </w:tcPr>
          <w:p w14:paraId="5C9D7A6A" w14:textId="77777777" w:rsidR="006E6880" w:rsidRPr="006E6880" w:rsidRDefault="006E6880" w:rsidP="006E6880">
            <w:pPr>
              <w:autoSpaceDE/>
              <w:autoSpaceDN/>
              <w:adjustRightInd/>
              <w:spacing w:after="0" w:line="360" w:lineRule="auto"/>
              <w:ind w:firstLine="0"/>
              <w:jc w:val="center"/>
              <w:rPr>
                <w:sz w:val="20"/>
                <w:szCs w:val="20"/>
              </w:rPr>
            </w:pPr>
          </w:p>
        </w:tc>
      </w:tr>
    </w:tbl>
    <w:p w14:paraId="3A87EE3A" w14:textId="77777777" w:rsidR="006E6880" w:rsidRPr="006E6880" w:rsidRDefault="006E6880" w:rsidP="006E6880">
      <w:pPr>
        <w:autoSpaceDE/>
        <w:autoSpaceDN/>
        <w:adjustRightInd/>
        <w:spacing w:after="0" w:line="360" w:lineRule="auto"/>
        <w:ind w:firstLine="0"/>
        <w:jc w:val="center"/>
        <w:rPr>
          <w:sz w:val="20"/>
          <w:szCs w:val="20"/>
        </w:rPr>
      </w:pPr>
    </w:p>
    <w:tbl>
      <w:tblPr>
        <w:tblW w:w="8364" w:type="dxa"/>
        <w:tblCellMar>
          <w:left w:w="0" w:type="dxa"/>
          <w:right w:w="0" w:type="dxa"/>
        </w:tblCellMar>
        <w:tblLook w:val="0600" w:firstRow="0" w:lastRow="0" w:firstColumn="0" w:lastColumn="0" w:noHBand="1" w:noVBand="1"/>
      </w:tblPr>
      <w:tblGrid>
        <w:gridCol w:w="2060"/>
        <w:gridCol w:w="3260"/>
        <w:gridCol w:w="460"/>
        <w:gridCol w:w="2584"/>
      </w:tblGrid>
      <w:tr w:rsidR="006E6880" w:rsidRPr="006E6880" w14:paraId="4A5B51C8" w14:textId="77777777" w:rsidTr="00D74DA1">
        <w:trPr>
          <w:trHeight w:val="474"/>
        </w:trPr>
        <w:tc>
          <w:tcPr>
            <w:tcW w:w="20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BCAFC6B"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Contraste 80</w:t>
            </w:r>
          </w:p>
        </w:tc>
        <w:tc>
          <w:tcPr>
            <w:tcW w:w="32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05424414"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 + Protetor</w:t>
            </w:r>
          </w:p>
        </w:tc>
        <w:tc>
          <w:tcPr>
            <w:tcW w:w="460"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5A3A7760"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x</w:t>
            </w:r>
          </w:p>
        </w:tc>
        <w:tc>
          <w:tcPr>
            <w:tcW w:w="2584" w:type="dxa"/>
            <w:tcBorders>
              <w:top w:val="single" w:sz="8" w:space="0" w:color="000000"/>
              <w:left w:val="nil"/>
              <w:bottom w:val="single" w:sz="8" w:space="0" w:color="000000"/>
              <w:right w:val="nil"/>
            </w:tcBorders>
            <w:shd w:val="clear" w:color="auto" w:fill="D6DCE5"/>
            <w:tcMar>
              <w:top w:w="15" w:type="dxa"/>
              <w:left w:w="15" w:type="dxa"/>
              <w:bottom w:w="0" w:type="dxa"/>
              <w:right w:w="15" w:type="dxa"/>
            </w:tcMar>
            <w:vAlign w:val="center"/>
            <w:hideMark/>
          </w:tcPr>
          <w:p w14:paraId="10027BFD" w14:textId="77777777" w:rsidR="006E6880" w:rsidRPr="006E6880" w:rsidRDefault="006E6880" w:rsidP="006E6880">
            <w:pPr>
              <w:autoSpaceDE/>
              <w:autoSpaceDN/>
              <w:adjustRightInd/>
              <w:spacing w:after="0" w:line="360" w:lineRule="auto"/>
              <w:ind w:firstLine="0"/>
              <w:jc w:val="center"/>
              <w:rPr>
                <w:b/>
                <w:sz w:val="20"/>
                <w:szCs w:val="20"/>
              </w:rPr>
            </w:pPr>
            <w:r w:rsidRPr="006E6880">
              <w:rPr>
                <w:b/>
                <w:sz w:val="20"/>
                <w:szCs w:val="20"/>
              </w:rPr>
              <w:t>Carbox. + Estrob. + Morfolina</w:t>
            </w:r>
          </w:p>
        </w:tc>
      </w:tr>
      <w:tr w:rsidR="006E6880" w:rsidRPr="006E6880" w14:paraId="2B0731EC" w14:textId="77777777" w:rsidTr="00D74DA1">
        <w:trPr>
          <w:trHeight w:val="474"/>
        </w:trPr>
        <w:tc>
          <w:tcPr>
            <w:tcW w:w="20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C5D3A54"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Constraste</w:t>
            </w:r>
          </w:p>
        </w:tc>
        <w:tc>
          <w:tcPr>
            <w:tcW w:w="32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F9365BC"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T16 (14 a 42 DAP</w:t>
            </w:r>
            <w:r w:rsidRPr="006E6880">
              <w:rPr>
                <w:sz w:val="20"/>
                <w:szCs w:val="20"/>
                <w:vertAlign w:val="subscript"/>
                <w:lang w:val="fr-FR"/>
              </w:rPr>
              <w:t>0</w:t>
            </w:r>
            <w:r w:rsidRPr="006E6880">
              <w:rPr>
                <w:sz w:val="20"/>
                <w:szCs w:val="20"/>
                <w:lang w:val="fr-FR"/>
              </w:rPr>
              <w:t>)</w:t>
            </w:r>
          </w:p>
        </w:tc>
        <w:tc>
          <w:tcPr>
            <w:tcW w:w="4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4B2A023" w14:textId="77777777" w:rsidR="006E6880" w:rsidRPr="006E6880" w:rsidRDefault="006E6880" w:rsidP="006E6880">
            <w:pPr>
              <w:autoSpaceDE/>
              <w:autoSpaceDN/>
              <w:adjustRightInd/>
              <w:spacing w:after="0" w:line="360" w:lineRule="auto"/>
              <w:ind w:firstLine="0"/>
              <w:jc w:val="center"/>
              <w:rPr>
                <w:sz w:val="20"/>
                <w:szCs w:val="20"/>
              </w:rPr>
            </w:pPr>
          </w:p>
        </w:tc>
        <w:tc>
          <w:tcPr>
            <w:tcW w:w="258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3B61316"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lang w:val="fr-FR"/>
              </w:rPr>
              <w:t>T17 (14 a 42 DAP</w:t>
            </w:r>
            <w:r w:rsidRPr="006E6880">
              <w:rPr>
                <w:sz w:val="20"/>
                <w:szCs w:val="20"/>
                <w:vertAlign w:val="subscript"/>
                <w:lang w:val="fr-FR"/>
              </w:rPr>
              <w:t>0</w:t>
            </w:r>
            <w:r w:rsidRPr="006E6880">
              <w:rPr>
                <w:sz w:val="20"/>
                <w:szCs w:val="20"/>
                <w:lang w:val="fr-FR"/>
              </w:rPr>
              <w:t>)</w:t>
            </w:r>
          </w:p>
        </w:tc>
      </w:tr>
      <w:tr w:rsidR="006E6880" w:rsidRPr="006E6880" w14:paraId="39124F9F" w14:textId="77777777" w:rsidTr="00D74DA1">
        <w:trPr>
          <w:trHeight w:val="474"/>
        </w:trPr>
        <w:tc>
          <w:tcPr>
            <w:tcW w:w="2060" w:type="dxa"/>
            <w:tcBorders>
              <w:top w:val="nil"/>
              <w:left w:val="nil"/>
              <w:bottom w:val="nil"/>
              <w:right w:val="nil"/>
            </w:tcBorders>
            <w:shd w:val="clear" w:color="auto" w:fill="D6DCE5"/>
            <w:tcMar>
              <w:top w:w="15" w:type="dxa"/>
              <w:left w:w="15" w:type="dxa"/>
              <w:bottom w:w="0" w:type="dxa"/>
              <w:right w:w="15" w:type="dxa"/>
            </w:tcMar>
            <w:vAlign w:val="center"/>
            <w:hideMark/>
          </w:tcPr>
          <w:p w14:paraId="4E12F92F"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Média</w:t>
            </w:r>
          </w:p>
        </w:tc>
        <w:tc>
          <w:tcPr>
            <w:tcW w:w="3260" w:type="dxa"/>
            <w:tcBorders>
              <w:top w:val="nil"/>
              <w:left w:val="nil"/>
              <w:bottom w:val="nil"/>
              <w:right w:val="nil"/>
            </w:tcBorders>
            <w:shd w:val="clear" w:color="auto" w:fill="D6DCE5"/>
            <w:tcMar>
              <w:top w:w="15" w:type="dxa"/>
              <w:left w:w="15" w:type="dxa"/>
              <w:bottom w:w="0" w:type="dxa"/>
              <w:right w:w="15" w:type="dxa"/>
            </w:tcMar>
            <w:vAlign w:val="center"/>
            <w:hideMark/>
          </w:tcPr>
          <w:p w14:paraId="48EE60BB"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29,4</w:t>
            </w:r>
          </w:p>
        </w:tc>
        <w:tc>
          <w:tcPr>
            <w:tcW w:w="460" w:type="dxa"/>
            <w:tcBorders>
              <w:top w:val="nil"/>
              <w:left w:val="nil"/>
              <w:bottom w:val="nil"/>
              <w:right w:val="nil"/>
            </w:tcBorders>
            <w:shd w:val="clear" w:color="auto" w:fill="D6DCE5"/>
            <w:tcMar>
              <w:top w:w="15" w:type="dxa"/>
              <w:left w:w="15" w:type="dxa"/>
              <w:bottom w:w="0" w:type="dxa"/>
              <w:right w:w="15" w:type="dxa"/>
            </w:tcMar>
            <w:vAlign w:val="center"/>
            <w:hideMark/>
          </w:tcPr>
          <w:p w14:paraId="7C01CBE8" w14:textId="77777777" w:rsidR="006E6880" w:rsidRPr="006E6880" w:rsidRDefault="006E6880" w:rsidP="006E6880">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D6DCE5"/>
            <w:tcMar>
              <w:top w:w="15" w:type="dxa"/>
              <w:left w:w="15" w:type="dxa"/>
              <w:bottom w:w="0" w:type="dxa"/>
              <w:right w:w="15" w:type="dxa"/>
            </w:tcMar>
            <w:vAlign w:val="center"/>
            <w:hideMark/>
          </w:tcPr>
          <w:p w14:paraId="6BF88BA6"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20,4</w:t>
            </w:r>
          </w:p>
        </w:tc>
      </w:tr>
      <w:tr w:rsidR="006E6880" w:rsidRPr="006E6880" w14:paraId="2FCF4790" w14:textId="77777777" w:rsidTr="00D74DA1">
        <w:trPr>
          <w:trHeight w:val="65"/>
        </w:trPr>
        <w:tc>
          <w:tcPr>
            <w:tcW w:w="2060" w:type="dxa"/>
            <w:tcBorders>
              <w:top w:val="nil"/>
              <w:left w:val="nil"/>
              <w:bottom w:val="nil"/>
              <w:right w:val="nil"/>
            </w:tcBorders>
            <w:shd w:val="clear" w:color="auto" w:fill="auto"/>
            <w:tcMar>
              <w:top w:w="15" w:type="dxa"/>
              <w:left w:w="15" w:type="dxa"/>
              <w:bottom w:w="0" w:type="dxa"/>
              <w:right w:w="15" w:type="dxa"/>
            </w:tcMar>
            <w:vAlign w:val="center"/>
            <w:hideMark/>
          </w:tcPr>
          <w:p w14:paraId="0E856B65"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Probabilidade(p)</w:t>
            </w:r>
          </w:p>
        </w:tc>
        <w:tc>
          <w:tcPr>
            <w:tcW w:w="3260" w:type="dxa"/>
            <w:tcBorders>
              <w:top w:val="nil"/>
              <w:left w:val="nil"/>
              <w:bottom w:val="nil"/>
              <w:right w:val="nil"/>
            </w:tcBorders>
            <w:shd w:val="clear" w:color="auto" w:fill="auto"/>
            <w:tcMar>
              <w:top w:w="15" w:type="dxa"/>
              <w:left w:w="15" w:type="dxa"/>
              <w:bottom w:w="0" w:type="dxa"/>
              <w:right w:w="15" w:type="dxa"/>
            </w:tcMar>
            <w:vAlign w:val="center"/>
            <w:hideMark/>
          </w:tcPr>
          <w:p w14:paraId="2F75B2FF" w14:textId="77777777" w:rsidR="006E6880" w:rsidRPr="006E6880" w:rsidRDefault="006E6880" w:rsidP="006E6880">
            <w:pPr>
              <w:autoSpaceDE/>
              <w:autoSpaceDN/>
              <w:adjustRightInd/>
              <w:spacing w:after="0" w:line="360" w:lineRule="auto"/>
              <w:ind w:firstLine="0"/>
              <w:jc w:val="center"/>
              <w:rPr>
                <w:sz w:val="20"/>
                <w:szCs w:val="20"/>
              </w:rPr>
            </w:pPr>
            <w:r w:rsidRPr="006E6880">
              <w:rPr>
                <w:sz w:val="20"/>
                <w:szCs w:val="20"/>
              </w:rPr>
              <w:t>0,046</w:t>
            </w: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5160A80B" w14:textId="77777777" w:rsidR="006E6880" w:rsidRPr="006E6880" w:rsidRDefault="006E6880" w:rsidP="006E6880">
            <w:pPr>
              <w:autoSpaceDE/>
              <w:autoSpaceDN/>
              <w:adjustRightInd/>
              <w:spacing w:after="0" w:line="360" w:lineRule="auto"/>
              <w:ind w:firstLine="0"/>
              <w:jc w:val="center"/>
              <w:rPr>
                <w:sz w:val="20"/>
                <w:szCs w:val="20"/>
              </w:rPr>
            </w:pPr>
          </w:p>
        </w:tc>
        <w:tc>
          <w:tcPr>
            <w:tcW w:w="2584" w:type="dxa"/>
            <w:tcBorders>
              <w:top w:val="nil"/>
              <w:left w:val="nil"/>
              <w:bottom w:val="nil"/>
              <w:right w:val="nil"/>
            </w:tcBorders>
            <w:shd w:val="clear" w:color="auto" w:fill="auto"/>
            <w:tcMar>
              <w:top w:w="15" w:type="dxa"/>
              <w:left w:w="15" w:type="dxa"/>
              <w:bottom w:w="0" w:type="dxa"/>
              <w:right w:w="15" w:type="dxa"/>
            </w:tcMar>
            <w:vAlign w:val="center"/>
            <w:hideMark/>
          </w:tcPr>
          <w:p w14:paraId="041B8BCF" w14:textId="77777777" w:rsidR="006E6880" w:rsidRPr="006E6880" w:rsidRDefault="006E6880" w:rsidP="006E6880">
            <w:pPr>
              <w:autoSpaceDE/>
              <w:autoSpaceDN/>
              <w:adjustRightInd/>
              <w:spacing w:after="0" w:line="360" w:lineRule="auto"/>
              <w:ind w:firstLine="0"/>
              <w:jc w:val="center"/>
              <w:rPr>
                <w:sz w:val="20"/>
                <w:szCs w:val="20"/>
              </w:rPr>
            </w:pPr>
          </w:p>
        </w:tc>
      </w:tr>
    </w:tbl>
    <w:p w14:paraId="7942582C" w14:textId="01F0EA1C" w:rsidR="00271875" w:rsidRPr="00B7238F" w:rsidRDefault="00271875" w:rsidP="0050595D">
      <w:pPr>
        <w:ind w:firstLine="0"/>
      </w:pPr>
    </w:p>
    <w:sectPr w:rsidR="00271875" w:rsidRPr="00B7238F" w:rsidSect="00C2617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13C44" w14:textId="77777777" w:rsidR="00D00510" w:rsidRDefault="00D00510" w:rsidP="0005468C">
      <w:r>
        <w:separator/>
      </w:r>
    </w:p>
  </w:endnote>
  <w:endnote w:type="continuationSeparator" w:id="0">
    <w:p w14:paraId="67CB9708" w14:textId="77777777" w:rsidR="00D00510" w:rsidRDefault="00D00510" w:rsidP="0005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Bembo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1ED90" w14:textId="77777777" w:rsidR="00D00510" w:rsidRDefault="00D00510" w:rsidP="0005468C">
      <w:r>
        <w:separator/>
      </w:r>
    </w:p>
  </w:footnote>
  <w:footnote w:type="continuationSeparator" w:id="0">
    <w:p w14:paraId="1695970C" w14:textId="77777777" w:rsidR="00D00510" w:rsidRDefault="00D00510" w:rsidP="0005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326305"/>
      <w:docPartObj>
        <w:docPartGallery w:val="Page Numbers (Top of Page)"/>
        <w:docPartUnique/>
      </w:docPartObj>
    </w:sdtPr>
    <w:sdtEndPr/>
    <w:sdtContent>
      <w:p w14:paraId="0C142DBC" w14:textId="5751F0C8" w:rsidR="00C5591D" w:rsidRDefault="00D00510" w:rsidP="007811C1">
        <w:pPr>
          <w:pStyle w:val="Cabealho"/>
          <w:ind w:firstLine="0"/>
        </w:pPr>
      </w:p>
    </w:sdtContent>
  </w:sdt>
  <w:p w14:paraId="6587D33A" w14:textId="77777777" w:rsidR="00C5591D" w:rsidRDefault="00C5591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766FD" w14:textId="0770040D" w:rsidR="00C5591D" w:rsidRDefault="00C5591D">
    <w:pPr>
      <w:pStyle w:val="Cabealho"/>
      <w:jc w:val="right"/>
    </w:pPr>
  </w:p>
  <w:p w14:paraId="2EECB195" w14:textId="2F7A0B7C" w:rsidR="00C5591D" w:rsidRDefault="00C5591D" w:rsidP="00E54ABE">
    <w:pPr>
      <w:pStyle w:val="Cabealho"/>
      <w:tabs>
        <w:tab w:val="clear" w:pos="4252"/>
        <w:tab w:val="clear" w:pos="8504"/>
        <w:tab w:val="left" w:pos="81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5599881"/>
      <w:docPartObj>
        <w:docPartGallery w:val="Page Numbers (Top of Page)"/>
        <w:docPartUnique/>
      </w:docPartObj>
    </w:sdtPr>
    <w:sdtEndPr/>
    <w:sdtContent>
      <w:p w14:paraId="1A415EA2" w14:textId="0A6A145A" w:rsidR="00C5591D" w:rsidRDefault="00C5591D">
        <w:pPr>
          <w:pStyle w:val="Cabealho"/>
        </w:pPr>
        <w:r>
          <w:fldChar w:fldCharType="begin"/>
        </w:r>
        <w:r>
          <w:instrText>PAGE   \* MERGEFORMAT</w:instrText>
        </w:r>
        <w:r>
          <w:fldChar w:fldCharType="separate"/>
        </w:r>
        <w:r>
          <w:rPr>
            <w:noProof/>
          </w:rPr>
          <w:t>36</w:t>
        </w:r>
        <w:r>
          <w:fldChar w:fldCharType="end"/>
        </w:r>
      </w:p>
    </w:sdtContent>
  </w:sdt>
  <w:p w14:paraId="58D821E6" w14:textId="77777777" w:rsidR="00C5591D" w:rsidRDefault="00C5591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0793524"/>
      <w:docPartObj>
        <w:docPartGallery w:val="Page Numbers (Top of Page)"/>
        <w:docPartUnique/>
      </w:docPartObj>
    </w:sdtPr>
    <w:sdtEndPr/>
    <w:sdtContent>
      <w:p w14:paraId="5787C383" w14:textId="2B847620" w:rsidR="00C5591D" w:rsidRDefault="00C5591D">
        <w:pPr>
          <w:pStyle w:val="Cabealho"/>
          <w:jc w:val="right"/>
        </w:pPr>
        <w:r>
          <w:fldChar w:fldCharType="begin"/>
        </w:r>
        <w:r>
          <w:instrText>PAGE   \* MERGEFORMAT</w:instrText>
        </w:r>
        <w:r>
          <w:fldChar w:fldCharType="separate"/>
        </w:r>
        <w:r>
          <w:rPr>
            <w:noProof/>
          </w:rPr>
          <w:t>35</w:t>
        </w:r>
        <w:r>
          <w:fldChar w:fldCharType="end"/>
        </w:r>
      </w:p>
    </w:sdtContent>
  </w:sdt>
  <w:p w14:paraId="08AF5E4E" w14:textId="77777777" w:rsidR="00C5591D" w:rsidRDefault="00C5591D" w:rsidP="00E54ABE">
    <w:pPr>
      <w:pStyle w:val="Cabealho"/>
      <w:tabs>
        <w:tab w:val="clear" w:pos="4252"/>
        <w:tab w:val="clear" w:pos="8504"/>
        <w:tab w:val="left" w:pos="81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4A0A"/>
    <w:multiLevelType w:val="multilevel"/>
    <w:tmpl w:val="1D721E56"/>
    <w:lvl w:ilvl="0">
      <w:start w:val="1"/>
      <w:numFmt w:val="none"/>
      <w:lvlText w:val="2.1.2"/>
      <w:lvlJc w:val="left"/>
      <w:pPr>
        <w:ind w:left="432" w:hanging="432"/>
      </w:pPr>
      <w:rPr>
        <w:rFonts w:hint="default"/>
      </w:rPr>
    </w:lvl>
    <w:lvl w:ilvl="1">
      <w:start w:val="1"/>
      <w:numFmt w:val="none"/>
      <w:lvlText w:val="2.2.2"/>
      <w:lvlJc w:val="left"/>
      <w:pPr>
        <w:ind w:left="576" w:hanging="576"/>
      </w:pPr>
      <w:rPr>
        <w:rFonts w:hint="default"/>
      </w:rPr>
    </w:lvl>
    <w:lvl w:ilvl="2">
      <w:start w:val="1"/>
      <w:numFmt w:val="none"/>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F3176E"/>
    <w:multiLevelType w:val="multilevel"/>
    <w:tmpl w:val="F5FC7C3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04B19"/>
    <w:multiLevelType w:val="hybridMultilevel"/>
    <w:tmpl w:val="0A328C8E"/>
    <w:lvl w:ilvl="0" w:tplc="3B3E1604">
      <w:start w:val="1"/>
      <w:numFmt w:val="lowerLetter"/>
      <w:lvlText w:val="%1)"/>
      <w:lvlJc w:val="left"/>
      <w:pPr>
        <w:ind w:left="1068" w:hanging="360"/>
      </w:pPr>
      <w:rPr>
        <w:rFonts w:eastAsiaTheme="minorEastAsia"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A61513E"/>
    <w:multiLevelType w:val="multilevel"/>
    <w:tmpl w:val="EE3AE56C"/>
    <w:lvl w:ilvl="0">
      <w:start w:val="1"/>
      <w:numFmt w:val="none"/>
      <w:lvlText w:val="2.1.2"/>
      <w:lvlJc w:val="left"/>
      <w:pPr>
        <w:ind w:left="432" w:hanging="432"/>
      </w:pPr>
      <w:rPr>
        <w:rFonts w:hint="default"/>
      </w:rPr>
    </w:lvl>
    <w:lvl w:ilvl="1">
      <w:start w:val="1"/>
      <w:numFmt w:val="none"/>
      <w:lvlText w:val="2.2.2"/>
      <w:lvlJc w:val="left"/>
      <w:pPr>
        <w:ind w:left="576" w:hanging="576"/>
      </w:pPr>
      <w:rPr>
        <w:rFonts w:hint="default"/>
      </w:rPr>
    </w:lvl>
    <w:lvl w:ilvl="2">
      <w:start w:val="1"/>
      <w:numFmt w:val="none"/>
      <w:lvlText w:val="2.2.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A14423"/>
    <w:multiLevelType w:val="hybridMultilevel"/>
    <w:tmpl w:val="BE9AB08A"/>
    <w:lvl w:ilvl="0" w:tplc="264EDBB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F292CDF"/>
    <w:multiLevelType w:val="hybridMultilevel"/>
    <w:tmpl w:val="0A328C8E"/>
    <w:lvl w:ilvl="0" w:tplc="3B3E1604">
      <w:start w:val="1"/>
      <w:numFmt w:val="lowerLetter"/>
      <w:lvlText w:val="%1)"/>
      <w:lvlJc w:val="left"/>
      <w:pPr>
        <w:ind w:left="1068" w:hanging="360"/>
      </w:pPr>
      <w:rPr>
        <w:rFonts w:eastAsiaTheme="minorEastAsia"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8BB3BD3"/>
    <w:multiLevelType w:val="multilevel"/>
    <w:tmpl w:val="A3AC9AD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AF3429"/>
    <w:multiLevelType w:val="hybridMultilevel"/>
    <w:tmpl w:val="0A328C8E"/>
    <w:lvl w:ilvl="0" w:tplc="3B3E1604">
      <w:start w:val="1"/>
      <w:numFmt w:val="lowerLetter"/>
      <w:lvlText w:val="%1)"/>
      <w:lvlJc w:val="left"/>
      <w:pPr>
        <w:ind w:left="1068" w:hanging="360"/>
      </w:pPr>
      <w:rPr>
        <w:rFonts w:eastAsiaTheme="minorEastAsia"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2E8A1004"/>
    <w:multiLevelType w:val="multilevel"/>
    <w:tmpl w:val="5676887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606D96"/>
    <w:multiLevelType w:val="hybridMultilevel"/>
    <w:tmpl w:val="0A328C8E"/>
    <w:lvl w:ilvl="0" w:tplc="3B3E1604">
      <w:start w:val="1"/>
      <w:numFmt w:val="lowerLetter"/>
      <w:lvlText w:val="%1)"/>
      <w:lvlJc w:val="left"/>
      <w:pPr>
        <w:ind w:left="1068" w:hanging="360"/>
      </w:pPr>
      <w:rPr>
        <w:rFonts w:eastAsiaTheme="minorEastAsia"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3AC97B4F"/>
    <w:multiLevelType w:val="multilevel"/>
    <w:tmpl w:val="C6E02A8E"/>
    <w:lvl w:ilvl="0">
      <w:start w:val="6"/>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B6B3DAE"/>
    <w:multiLevelType w:val="multilevel"/>
    <w:tmpl w:val="74BA7434"/>
    <w:lvl w:ilvl="0">
      <w:start w:val="1"/>
      <w:numFmt w:val="none"/>
      <w:lvlText w:val="2.1.2.4"/>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6073B2A"/>
    <w:multiLevelType w:val="hybridMultilevel"/>
    <w:tmpl w:val="BE9AB08A"/>
    <w:lvl w:ilvl="0" w:tplc="264EDBB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520A0A72"/>
    <w:multiLevelType w:val="multilevel"/>
    <w:tmpl w:val="A342AC8A"/>
    <w:lvl w:ilvl="0">
      <w:start w:val="1"/>
      <w:numFmt w:val="none"/>
      <w:lvlText w:val="2.1.2"/>
      <w:lvlJc w:val="left"/>
      <w:pPr>
        <w:ind w:left="432" w:hanging="432"/>
      </w:pPr>
      <w:rPr>
        <w:rFonts w:hint="default"/>
      </w:rPr>
    </w:lvl>
    <w:lvl w:ilvl="1">
      <w:start w:val="1"/>
      <w:numFmt w:val="none"/>
      <w:lvlText w:val="2.2.2"/>
      <w:lvlJc w:val="left"/>
      <w:pPr>
        <w:ind w:left="576" w:hanging="576"/>
      </w:pPr>
      <w:rPr>
        <w:rFonts w:hint="default"/>
      </w:rPr>
    </w:lvl>
    <w:lvl w:ilvl="2">
      <w:start w:val="1"/>
      <w:numFmt w:val="none"/>
      <w:lvlText w:val="2.2.3"/>
      <w:lvlJc w:val="left"/>
      <w:pPr>
        <w:ind w:left="720" w:hanging="720"/>
      </w:pPr>
      <w:rPr>
        <w:rFonts w:hint="default"/>
      </w:rPr>
    </w:lvl>
    <w:lvl w:ilvl="3">
      <w:start w:val="1"/>
      <w:numFmt w:val="none"/>
      <w:lvlText w:val="2.2.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21C4C89"/>
    <w:multiLevelType w:val="multilevel"/>
    <w:tmpl w:val="F742513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5A04D5"/>
    <w:multiLevelType w:val="multilevel"/>
    <w:tmpl w:val="38160F70"/>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0601748"/>
    <w:multiLevelType w:val="multilevel"/>
    <w:tmpl w:val="2A402AB4"/>
    <w:lvl w:ilvl="0">
      <w:start w:val="1"/>
      <w:numFmt w:val="none"/>
      <w:lvlText w:val="2.2.3.3"/>
      <w:lvlJc w:val="left"/>
      <w:pPr>
        <w:ind w:left="432" w:hanging="432"/>
      </w:pPr>
      <w:rPr>
        <w:rFonts w:hint="default"/>
      </w:rPr>
    </w:lvl>
    <w:lvl w:ilvl="1">
      <w:start w:val="1"/>
      <w:numFmt w:val="none"/>
      <w:lvlText w:val="2.8"/>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2.2.3.3"/>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A160F04"/>
    <w:multiLevelType w:val="hybridMultilevel"/>
    <w:tmpl w:val="03868A98"/>
    <w:lvl w:ilvl="0" w:tplc="AAE2474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6A70113B"/>
    <w:multiLevelType w:val="multilevel"/>
    <w:tmpl w:val="87F66EE6"/>
    <w:lvl w:ilvl="0">
      <w:start w:val="1"/>
      <w:numFmt w:val="none"/>
      <w:lvlText w:val="2.2.1"/>
      <w:lvlJc w:val="left"/>
      <w:pPr>
        <w:ind w:left="431" w:hanging="431"/>
      </w:pPr>
      <w:rPr>
        <w:rFonts w:hint="default"/>
      </w:rPr>
    </w:lvl>
    <w:lvl w:ilvl="1">
      <w:start w:val="1"/>
      <w:numFmt w:val="none"/>
      <w:lvlText w:val="2.3"/>
      <w:lvlJc w:val="left"/>
      <w:pPr>
        <w:ind w:left="431" w:hanging="431"/>
      </w:pPr>
      <w:rPr>
        <w:rFonts w:hint="default"/>
      </w:rPr>
    </w:lvl>
    <w:lvl w:ilvl="2">
      <w:start w:val="1"/>
      <w:numFmt w:val="none"/>
      <w:lvlText w:val="%32.2.2"/>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pStyle w:val="Ttulo6"/>
      <w:lvlText w:val="%1.%2.%3.%4.%5.%6"/>
      <w:lvlJc w:val="left"/>
      <w:pPr>
        <w:ind w:left="431" w:hanging="431"/>
      </w:pPr>
      <w:rPr>
        <w:rFonts w:hint="default"/>
      </w:rPr>
    </w:lvl>
    <w:lvl w:ilvl="6">
      <w:start w:val="1"/>
      <w:numFmt w:val="decimal"/>
      <w:pStyle w:val="Ttulo7"/>
      <w:lvlText w:val="%1.%2.%3.%4.%5.%6.%7"/>
      <w:lvlJc w:val="left"/>
      <w:pPr>
        <w:ind w:left="431" w:hanging="431"/>
      </w:pPr>
      <w:rPr>
        <w:rFonts w:hint="default"/>
      </w:rPr>
    </w:lvl>
    <w:lvl w:ilvl="7">
      <w:start w:val="1"/>
      <w:numFmt w:val="decimal"/>
      <w:pStyle w:val="Ttulo8"/>
      <w:lvlText w:val="%1.%2.%3.%4.%5.%6.%7.%8"/>
      <w:lvlJc w:val="left"/>
      <w:pPr>
        <w:ind w:left="431" w:hanging="431"/>
      </w:pPr>
      <w:rPr>
        <w:rFonts w:hint="default"/>
      </w:rPr>
    </w:lvl>
    <w:lvl w:ilvl="8">
      <w:start w:val="1"/>
      <w:numFmt w:val="decimal"/>
      <w:pStyle w:val="Ttulo9"/>
      <w:lvlText w:val="%1.%2.%3.%4.%5.%6.%7.%8.%9"/>
      <w:lvlJc w:val="left"/>
      <w:pPr>
        <w:ind w:left="431" w:hanging="431"/>
      </w:pPr>
      <w:rPr>
        <w:rFonts w:hint="default"/>
      </w:rPr>
    </w:lvl>
  </w:abstractNum>
  <w:num w:numId="1">
    <w:abstractNumId w:val="17"/>
  </w:num>
  <w:num w:numId="2">
    <w:abstractNumId w:val="11"/>
  </w:num>
  <w:num w:numId="3">
    <w:abstractNumId w:val="6"/>
  </w:num>
  <w:num w:numId="4">
    <w:abstractNumId w:val="18"/>
  </w:num>
  <w:num w:numId="5">
    <w:abstractNumId w:val="3"/>
  </w:num>
  <w:num w:numId="6">
    <w:abstractNumId w:val="0"/>
  </w:num>
  <w:num w:numId="7">
    <w:abstractNumId w:val="13"/>
  </w:num>
  <w:num w:numId="8">
    <w:abstractNumId w:val="16"/>
  </w:num>
  <w:num w:numId="9">
    <w:abstractNumId w:val="12"/>
  </w:num>
  <w:num w:numId="10">
    <w:abstractNumId w:val="9"/>
  </w:num>
  <w:num w:numId="11">
    <w:abstractNumId w:val="4"/>
  </w:num>
  <w:num w:numId="12">
    <w:abstractNumId w:val="8"/>
  </w:num>
  <w:num w:numId="13">
    <w:abstractNumId w:val="14"/>
  </w:num>
  <w:num w:numId="14">
    <w:abstractNumId w:val="1"/>
  </w:num>
  <w:num w:numId="15">
    <w:abstractNumId w:val="10"/>
  </w:num>
  <w:num w:numId="16">
    <w:abstractNumId w:val="15"/>
  </w:num>
  <w:num w:numId="17">
    <w:abstractNumId w:val="5"/>
  </w:num>
  <w:num w:numId="18">
    <w:abstractNumId w:val="7"/>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M0NzK3MDIxMzEzNDFU0lEKTi0uzszPAykwMasFAKjEAsUtAAAA"/>
  </w:docVars>
  <w:rsids>
    <w:rsidRoot w:val="006D2A34"/>
    <w:rsid w:val="00001901"/>
    <w:rsid w:val="0000292C"/>
    <w:rsid w:val="00003538"/>
    <w:rsid w:val="0000386F"/>
    <w:rsid w:val="000039D8"/>
    <w:rsid w:val="000040AD"/>
    <w:rsid w:val="000065C4"/>
    <w:rsid w:val="00006BF0"/>
    <w:rsid w:val="00006D10"/>
    <w:rsid w:val="00007AFB"/>
    <w:rsid w:val="00007E20"/>
    <w:rsid w:val="00007F52"/>
    <w:rsid w:val="000110EC"/>
    <w:rsid w:val="000113C2"/>
    <w:rsid w:val="000115D5"/>
    <w:rsid w:val="000126F2"/>
    <w:rsid w:val="00014260"/>
    <w:rsid w:val="0001697D"/>
    <w:rsid w:val="000204B9"/>
    <w:rsid w:val="00020B0A"/>
    <w:rsid w:val="00020C62"/>
    <w:rsid w:val="00021173"/>
    <w:rsid w:val="0002141B"/>
    <w:rsid w:val="00021715"/>
    <w:rsid w:val="000218FC"/>
    <w:rsid w:val="00021CA5"/>
    <w:rsid w:val="00022480"/>
    <w:rsid w:val="00022A86"/>
    <w:rsid w:val="000235F9"/>
    <w:rsid w:val="0002386F"/>
    <w:rsid w:val="00023F7E"/>
    <w:rsid w:val="000243D9"/>
    <w:rsid w:val="00025DAB"/>
    <w:rsid w:val="00025FF3"/>
    <w:rsid w:val="00027A97"/>
    <w:rsid w:val="0003043D"/>
    <w:rsid w:val="000309BD"/>
    <w:rsid w:val="000309E7"/>
    <w:rsid w:val="00032158"/>
    <w:rsid w:val="00032202"/>
    <w:rsid w:val="000334B1"/>
    <w:rsid w:val="00034890"/>
    <w:rsid w:val="0003560D"/>
    <w:rsid w:val="0003604E"/>
    <w:rsid w:val="00037036"/>
    <w:rsid w:val="00037509"/>
    <w:rsid w:val="0003781B"/>
    <w:rsid w:val="00037DF0"/>
    <w:rsid w:val="00040051"/>
    <w:rsid w:val="0004203B"/>
    <w:rsid w:val="00042976"/>
    <w:rsid w:val="00042D41"/>
    <w:rsid w:val="00043073"/>
    <w:rsid w:val="00043E53"/>
    <w:rsid w:val="00044884"/>
    <w:rsid w:val="00044CBD"/>
    <w:rsid w:val="00047574"/>
    <w:rsid w:val="00050288"/>
    <w:rsid w:val="00050652"/>
    <w:rsid w:val="0005120E"/>
    <w:rsid w:val="00051AE1"/>
    <w:rsid w:val="000520CF"/>
    <w:rsid w:val="00052200"/>
    <w:rsid w:val="0005238C"/>
    <w:rsid w:val="0005272A"/>
    <w:rsid w:val="00053BAB"/>
    <w:rsid w:val="00053D73"/>
    <w:rsid w:val="0005468C"/>
    <w:rsid w:val="000550C7"/>
    <w:rsid w:val="00055CAA"/>
    <w:rsid w:val="00055E87"/>
    <w:rsid w:val="00056395"/>
    <w:rsid w:val="00056996"/>
    <w:rsid w:val="000576E1"/>
    <w:rsid w:val="00057B77"/>
    <w:rsid w:val="00057ED1"/>
    <w:rsid w:val="000608E4"/>
    <w:rsid w:val="0006127C"/>
    <w:rsid w:val="000615E3"/>
    <w:rsid w:val="00061AE7"/>
    <w:rsid w:val="00062FE2"/>
    <w:rsid w:val="000634D8"/>
    <w:rsid w:val="000647B7"/>
    <w:rsid w:val="000700E4"/>
    <w:rsid w:val="00070737"/>
    <w:rsid w:val="000722B1"/>
    <w:rsid w:val="0007245E"/>
    <w:rsid w:val="00072941"/>
    <w:rsid w:val="0007536B"/>
    <w:rsid w:val="000766EA"/>
    <w:rsid w:val="000767B0"/>
    <w:rsid w:val="00076AB0"/>
    <w:rsid w:val="000772C7"/>
    <w:rsid w:val="000802C6"/>
    <w:rsid w:val="000806FE"/>
    <w:rsid w:val="00081316"/>
    <w:rsid w:val="00081DDD"/>
    <w:rsid w:val="0008206A"/>
    <w:rsid w:val="000825CC"/>
    <w:rsid w:val="00082DB2"/>
    <w:rsid w:val="00082FB8"/>
    <w:rsid w:val="000849BC"/>
    <w:rsid w:val="00085D8D"/>
    <w:rsid w:val="00085EC8"/>
    <w:rsid w:val="00092773"/>
    <w:rsid w:val="00092F15"/>
    <w:rsid w:val="00093530"/>
    <w:rsid w:val="00093AFE"/>
    <w:rsid w:val="00095746"/>
    <w:rsid w:val="00096A47"/>
    <w:rsid w:val="000973FC"/>
    <w:rsid w:val="00097B9E"/>
    <w:rsid w:val="000A1B84"/>
    <w:rsid w:val="000A246A"/>
    <w:rsid w:val="000A2D77"/>
    <w:rsid w:val="000A4A7C"/>
    <w:rsid w:val="000A61E4"/>
    <w:rsid w:val="000A7360"/>
    <w:rsid w:val="000A7716"/>
    <w:rsid w:val="000A7878"/>
    <w:rsid w:val="000A7C60"/>
    <w:rsid w:val="000A7D11"/>
    <w:rsid w:val="000B1931"/>
    <w:rsid w:val="000B32D5"/>
    <w:rsid w:val="000B3405"/>
    <w:rsid w:val="000B3449"/>
    <w:rsid w:val="000B36F7"/>
    <w:rsid w:val="000B5994"/>
    <w:rsid w:val="000B64CF"/>
    <w:rsid w:val="000B6938"/>
    <w:rsid w:val="000B74B3"/>
    <w:rsid w:val="000C31B1"/>
    <w:rsid w:val="000C3F08"/>
    <w:rsid w:val="000C55FE"/>
    <w:rsid w:val="000C57CC"/>
    <w:rsid w:val="000C588D"/>
    <w:rsid w:val="000D08E2"/>
    <w:rsid w:val="000D1C44"/>
    <w:rsid w:val="000D4589"/>
    <w:rsid w:val="000D478F"/>
    <w:rsid w:val="000D4C20"/>
    <w:rsid w:val="000D5226"/>
    <w:rsid w:val="000E1836"/>
    <w:rsid w:val="000E1DE0"/>
    <w:rsid w:val="000E20B0"/>
    <w:rsid w:val="000E2296"/>
    <w:rsid w:val="000E264C"/>
    <w:rsid w:val="000E2835"/>
    <w:rsid w:val="000E29AA"/>
    <w:rsid w:val="000E3670"/>
    <w:rsid w:val="000E37F9"/>
    <w:rsid w:val="000E3821"/>
    <w:rsid w:val="000E3B89"/>
    <w:rsid w:val="000F0627"/>
    <w:rsid w:val="000F07D6"/>
    <w:rsid w:val="000F1E7D"/>
    <w:rsid w:val="000F4268"/>
    <w:rsid w:val="000F4506"/>
    <w:rsid w:val="000F52BC"/>
    <w:rsid w:val="000F6179"/>
    <w:rsid w:val="000F6C58"/>
    <w:rsid w:val="00100C6D"/>
    <w:rsid w:val="001013EB"/>
    <w:rsid w:val="0010252E"/>
    <w:rsid w:val="0010337A"/>
    <w:rsid w:val="001045CD"/>
    <w:rsid w:val="00105245"/>
    <w:rsid w:val="001052A5"/>
    <w:rsid w:val="00106371"/>
    <w:rsid w:val="00106EB7"/>
    <w:rsid w:val="0011474D"/>
    <w:rsid w:val="00116710"/>
    <w:rsid w:val="00116C84"/>
    <w:rsid w:val="00120603"/>
    <w:rsid w:val="0012064C"/>
    <w:rsid w:val="00120A87"/>
    <w:rsid w:val="00120E17"/>
    <w:rsid w:val="001210C0"/>
    <w:rsid w:val="00121731"/>
    <w:rsid w:val="001224A6"/>
    <w:rsid w:val="0012298B"/>
    <w:rsid w:val="001230BA"/>
    <w:rsid w:val="00124071"/>
    <w:rsid w:val="0012454C"/>
    <w:rsid w:val="00124D21"/>
    <w:rsid w:val="00125BC9"/>
    <w:rsid w:val="001300EE"/>
    <w:rsid w:val="001314F6"/>
    <w:rsid w:val="001327FC"/>
    <w:rsid w:val="00133FA0"/>
    <w:rsid w:val="001340DB"/>
    <w:rsid w:val="001341CD"/>
    <w:rsid w:val="00134BFF"/>
    <w:rsid w:val="00134CEF"/>
    <w:rsid w:val="0013523C"/>
    <w:rsid w:val="001358FD"/>
    <w:rsid w:val="0013655F"/>
    <w:rsid w:val="0013758D"/>
    <w:rsid w:val="00140629"/>
    <w:rsid w:val="00140EAA"/>
    <w:rsid w:val="00140F44"/>
    <w:rsid w:val="0014242F"/>
    <w:rsid w:val="00142C7B"/>
    <w:rsid w:val="0014512F"/>
    <w:rsid w:val="001454B5"/>
    <w:rsid w:val="0014551B"/>
    <w:rsid w:val="00147B71"/>
    <w:rsid w:val="001504CE"/>
    <w:rsid w:val="00151CD5"/>
    <w:rsid w:val="001533EC"/>
    <w:rsid w:val="00153440"/>
    <w:rsid w:val="0015513B"/>
    <w:rsid w:val="00155967"/>
    <w:rsid w:val="00155D98"/>
    <w:rsid w:val="001561FC"/>
    <w:rsid w:val="00156FCC"/>
    <w:rsid w:val="00160097"/>
    <w:rsid w:val="00160144"/>
    <w:rsid w:val="00163283"/>
    <w:rsid w:val="00164489"/>
    <w:rsid w:val="0016517F"/>
    <w:rsid w:val="00165303"/>
    <w:rsid w:val="00166AFF"/>
    <w:rsid w:val="00166D40"/>
    <w:rsid w:val="0016706D"/>
    <w:rsid w:val="00167C78"/>
    <w:rsid w:val="00170856"/>
    <w:rsid w:val="00171A2F"/>
    <w:rsid w:val="00171AC9"/>
    <w:rsid w:val="001721CC"/>
    <w:rsid w:val="00172FBC"/>
    <w:rsid w:val="00173FBA"/>
    <w:rsid w:val="00175090"/>
    <w:rsid w:val="00175382"/>
    <w:rsid w:val="00176C0A"/>
    <w:rsid w:val="00176C75"/>
    <w:rsid w:val="001778E3"/>
    <w:rsid w:val="001818E2"/>
    <w:rsid w:val="00181C83"/>
    <w:rsid w:val="0018381D"/>
    <w:rsid w:val="00183BCB"/>
    <w:rsid w:val="0018515A"/>
    <w:rsid w:val="001852F5"/>
    <w:rsid w:val="001862C3"/>
    <w:rsid w:val="001874C0"/>
    <w:rsid w:val="001907F5"/>
    <w:rsid w:val="00190D86"/>
    <w:rsid w:val="00192054"/>
    <w:rsid w:val="0019246B"/>
    <w:rsid w:val="00193284"/>
    <w:rsid w:val="00196265"/>
    <w:rsid w:val="00196995"/>
    <w:rsid w:val="001A039E"/>
    <w:rsid w:val="001A0537"/>
    <w:rsid w:val="001A1886"/>
    <w:rsid w:val="001A3EAE"/>
    <w:rsid w:val="001A61DB"/>
    <w:rsid w:val="001A6270"/>
    <w:rsid w:val="001A63F9"/>
    <w:rsid w:val="001A6680"/>
    <w:rsid w:val="001A6B9B"/>
    <w:rsid w:val="001B10DA"/>
    <w:rsid w:val="001B1677"/>
    <w:rsid w:val="001B266F"/>
    <w:rsid w:val="001B290C"/>
    <w:rsid w:val="001B2AD7"/>
    <w:rsid w:val="001B2B41"/>
    <w:rsid w:val="001B32D0"/>
    <w:rsid w:val="001B35C8"/>
    <w:rsid w:val="001B404D"/>
    <w:rsid w:val="001B662F"/>
    <w:rsid w:val="001B7179"/>
    <w:rsid w:val="001B728B"/>
    <w:rsid w:val="001B794F"/>
    <w:rsid w:val="001C10A3"/>
    <w:rsid w:val="001C2B4F"/>
    <w:rsid w:val="001C3439"/>
    <w:rsid w:val="001C3AF6"/>
    <w:rsid w:val="001C4984"/>
    <w:rsid w:val="001C4B62"/>
    <w:rsid w:val="001C4BC4"/>
    <w:rsid w:val="001C6A26"/>
    <w:rsid w:val="001C6E75"/>
    <w:rsid w:val="001C6ED3"/>
    <w:rsid w:val="001D02AE"/>
    <w:rsid w:val="001D1A5B"/>
    <w:rsid w:val="001D2F49"/>
    <w:rsid w:val="001D37FC"/>
    <w:rsid w:val="001D466B"/>
    <w:rsid w:val="001D48B0"/>
    <w:rsid w:val="001D5164"/>
    <w:rsid w:val="001D520E"/>
    <w:rsid w:val="001D5588"/>
    <w:rsid w:val="001D5B1E"/>
    <w:rsid w:val="001D76A2"/>
    <w:rsid w:val="001D778B"/>
    <w:rsid w:val="001E01AD"/>
    <w:rsid w:val="001E0207"/>
    <w:rsid w:val="001E0439"/>
    <w:rsid w:val="001E1177"/>
    <w:rsid w:val="001E365B"/>
    <w:rsid w:val="001E3945"/>
    <w:rsid w:val="001E57F7"/>
    <w:rsid w:val="001E585B"/>
    <w:rsid w:val="001E6F8C"/>
    <w:rsid w:val="001F1971"/>
    <w:rsid w:val="001F29A1"/>
    <w:rsid w:val="001F38F4"/>
    <w:rsid w:val="001F3D2E"/>
    <w:rsid w:val="001F6165"/>
    <w:rsid w:val="00200D43"/>
    <w:rsid w:val="002031DD"/>
    <w:rsid w:val="0020362B"/>
    <w:rsid w:val="0020581E"/>
    <w:rsid w:val="00206C19"/>
    <w:rsid w:val="00210E1C"/>
    <w:rsid w:val="00210F9A"/>
    <w:rsid w:val="00211F14"/>
    <w:rsid w:val="00212D95"/>
    <w:rsid w:val="002173E0"/>
    <w:rsid w:val="00220564"/>
    <w:rsid w:val="00221B18"/>
    <w:rsid w:val="002231C7"/>
    <w:rsid w:val="0022592C"/>
    <w:rsid w:val="002261E0"/>
    <w:rsid w:val="00226A01"/>
    <w:rsid w:val="00226DF9"/>
    <w:rsid w:val="0023001C"/>
    <w:rsid w:val="00230C2A"/>
    <w:rsid w:val="00230D08"/>
    <w:rsid w:val="00231433"/>
    <w:rsid w:val="00231690"/>
    <w:rsid w:val="00231A09"/>
    <w:rsid w:val="002322A6"/>
    <w:rsid w:val="00232B32"/>
    <w:rsid w:val="00234276"/>
    <w:rsid w:val="00234675"/>
    <w:rsid w:val="00235959"/>
    <w:rsid w:val="00235E6F"/>
    <w:rsid w:val="0023657E"/>
    <w:rsid w:val="002370AC"/>
    <w:rsid w:val="00237986"/>
    <w:rsid w:val="00237DE3"/>
    <w:rsid w:val="0024040C"/>
    <w:rsid w:val="00243816"/>
    <w:rsid w:val="0024575C"/>
    <w:rsid w:val="00245B7F"/>
    <w:rsid w:val="002471F9"/>
    <w:rsid w:val="00250E25"/>
    <w:rsid w:val="00251447"/>
    <w:rsid w:val="00254AFF"/>
    <w:rsid w:val="0025572F"/>
    <w:rsid w:val="002567F3"/>
    <w:rsid w:val="002567F9"/>
    <w:rsid w:val="00256C81"/>
    <w:rsid w:val="0025761D"/>
    <w:rsid w:val="00257FF7"/>
    <w:rsid w:val="002606EF"/>
    <w:rsid w:val="00260A14"/>
    <w:rsid w:val="00261714"/>
    <w:rsid w:val="00262248"/>
    <w:rsid w:val="00262AAC"/>
    <w:rsid w:val="0026391E"/>
    <w:rsid w:val="0026443D"/>
    <w:rsid w:val="002645F1"/>
    <w:rsid w:val="00264D90"/>
    <w:rsid w:val="00264DB5"/>
    <w:rsid w:val="00265259"/>
    <w:rsid w:val="00267DE6"/>
    <w:rsid w:val="00271875"/>
    <w:rsid w:val="0027193D"/>
    <w:rsid w:val="002731E0"/>
    <w:rsid w:val="002733FE"/>
    <w:rsid w:val="0027367A"/>
    <w:rsid w:val="00274A7E"/>
    <w:rsid w:val="00274E84"/>
    <w:rsid w:val="0027557E"/>
    <w:rsid w:val="00275AEB"/>
    <w:rsid w:val="00276291"/>
    <w:rsid w:val="0027719D"/>
    <w:rsid w:val="002775F3"/>
    <w:rsid w:val="00277CBF"/>
    <w:rsid w:val="00280104"/>
    <w:rsid w:val="00281D7F"/>
    <w:rsid w:val="0028206F"/>
    <w:rsid w:val="00282F5F"/>
    <w:rsid w:val="0028665F"/>
    <w:rsid w:val="00286953"/>
    <w:rsid w:val="0028710A"/>
    <w:rsid w:val="002907C8"/>
    <w:rsid w:val="00290FD8"/>
    <w:rsid w:val="00292357"/>
    <w:rsid w:val="00292CCD"/>
    <w:rsid w:val="0029370D"/>
    <w:rsid w:val="00294596"/>
    <w:rsid w:val="00295B15"/>
    <w:rsid w:val="00297F87"/>
    <w:rsid w:val="002A19DD"/>
    <w:rsid w:val="002A1A7A"/>
    <w:rsid w:val="002A28F9"/>
    <w:rsid w:val="002A358A"/>
    <w:rsid w:val="002A41E1"/>
    <w:rsid w:val="002A5C06"/>
    <w:rsid w:val="002A5D21"/>
    <w:rsid w:val="002A644A"/>
    <w:rsid w:val="002A7413"/>
    <w:rsid w:val="002A7AA4"/>
    <w:rsid w:val="002A7C9B"/>
    <w:rsid w:val="002B0D6E"/>
    <w:rsid w:val="002B2333"/>
    <w:rsid w:val="002B23EA"/>
    <w:rsid w:val="002B3093"/>
    <w:rsid w:val="002B3AAD"/>
    <w:rsid w:val="002B4055"/>
    <w:rsid w:val="002B49B3"/>
    <w:rsid w:val="002B5232"/>
    <w:rsid w:val="002B60C4"/>
    <w:rsid w:val="002B6A2B"/>
    <w:rsid w:val="002C03F9"/>
    <w:rsid w:val="002C0CF0"/>
    <w:rsid w:val="002C19D0"/>
    <w:rsid w:val="002C1C71"/>
    <w:rsid w:val="002C295B"/>
    <w:rsid w:val="002C2FAF"/>
    <w:rsid w:val="002C49CF"/>
    <w:rsid w:val="002C5091"/>
    <w:rsid w:val="002C52FA"/>
    <w:rsid w:val="002C752F"/>
    <w:rsid w:val="002D15F8"/>
    <w:rsid w:val="002D16AF"/>
    <w:rsid w:val="002D4C9C"/>
    <w:rsid w:val="002E0B6F"/>
    <w:rsid w:val="002E1608"/>
    <w:rsid w:val="002E307C"/>
    <w:rsid w:val="002E55C7"/>
    <w:rsid w:val="002E69C3"/>
    <w:rsid w:val="002E7171"/>
    <w:rsid w:val="002F0518"/>
    <w:rsid w:val="002F0AB7"/>
    <w:rsid w:val="002F0D06"/>
    <w:rsid w:val="002F15C4"/>
    <w:rsid w:val="002F1A5D"/>
    <w:rsid w:val="002F5762"/>
    <w:rsid w:val="002F5A08"/>
    <w:rsid w:val="002F5D16"/>
    <w:rsid w:val="002F5D72"/>
    <w:rsid w:val="002F653A"/>
    <w:rsid w:val="002F659B"/>
    <w:rsid w:val="00300FEC"/>
    <w:rsid w:val="003019EA"/>
    <w:rsid w:val="00302817"/>
    <w:rsid w:val="00303D00"/>
    <w:rsid w:val="0030493B"/>
    <w:rsid w:val="00304A5D"/>
    <w:rsid w:val="00304CA2"/>
    <w:rsid w:val="003059FD"/>
    <w:rsid w:val="0030619B"/>
    <w:rsid w:val="00306DCB"/>
    <w:rsid w:val="00307025"/>
    <w:rsid w:val="00310D01"/>
    <w:rsid w:val="00313470"/>
    <w:rsid w:val="00313C2F"/>
    <w:rsid w:val="00313F6E"/>
    <w:rsid w:val="00314679"/>
    <w:rsid w:val="00314D35"/>
    <w:rsid w:val="00315449"/>
    <w:rsid w:val="003154DA"/>
    <w:rsid w:val="00315BB1"/>
    <w:rsid w:val="003172FD"/>
    <w:rsid w:val="003173E3"/>
    <w:rsid w:val="00317556"/>
    <w:rsid w:val="00317793"/>
    <w:rsid w:val="00317FF2"/>
    <w:rsid w:val="00320D78"/>
    <w:rsid w:val="003214EF"/>
    <w:rsid w:val="00321B8A"/>
    <w:rsid w:val="00321DEE"/>
    <w:rsid w:val="003221EB"/>
    <w:rsid w:val="00322229"/>
    <w:rsid w:val="00322A1E"/>
    <w:rsid w:val="00322E24"/>
    <w:rsid w:val="00323645"/>
    <w:rsid w:val="00323D63"/>
    <w:rsid w:val="003244B9"/>
    <w:rsid w:val="00324DC7"/>
    <w:rsid w:val="0032547D"/>
    <w:rsid w:val="00325617"/>
    <w:rsid w:val="0032597F"/>
    <w:rsid w:val="00326B98"/>
    <w:rsid w:val="0032713E"/>
    <w:rsid w:val="003306FD"/>
    <w:rsid w:val="003311D4"/>
    <w:rsid w:val="003314DC"/>
    <w:rsid w:val="003322BE"/>
    <w:rsid w:val="00333DC6"/>
    <w:rsid w:val="0033592F"/>
    <w:rsid w:val="00337B72"/>
    <w:rsid w:val="00337B7A"/>
    <w:rsid w:val="00340380"/>
    <w:rsid w:val="00341039"/>
    <w:rsid w:val="00341129"/>
    <w:rsid w:val="003421B6"/>
    <w:rsid w:val="003437E9"/>
    <w:rsid w:val="00343BEA"/>
    <w:rsid w:val="003452CB"/>
    <w:rsid w:val="00346B7A"/>
    <w:rsid w:val="0035101A"/>
    <w:rsid w:val="003512E1"/>
    <w:rsid w:val="00353E86"/>
    <w:rsid w:val="0035402D"/>
    <w:rsid w:val="00355888"/>
    <w:rsid w:val="00355C06"/>
    <w:rsid w:val="003560DF"/>
    <w:rsid w:val="00356988"/>
    <w:rsid w:val="00357928"/>
    <w:rsid w:val="0035794F"/>
    <w:rsid w:val="0036125B"/>
    <w:rsid w:val="0036196E"/>
    <w:rsid w:val="00362172"/>
    <w:rsid w:val="00363501"/>
    <w:rsid w:val="00364630"/>
    <w:rsid w:val="003649DC"/>
    <w:rsid w:val="00364C28"/>
    <w:rsid w:val="00365F17"/>
    <w:rsid w:val="00366783"/>
    <w:rsid w:val="00366C72"/>
    <w:rsid w:val="00370ACF"/>
    <w:rsid w:val="00372395"/>
    <w:rsid w:val="00372441"/>
    <w:rsid w:val="00372A36"/>
    <w:rsid w:val="00372CE2"/>
    <w:rsid w:val="00373201"/>
    <w:rsid w:val="00374912"/>
    <w:rsid w:val="00374EB1"/>
    <w:rsid w:val="00375814"/>
    <w:rsid w:val="00376E0E"/>
    <w:rsid w:val="00377B81"/>
    <w:rsid w:val="00380112"/>
    <w:rsid w:val="003810BF"/>
    <w:rsid w:val="00382D0C"/>
    <w:rsid w:val="003832B8"/>
    <w:rsid w:val="00383E85"/>
    <w:rsid w:val="00384E13"/>
    <w:rsid w:val="00385B48"/>
    <w:rsid w:val="00386044"/>
    <w:rsid w:val="00386539"/>
    <w:rsid w:val="003873B0"/>
    <w:rsid w:val="0039203A"/>
    <w:rsid w:val="003947BE"/>
    <w:rsid w:val="00395576"/>
    <w:rsid w:val="00395A2F"/>
    <w:rsid w:val="0039612F"/>
    <w:rsid w:val="00396C96"/>
    <w:rsid w:val="00397235"/>
    <w:rsid w:val="003A03DC"/>
    <w:rsid w:val="003A1CC9"/>
    <w:rsid w:val="003A2797"/>
    <w:rsid w:val="003A2B16"/>
    <w:rsid w:val="003A354E"/>
    <w:rsid w:val="003A3DF7"/>
    <w:rsid w:val="003A493A"/>
    <w:rsid w:val="003A494C"/>
    <w:rsid w:val="003A4A6F"/>
    <w:rsid w:val="003A4C58"/>
    <w:rsid w:val="003A4F37"/>
    <w:rsid w:val="003A51F2"/>
    <w:rsid w:val="003A6AD4"/>
    <w:rsid w:val="003A6D2D"/>
    <w:rsid w:val="003A7365"/>
    <w:rsid w:val="003B016F"/>
    <w:rsid w:val="003B01DD"/>
    <w:rsid w:val="003B0A89"/>
    <w:rsid w:val="003B116D"/>
    <w:rsid w:val="003B264A"/>
    <w:rsid w:val="003B4378"/>
    <w:rsid w:val="003B4BB6"/>
    <w:rsid w:val="003B4DEC"/>
    <w:rsid w:val="003B55F0"/>
    <w:rsid w:val="003B59FA"/>
    <w:rsid w:val="003B6046"/>
    <w:rsid w:val="003B7734"/>
    <w:rsid w:val="003B7F7E"/>
    <w:rsid w:val="003C1A58"/>
    <w:rsid w:val="003C399D"/>
    <w:rsid w:val="003C3EFD"/>
    <w:rsid w:val="003C4C31"/>
    <w:rsid w:val="003C7169"/>
    <w:rsid w:val="003C7474"/>
    <w:rsid w:val="003D016F"/>
    <w:rsid w:val="003D0635"/>
    <w:rsid w:val="003D0F45"/>
    <w:rsid w:val="003D1E57"/>
    <w:rsid w:val="003D22F9"/>
    <w:rsid w:val="003D27F4"/>
    <w:rsid w:val="003D35C8"/>
    <w:rsid w:val="003D406F"/>
    <w:rsid w:val="003D4219"/>
    <w:rsid w:val="003D527B"/>
    <w:rsid w:val="003D5395"/>
    <w:rsid w:val="003D7021"/>
    <w:rsid w:val="003D7FA7"/>
    <w:rsid w:val="003E054B"/>
    <w:rsid w:val="003E194C"/>
    <w:rsid w:val="003E2A35"/>
    <w:rsid w:val="003E2BFC"/>
    <w:rsid w:val="003E3F0D"/>
    <w:rsid w:val="003E5878"/>
    <w:rsid w:val="003E69AD"/>
    <w:rsid w:val="003E6A17"/>
    <w:rsid w:val="003F29B5"/>
    <w:rsid w:val="003F2A9A"/>
    <w:rsid w:val="003F2B84"/>
    <w:rsid w:val="003F3526"/>
    <w:rsid w:val="003F3552"/>
    <w:rsid w:val="003F4F08"/>
    <w:rsid w:val="003F5467"/>
    <w:rsid w:val="003F6D94"/>
    <w:rsid w:val="003F72B2"/>
    <w:rsid w:val="004011AB"/>
    <w:rsid w:val="004013AD"/>
    <w:rsid w:val="00401F58"/>
    <w:rsid w:val="00402F2B"/>
    <w:rsid w:val="004033B0"/>
    <w:rsid w:val="00404D46"/>
    <w:rsid w:val="004050D9"/>
    <w:rsid w:val="00405846"/>
    <w:rsid w:val="00405B18"/>
    <w:rsid w:val="004078B2"/>
    <w:rsid w:val="004100ED"/>
    <w:rsid w:val="00411243"/>
    <w:rsid w:val="00411A18"/>
    <w:rsid w:val="004126DF"/>
    <w:rsid w:val="0041311D"/>
    <w:rsid w:val="004138DA"/>
    <w:rsid w:val="00414C4E"/>
    <w:rsid w:val="004151A3"/>
    <w:rsid w:val="00416304"/>
    <w:rsid w:val="00416346"/>
    <w:rsid w:val="00416A7B"/>
    <w:rsid w:val="00417DA9"/>
    <w:rsid w:val="00420BC8"/>
    <w:rsid w:val="00420C66"/>
    <w:rsid w:val="00421203"/>
    <w:rsid w:val="004235DB"/>
    <w:rsid w:val="0042362B"/>
    <w:rsid w:val="00423B4D"/>
    <w:rsid w:val="0042468A"/>
    <w:rsid w:val="004276A3"/>
    <w:rsid w:val="00427CE7"/>
    <w:rsid w:val="00430364"/>
    <w:rsid w:val="00431DD5"/>
    <w:rsid w:val="00432C6B"/>
    <w:rsid w:val="00432E95"/>
    <w:rsid w:val="00436059"/>
    <w:rsid w:val="0043616E"/>
    <w:rsid w:val="0043763E"/>
    <w:rsid w:val="00440086"/>
    <w:rsid w:val="00440E92"/>
    <w:rsid w:val="00440FA4"/>
    <w:rsid w:val="00441110"/>
    <w:rsid w:val="00441BB2"/>
    <w:rsid w:val="00442184"/>
    <w:rsid w:val="00442BB2"/>
    <w:rsid w:val="004437D2"/>
    <w:rsid w:val="00443B3F"/>
    <w:rsid w:val="00444018"/>
    <w:rsid w:val="00444884"/>
    <w:rsid w:val="004448A9"/>
    <w:rsid w:val="00444E5D"/>
    <w:rsid w:val="00444F53"/>
    <w:rsid w:val="00445D9B"/>
    <w:rsid w:val="0044655F"/>
    <w:rsid w:val="00446E0A"/>
    <w:rsid w:val="00446E23"/>
    <w:rsid w:val="00447978"/>
    <w:rsid w:val="00450B22"/>
    <w:rsid w:val="004516BE"/>
    <w:rsid w:val="00451B2C"/>
    <w:rsid w:val="00451F3F"/>
    <w:rsid w:val="00452AAE"/>
    <w:rsid w:val="00454B77"/>
    <w:rsid w:val="00456A37"/>
    <w:rsid w:val="00456A82"/>
    <w:rsid w:val="00457803"/>
    <w:rsid w:val="00462C17"/>
    <w:rsid w:val="00465D37"/>
    <w:rsid w:val="004672C5"/>
    <w:rsid w:val="00467D59"/>
    <w:rsid w:val="0047097B"/>
    <w:rsid w:val="004748D6"/>
    <w:rsid w:val="00475AAF"/>
    <w:rsid w:val="00476950"/>
    <w:rsid w:val="00476C8C"/>
    <w:rsid w:val="004774B5"/>
    <w:rsid w:val="004776E4"/>
    <w:rsid w:val="00481B21"/>
    <w:rsid w:val="00482039"/>
    <w:rsid w:val="00482FCC"/>
    <w:rsid w:val="00483925"/>
    <w:rsid w:val="00484559"/>
    <w:rsid w:val="00484E75"/>
    <w:rsid w:val="00485569"/>
    <w:rsid w:val="004855FC"/>
    <w:rsid w:val="00486233"/>
    <w:rsid w:val="004864B0"/>
    <w:rsid w:val="004871D8"/>
    <w:rsid w:val="0048762E"/>
    <w:rsid w:val="00490AEA"/>
    <w:rsid w:val="00491303"/>
    <w:rsid w:val="0049347A"/>
    <w:rsid w:val="00493E1E"/>
    <w:rsid w:val="004942BF"/>
    <w:rsid w:val="00495E2C"/>
    <w:rsid w:val="004965F8"/>
    <w:rsid w:val="00497F99"/>
    <w:rsid w:val="004A03FD"/>
    <w:rsid w:val="004A1D6E"/>
    <w:rsid w:val="004A1DCD"/>
    <w:rsid w:val="004A48E5"/>
    <w:rsid w:val="004A5330"/>
    <w:rsid w:val="004A701C"/>
    <w:rsid w:val="004A7B48"/>
    <w:rsid w:val="004B0A23"/>
    <w:rsid w:val="004B212A"/>
    <w:rsid w:val="004B3389"/>
    <w:rsid w:val="004B5125"/>
    <w:rsid w:val="004B57B1"/>
    <w:rsid w:val="004B6DDA"/>
    <w:rsid w:val="004C03DB"/>
    <w:rsid w:val="004C1237"/>
    <w:rsid w:val="004C12D3"/>
    <w:rsid w:val="004C18E0"/>
    <w:rsid w:val="004C24E3"/>
    <w:rsid w:val="004C53C3"/>
    <w:rsid w:val="004C6BF9"/>
    <w:rsid w:val="004C6EFB"/>
    <w:rsid w:val="004C7DCD"/>
    <w:rsid w:val="004D14FA"/>
    <w:rsid w:val="004D188B"/>
    <w:rsid w:val="004D1FA9"/>
    <w:rsid w:val="004D223C"/>
    <w:rsid w:val="004D3B09"/>
    <w:rsid w:val="004D4EE9"/>
    <w:rsid w:val="004D6091"/>
    <w:rsid w:val="004D7680"/>
    <w:rsid w:val="004E124C"/>
    <w:rsid w:val="004E2C41"/>
    <w:rsid w:val="004E3D23"/>
    <w:rsid w:val="004E4AF1"/>
    <w:rsid w:val="004E5962"/>
    <w:rsid w:val="004E5EA8"/>
    <w:rsid w:val="004E6223"/>
    <w:rsid w:val="004E778E"/>
    <w:rsid w:val="004F0CF0"/>
    <w:rsid w:val="004F143B"/>
    <w:rsid w:val="004F20F0"/>
    <w:rsid w:val="004F282C"/>
    <w:rsid w:val="004F2E9F"/>
    <w:rsid w:val="004F3EF6"/>
    <w:rsid w:val="004F5B11"/>
    <w:rsid w:val="004F727E"/>
    <w:rsid w:val="004F7A6B"/>
    <w:rsid w:val="004F7ABE"/>
    <w:rsid w:val="004F7C71"/>
    <w:rsid w:val="005013CC"/>
    <w:rsid w:val="005025B8"/>
    <w:rsid w:val="00502848"/>
    <w:rsid w:val="00503CF1"/>
    <w:rsid w:val="00504194"/>
    <w:rsid w:val="00505207"/>
    <w:rsid w:val="00505768"/>
    <w:rsid w:val="0050595D"/>
    <w:rsid w:val="00511BD5"/>
    <w:rsid w:val="005132B9"/>
    <w:rsid w:val="00514D4E"/>
    <w:rsid w:val="0051611E"/>
    <w:rsid w:val="00516785"/>
    <w:rsid w:val="00516869"/>
    <w:rsid w:val="0051781A"/>
    <w:rsid w:val="00517983"/>
    <w:rsid w:val="00520EC2"/>
    <w:rsid w:val="005229B2"/>
    <w:rsid w:val="0052317B"/>
    <w:rsid w:val="00523986"/>
    <w:rsid w:val="00523EB2"/>
    <w:rsid w:val="00525E38"/>
    <w:rsid w:val="005261FF"/>
    <w:rsid w:val="005262CC"/>
    <w:rsid w:val="0052760B"/>
    <w:rsid w:val="0052782A"/>
    <w:rsid w:val="00533B01"/>
    <w:rsid w:val="00536B8F"/>
    <w:rsid w:val="00536F37"/>
    <w:rsid w:val="0053701A"/>
    <w:rsid w:val="00537689"/>
    <w:rsid w:val="00537907"/>
    <w:rsid w:val="00543CF0"/>
    <w:rsid w:val="005443D2"/>
    <w:rsid w:val="00550A6C"/>
    <w:rsid w:val="00552559"/>
    <w:rsid w:val="00552913"/>
    <w:rsid w:val="00552F3A"/>
    <w:rsid w:val="00554B40"/>
    <w:rsid w:val="00555630"/>
    <w:rsid w:val="00555F14"/>
    <w:rsid w:val="005569FC"/>
    <w:rsid w:val="00560724"/>
    <w:rsid w:val="00562D60"/>
    <w:rsid w:val="00562DF8"/>
    <w:rsid w:val="00564E03"/>
    <w:rsid w:val="00566437"/>
    <w:rsid w:val="00567D36"/>
    <w:rsid w:val="005705A4"/>
    <w:rsid w:val="0057137B"/>
    <w:rsid w:val="00571A2D"/>
    <w:rsid w:val="00571F00"/>
    <w:rsid w:val="005723DC"/>
    <w:rsid w:val="00572789"/>
    <w:rsid w:val="00573F3E"/>
    <w:rsid w:val="00574CD2"/>
    <w:rsid w:val="00575358"/>
    <w:rsid w:val="005759E5"/>
    <w:rsid w:val="00575C0D"/>
    <w:rsid w:val="005764E8"/>
    <w:rsid w:val="005770AC"/>
    <w:rsid w:val="0058008C"/>
    <w:rsid w:val="00580DA3"/>
    <w:rsid w:val="00581AAE"/>
    <w:rsid w:val="005831E6"/>
    <w:rsid w:val="005833FE"/>
    <w:rsid w:val="00583868"/>
    <w:rsid w:val="00583F26"/>
    <w:rsid w:val="00584583"/>
    <w:rsid w:val="005878F7"/>
    <w:rsid w:val="00587EAD"/>
    <w:rsid w:val="005903BB"/>
    <w:rsid w:val="005904AA"/>
    <w:rsid w:val="00590D03"/>
    <w:rsid w:val="0059198B"/>
    <w:rsid w:val="005932F3"/>
    <w:rsid w:val="00593A5A"/>
    <w:rsid w:val="00593F0B"/>
    <w:rsid w:val="005945F6"/>
    <w:rsid w:val="005949EB"/>
    <w:rsid w:val="0059611C"/>
    <w:rsid w:val="0059741F"/>
    <w:rsid w:val="00597BBE"/>
    <w:rsid w:val="005A0481"/>
    <w:rsid w:val="005A1C1B"/>
    <w:rsid w:val="005A3B36"/>
    <w:rsid w:val="005A3DA2"/>
    <w:rsid w:val="005A40F5"/>
    <w:rsid w:val="005A4A6B"/>
    <w:rsid w:val="005A4F24"/>
    <w:rsid w:val="005A5642"/>
    <w:rsid w:val="005A5714"/>
    <w:rsid w:val="005A5B1A"/>
    <w:rsid w:val="005A613D"/>
    <w:rsid w:val="005B026E"/>
    <w:rsid w:val="005B04DA"/>
    <w:rsid w:val="005B1D26"/>
    <w:rsid w:val="005B31C8"/>
    <w:rsid w:val="005B56C5"/>
    <w:rsid w:val="005B605E"/>
    <w:rsid w:val="005B7B7B"/>
    <w:rsid w:val="005C1F79"/>
    <w:rsid w:val="005C27AE"/>
    <w:rsid w:val="005C32BC"/>
    <w:rsid w:val="005C426B"/>
    <w:rsid w:val="005C45B8"/>
    <w:rsid w:val="005C4640"/>
    <w:rsid w:val="005C4A05"/>
    <w:rsid w:val="005C4D14"/>
    <w:rsid w:val="005C5BAF"/>
    <w:rsid w:val="005C79AA"/>
    <w:rsid w:val="005C7B6F"/>
    <w:rsid w:val="005D1592"/>
    <w:rsid w:val="005D1E3A"/>
    <w:rsid w:val="005D21C8"/>
    <w:rsid w:val="005D2DD6"/>
    <w:rsid w:val="005D3E3E"/>
    <w:rsid w:val="005D49CA"/>
    <w:rsid w:val="005D5111"/>
    <w:rsid w:val="005D57C2"/>
    <w:rsid w:val="005D6C01"/>
    <w:rsid w:val="005D73C7"/>
    <w:rsid w:val="005E03C8"/>
    <w:rsid w:val="005E0D00"/>
    <w:rsid w:val="005E1333"/>
    <w:rsid w:val="005E1B22"/>
    <w:rsid w:val="005E26D8"/>
    <w:rsid w:val="005E3932"/>
    <w:rsid w:val="005E4366"/>
    <w:rsid w:val="005E45AE"/>
    <w:rsid w:val="005E4E27"/>
    <w:rsid w:val="005E58FC"/>
    <w:rsid w:val="005E6134"/>
    <w:rsid w:val="005E67A5"/>
    <w:rsid w:val="005E6F6E"/>
    <w:rsid w:val="005F01CC"/>
    <w:rsid w:val="005F21FE"/>
    <w:rsid w:val="005F2648"/>
    <w:rsid w:val="005F2B44"/>
    <w:rsid w:val="005F2D64"/>
    <w:rsid w:val="005F473C"/>
    <w:rsid w:val="005F5619"/>
    <w:rsid w:val="005F5786"/>
    <w:rsid w:val="005F59E7"/>
    <w:rsid w:val="005F5B69"/>
    <w:rsid w:val="005F5CFD"/>
    <w:rsid w:val="005F5D0A"/>
    <w:rsid w:val="005F6ED6"/>
    <w:rsid w:val="005F7854"/>
    <w:rsid w:val="005F7986"/>
    <w:rsid w:val="006003C6"/>
    <w:rsid w:val="006003F1"/>
    <w:rsid w:val="00600859"/>
    <w:rsid w:val="006012A6"/>
    <w:rsid w:val="0060138A"/>
    <w:rsid w:val="006025C7"/>
    <w:rsid w:val="00603182"/>
    <w:rsid w:val="00603F3E"/>
    <w:rsid w:val="00605D51"/>
    <w:rsid w:val="006065D0"/>
    <w:rsid w:val="006075B4"/>
    <w:rsid w:val="00610AC2"/>
    <w:rsid w:val="00611569"/>
    <w:rsid w:val="0061189D"/>
    <w:rsid w:val="00612B6A"/>
    <w:rsid w:val="00612D8C"/>
    <w:rsid w:val="0061320A"/>
    <w:rsid w:val="00613D9E"/>
    <w:rsid w:val="00614FA3"/>
    <w:rsid w:val="00616131"/>
    <w:rsid w:val="00617387"/>
    <w:rsid w:val="00617428"/>
    <w:rsid w:val="00617AAD"/>
    <w:rsid w:val="00621113"/>
    <w:rsid w:val="0062237D"/>
    <w:rsid w:val="006228BB"/>
    <w:rsid w:val="00623DA2"/>
    <w:rsid w:val="0062454C"/>
    <w:rsid w:val="006266D1"/>
    <w:rsid w:val="00632701"/>
    <w:rsid w:val="00632E0E"/>
    <w:rsid w:val="00634609"/>
    <w:rsid w:val="00634871"/>
    <w:rsid w:val="0063673F"/>
    <w:rsid w:val="0064001D"/>
    <w:rsid w:val="00640AC4"/>
    <w:rsid w:val="006419C1"/>
    <w:rsid w:val="006436AE"/>
    <w:rsid w:val="00643D2A"/>
    <w:rsid w:val="006446C4"/>
    <w:rsid w:val="00644A3F"/>
    <w:rsid w:val="006451B4"/>
    <w:rsid w:val="006460AF"/>
    <w:rsid w:val="00651C5E"/>
    <w:rsid w:val="0065210E"/>
    <w:rsid w:val="006528FC"/>
    <w:rsid w:val="00653471"/>
    <w:rsid w:val="006542BB"/>
    <w:rsid w:val="006560D4"/>
    <w:rsid w:val="0065665C"/>
    <w:rsid w:val="006568B5"/>
    <w:rsid w:val="0065747E"/>
    <w:rsid w:val="00662084"/>
    <w:rsid w:val="006623BD"/>
    <w:rsid w:val="00662423"/>
    <w:rsid w:val="0066281F"/>
    <w:rsid w:val="00663A09"/>
    <w:rsid w:val="0066421E"/>
    <w:rsid w:val="00664C38"/>
    <w:rsid w:val="00665425"/>
    <w:rsid w:val="00666F73"/>
    <w:rsid w:val="00670582"/>
    <w:rsid w:val="00670F4E"/>
    <w:rsid w:val="0067288C"/>
    <w:rsid w:val="00672A98"/>
    <w:rsid w:val="00673C09"/>
    <w:rsid w:val="0067454B"/>
    <w:rsid w:val="0067547F"/>
    <w:rsid w:val="006762CE"/>
    <w:rsid w:val="00676B0A"/>
    <w:rsid w:val="00677923"/>
    <w:rsid w:val="00682753"/>
    <w:rsid w:val="00682E1D"/>
    <w:rsid w:val="00682E45"/>
    <w:rsid w:val="00682F96"/>
    <w:rsid w:val="00683B03"/>
    <w:rsid w:val="00684970"/>
    <w:rsid w:val="00684B3E"/>
    <w:rsid w:val="00687E44"/>
    <w:rsid w:val="00691017"/>
    <w:rsid w:val="00692B0C"/>
    <w:rsid w:val="00694AA1"/>
    <w:rsid w:val="00694D80"/>
    <w:rsid w:val="0069587F"/>
    <w:rsid w:val="006A0AFB"/>
    <w:rsid w:val="006A11B3"/>
    <w:rsid w:val="006A1445"/>
    <w:rsid w:val="006A1446"/>
    <w:rsid w:val="006A2A75"/>
    <w:rsid w:val="006A46FE"/>
    <w:rsid w:val="006B06A1"/>
    <w:rsid w:val="006B12C1"/>
    <w:rsid w:val="006B2F8B"/>
    <w:rsid w:val="006B4347"/>
    <w:rsid w:val="006B56E7"/>
    <w:rsid w:val="006B7748"/>
    <w:rsid w:val="006C09B3"/>
    <w:rsid w:val="006C0FF0"/>
    <w:rsid w:val="006C121F"/>
    <w:rsid w:val="006C1946"/>
    <w:rsid w:val="006C4958"/>
    <w:rsid w:val="006C4BBC"/>
    <w:rsid w:val="006C4D83"/>
    <w:rsid w:val="006C4F50"/>
    <w:rsid w:val="006C62F4"/>
    <w:rsid w:val="006D014F"/>
    <w:rsid w:val="006D0239"/>
    <w:rsid w:val="006D1EA3"/>
    <w:rsid w:val="006D2A34"/>
    <w:rsid w:val="006D38E3"/>
    <w:rsid w:val="006D54B0"/>
    <w:rsid w:val="006D6851"/>
    <w:rsid w:val="006D690A"/>
    <w:rsid w:val="006D73A3"/>
    <w:rsid w:val="006E0327"/>
    <w:rsid w:val="006E1239"/>
    <w:rsid w:val="006E42CD"/>
    <w:rsid w:val="006E4FA4"/>
    <w:rsid w:val="006E5837"/>
    <w:rsid w:val="006E6880"/>
    <w:rsid w:val="006E6BCD"/>
    <w:rsid w:val="006E6D93"/>
    <w:rsid w:val="006E7767"/>
    <w:rsid w:val="006F0648"/>
    <w:rsid w:val="006F0DBB"/>
    <w:rsid w:val="006F0E2B"/>
    <w:rsid w:val="006F2A2E"/>
    <w:rsid w:val="006F2AF2"/>
    <w:rsid w:val="006F3D11"/>
    <w:rsid w:val="006F40BF"/>
    <w:rsid w:val="006F6B9A"/>
    <w:rsid w:val="006F7B6A"/>
    <w:rsid w:val="006F7D4B"/>
    <w:rsid w:val="0070074B"/>
    <w:rsid w:val="00701C66"/>
    <w:rsid w:val="00702FC3"/>
    <w:rsid w:val="00704271"/>
    <w:rsid w:val="00704616"/>
    <w:rsid w:val="00705A6C"/>
    <w:rsid w:val="00707F8B"/>
    <w:rsid w:val="00712A55"/>
    <w:rsid w:val="00713235"/>
    <w:rsid w:val="00716592"/>
    <w:rsid w:val="007172D6"/>
    <w:rsid w:val="0071739C"/>
    <w:rsid w:val="00720D84"/>
    <w:rsid w:val="007212B8"/>
    <w:rsid w:val="00722B70"/>
    <w:rsid w:val="00724122"/>
    <w:rsid w:val="00724C20"/>
    <w:rsid w:val="00725886"/>
    <w:rsid w:val="00725B71"/>
    <w:rsid w:val="00727150"/>
    <w:rsid w:val="007300FC"/>
    <w:rsid w:val="0073173B"/>
    <w:rsid w:val="007319B0"/>
    <w:rsid w:val="00731E3D"/>
    <w:rsid w:val="00731F5B"/>
    <w:rsid w:val="00732360"/>
    <w:rsid w:val="00732636"/>
    <w:rsid w:val="007329C3"/>
    <w:rsid w:val="0073328F"/>
    <w:rsid w:val="00734220"/>
    <w:rsid w:val="007402A7"/>
    <w:rsid w:val="00740452"/>
    <w:rsid w:val="00742191"/>
    <w:rsid w:val="00746C56"/>
    <w:rsid w:val="00746FE5"/>
    <w:rsid w:val="0075040C"/>
    <w:rsid w:val="0075224A"/>
    <w:rsid w:val="00753AA6"/>
    <w:rsid w:val="00753B4D"/>
    <w:rsid w:val="00753F74"/>
    <w:rsid w:val="0075622B"/>
    <w:rsid w:val="0075627A"/>
    <w:rsid w:val="00756B07"/>
    <w:rsid w:val="007573A0"/>
    <w:rsid w:val="00760889"/>
    <w:rsid w:val="0076099D"/>
    <w:rsid w:val="007623E8"/>
    <w:rsid w:val="00762757"/>
    <w:rsid w:val="007629D5"/>
    <w:rsid w:val="00762A6D"/>
    <w:rsid w:val="00762BA4"/>
    <w:rsid w:val="00763EB0"/>
    <w:rsid w:val="00764339"/>
    <w:rsid w:val="007649FE"/>
    <w:rsid w:val="00764E9B"/>
    <w:rsid w:val="0076617C"/>
    <w:rsid w:val="00766990"/>
    <w:rsid w:val="00767D25"/>
    <w:rsid w:val="00767D91"/>
    <w:rsid w:val="007715FC"/>
    <w:rsid w:val="007718E5"/>
    <w:rsid w:val="00775CDF"/>
    <w:rsid w:val="00776F97"/>
    <w:rsid w:val="0077747F"/>
    <w:rsid w:val="00777EAF"/>
    <w:rsid w:val="00777F00"/>
    <w:rsid w:val="007811C1"/>
    <w:rsid w:val="00781A22"/>
    <w:rsid w:val="00785936"/>
    <w:rsid w:val="00786101"/>
    <w:rsid w:val="007867B7"/>
    <w:rsid w:val="007868A4"/>
    <w:rsid w:val="007875C6"/>
    <w:rsid w:val="00790CA9"/>
    <w:rsid w:val="007911C0"/>
    <w:rsid w:val="00791783"/>
    <w:rsid w:val="00791AA9"/>
    <w:rsid w:val="00792F10"/>
    <w:rsid w:val="007939BF"/>
    <w:rsid w:val="007942E1"/>
    <w:rsid w:val="0079458B"/>
    <w:rsid w:val="00794E21"/>
    <w:rsid w:val="00796849"/>
    <w:rsid w:val="00796F1B"/>
    <w:rsid w:val="007A0144"/>
    <w:rsid w:val="007A0E23"/>
    <w:rsid w:val="007A12BB"/>
    <w:rsid w:val="007A19E6"/>
    <w:rsid w:val="007A1F6E"/>
    <w:rsid w:val="007A29E4"/>
    <w:rsid w:val="007A38BB"/>
    <w:rsid w:val="007A48D6"/>
    <w:rsid w:val="007A58EF"/>
    <w:rsid w:val="007A5976"/>
    <w:rsid w:val="007A64C8"/>
    <w:rsid w:val="007A665E"/>
    <w:rsid w:val="007A6734"/>
    <w:rsid w:val="007A72C8"/>
    <w:rsid w:val="007A7E36"/>
    <w:rsid w:val="007B056D"/>
    <w:rsid w:val="007B08EE"/>
    <w:rsid w:val="007B176F"/>
    <w:rsid w:val="007B2008"/>
    <w:rsid w:val="007B29B8"/>
    <w:rsid w:val="007B2D96"/>
    <w:rsid w:val="007B2E60"/>
    <w:rsid w:val="007B4B08"/>
    <w:rsid w:val="007B5FFE"/>
    <w:rsid w:val="007C198D"/>
    <w:rsid w:val="007C1EB5"/>
    <w:rsid w:val="007C30DC"/>
    <w:rsid w:val="007C333B"/>
    <w:rsid w:val="007C4033"/>
    <w:rsid w:val="007C5AA9"/>
    <w:rsid w:val="007C75C1"/>
    <w:rsid w:val="007D0D0C"/>
    <w:rsid w:val="007D2D50"/>
    <w:rsid w:val="007D53A0"/>
    <w:rsid w:val="007D6612"/>
    <w:rsid w:val="007D67C8"/>
    <w:rsid w:val="007D751A"/>
    <w:rsid w:val="007D7925"/>
    <w:rsid w:val="007D7C69"/>
    <w:rsid w:val="007E077C"/>
    <w:rsid w:val="007E0D38"/>
    <w:rsid w:val="007E2667"/>
    <w:rsid w:val="007E296A"/>
    <w:rsid w:val="007E2E46"/>
    <w:rsid w:val="007E4FEB"/>
    <w:rsid w:val="007E5BC5"/>
    <w:rsid w:val="007E5D00"/>
    <w:rsid w:val="007E6856"/>
    <w:rsid w:val="007F0989"/>
    <w:rsid w:val="007F0DEE"/>
    <w:rsid w:val="007F3AC8"/>
    <w:rsid w:val="007F3E3B"/>
    <w:rsid w:val="007F3F00"/>
    <w:rsid w:val="007F4A15"/>
    <w:rsid w:val="00800139"/>
    <w:rsid w:val="008017A5"/>
    <w:rsid w:val="00803907"/>
    <w:rsid w:val="0080460E"/>
    <w:rsid w:val="008065E6"/>
    <w:rsid w:val="008068CF"/>
    <w:rsid w:val="008071D4"/>
    <w:rsid w:val="00807323"/>
    <w:rsid w:val="008106EC"/>
    <w:rsid w:val="008106FE"/>
    <w:rsid w:val="00810A9E"/>
    <w:rsid w:val="00810EB0"/>
    <w:rsid w:val="00812CEB"/>
    <w:rsid w:val="0081420B"/>
    <w:rsid w:val="00814984"/>
    <w:rsid w:val="008175B7"/>
    <w:rsid w:val="00817EAE"/>
    <w:rsid w:val="00820C91"/>
    <w:rsid w:val="00820D79"/>
    <w:rsid w:val="00821B9D"/>
    <w:rsid w:val="0082209C"/>
    <w:rsid w:val="0082225F"/>
    <w:rsid w:val="0082231E"/>
    <w:rsid w:val="0082234C"/>
    <w:rsid w:val="00822AF4"/>
    <w:rsid w:val="00823AE7"/>
    <w:rsid w:val="008241A5"/>
    <w:rsid w:val="00824CFD"/>
    <w:rsid w:val="00825030"/>
    <w:rsid w:val="00825720"/>
    <w:rsid w:val="00827DD3"/>
    <w:rsid w:val="00827E23"/>
    <w:rsid w:val="00832115"/>
    <w:rsid w:val="00833F48"/>
    <w:rsid w:val="00834C46"/>
    <w:rsid w:val="00835026"/>
    <w:rsid w:val="008363E4"/>
    <w:rsid w:val="00842BED"/>
    <w:rsid w:val="00844E62"/>
    <w:rsid w:val="00847D06"/>
    <w:rsid w:val="00851386"/>
    <w:rsid w:val="008514A2"/>
    <w:rsid w:val="008521F4"/>
    <w:rsid w:val="00852521"/>
    <w:rsid w:val="0085295C"/>
    <w:rsid w:val="00854065"/>
    <w:rsid w:val="00854D95"/>
    <w:rsid w:val="008555D3"/>
    <w:rsid w:val="00855735"/>
    <w:rsid w:val="00856D71"/>
    <w:rsid w:val="0085798F"/>
    <w:rsid w:val="00860C85"/>
    <w:rsid w:val="008617B6"/>
    <w:rsid w:val="00862EE8"/>
    <w:rsid w:val="00863974"/>
    <w:rsid w:val="00864310"/>
    <w:rsid w:val="00865A23"/>
    <w:rsid w:val="00866888"/>
    <w:rsid w:val="00867A01"/>
    <w:rsid w:val="00867C15"/>
    <w:rsid w:val="00871DF6"/>
    <w:rsid w:val="00872CAA"/>
    <w:rsid w:val="00873CAE"/>
    <w:rsid w:val="008756E4"/>
    <w:rsid w:val="0087582E"/>
    <w:rsid w:val="00875F62"/>
    <w:rsid w:val="00875FCF"/>
    <w:rsid w:val="0087621A"/>
    <w:rsid w:val="008766DA"/>
    <w:rsid w:val="00876933"/>
    <w:rsid w:val="00876EA2"/>
    <w:rsid w:val="00877ED1"/>
    <w:rsid w:val="00880113"/>
    <w:rsid w:val="008802F0"/>
    <w:rsid w:val="00880E14"/>
    <w:rsid w:val="00881B87"/>
    <w:rsid w:val="008820E7"/>
    <w:rsid w:val="0088263E"/>
    <w:rsid w:val="008829E2"/>
    <w:rsid w:val="00882A37"/>
    <w:rsid w:val="00882C5C"/>
    <w:rsid w:val="00883382"/>
    <w:rsid w:val="00883586"/>
    <w:rsid w:val="00883D65"/>
    <w:rsid w:val="00884479"/>
    <w:rsid w:val="00884C4C"/>
    <w:rsid w:val="00886F0D"/>
    <w:rsid w:val="00886F1F"/>
    <w:rsid w:val="0088728C"/>
    <w:rsid w:val="00887AE8"/>
    <w:rsid w:val="00887E58"/>
    <w:rsid w:val="008936F5"/>
    <w:rsid w:val="00893794"/>
    <w:rsid w:val="00893927"/>
    <w:rsid w:val="00893BCB"/>
    <w:rsid w:val="00893E85"/>
    <w:rsid w:val="00894591"/>
    <w:rsid w:val="008957A9"/>
    <w:rsid w:val="008958D7"/>
    <w:rsid w:val="00895A69"/>
    <w:rsid w:val="008961C7"/>
    <w:rsid w:val="00896CEF"/>
    <w:rsid w:val="008970F8"/>
    <w:rsid w:val="00897383"/>
    <w:rsid w:val="008A031D"/>
    <w:rsid w:val="008A0368"/>
    <w:rsid w:val="008A132B"/>
    <w:rsid w:val="008A32D5"/>
    <w:rsid w:val="008A4400"/>
    <w:rsid w:val="008A64D0"/>
    <w:rsid w:val="008A667D"/>
    <w:rsid w:val="008A69AF"/>
    <w:rsid w:val="008B0418"/>
    <w:rsid w:val="008B043D"/>
    <w:rsid w:val="008B0F95"/>
    <w:rsid w:val="008B1F1E"/>
    <w:rsid w:val="008B1FB0"/>
    <w:rsid w:val="008B24DE"/>
    <w:rsid w:val="008B492B"/>
    <w:rsid w:val="008B4AF5"/>
    <w:rsid w:val="008B4DF1"/>
    <w:rsid w:val="008B605A"/>
    <w:rsid w:val="008B65A9"/>
    <w:rsid w:val="008C1B16"/>
    <w:rsid w:val="008C2FA3"/>
    <w:rsid w:val="008C303D"/>
    <w:rsid w:val="008C3102"/>
    <w:rsid w:val="008C490E"/>
    <w:rsid w:val="008C6E8E"/>
    <w:rsid w:val="008C73CD"/>
    <w:rsid w:val="008C7780"/>
    <w:rsid w:val="008C7D65"/>
    <w:rsid w:val="008D0421"/>
    <w:rsid w:val="008D0C0C"/>
    <w:rsid w:val="008D1A78"/>
    <w:rsid w:val="008D20CA"/>
    <w:rsid w:val="008D2976"/>
    <w:rsid w:val="008D2BDB"/>
    <w:rsid w:val="008D3B59"/>
    <w:rsid w:val="008D4777"/>
    <w:rsid w:val="008D6B4E"/>
    <w:rsid w:val="008D6F82"/>
    <w:rsid w:val="008E0330"/>
    <w:rsid w:val="008E2D4D"/>
    <w:rsid w:val="008E3D3B"/>
    <w:rsid w:val="008E459A"/>
    <w:rsid w:val="008E4855"/>
    <w:rsid w:val="008E5396"/>
    <w:rsid w:val="008E5AD8"/>
    <w:rsid w:val="008E7174"/>
    <w:rsid w:val="008F08D2"/>
    <w:rsid w:val="008F2406"/>
    <w:rsid w:val="008F253A"/>
    <w:rsid w:val="008F2DCF"/>
    <w:rsid w:val="008F3716"/>
    <w:rsid w:val="008F3F3D"/>
    <w:rsid w:val="008F57A7"/>
    <w:rsid w:val="008F5CE6"/>
    <w:rsid w:val="008F6F3A"/>
    <w:rsid w:val="008F7254"/>
    <w:rsid w:val="008F753D"/>
    <w:rsid w:val="008F769A"/>
    <w:rsid w:val="008F77F7"/>
    <w:rsid w:val="008F7EE4"/>
    <w:rsid w:val="009020C8"/>
    <w:rsid w:val="00903B2E"/>
    <w:rsid w:val="00903EF2"/>
    <w:rsid w:val="00904E58"/>
    <w:rsid w:val="0090501D"/>
    <w:rsid w:val="00905B70"/>
    <w:rsid w:val="00906741"/>
    <w:rsid w:val="00906D6B"/>
    <w:rsid w:val="00907124"/>
    <w:rsid w:val="009079C5"/>
    <w:rsid w:val="00907FE2"/>
    <w:rsid w:val="00910AFD"/>
    <w:rsid w:val="00911032"/>
    <w:rsid w:val="0091138C"/>
    <w:rsid w:val="0091265C"/>
    <w:rsid w:val="00913858"/>
    <w:rsid w:val="00913F61"/>
    <w:rsid w:val="0091427B"/>
    <w:rsid w:val="009154A1"/>
    <w:rsid w:val="009164A6"/>
    <w:rsid w:val="009170A4"/>
    <w:rsid w:val="0091785E"/>
    <w:rsid w:val="00920AD9"/>
    <w:rsid w:val="00921221"/>
    <w:rsid w:val="009214F6"/>
    <w:rsid w:val="00923C85"/>
    <w:rsid w:val="009316C1"/>
    <w:rsid w:val="00932416"/>
    <w:rsid w:val="00933681"/>
    <w:rsid w:val="00933730"/>
    <w:rsid w:val="00934130"/>
    <w:rsid w:val="0093562D"/>
    <w:rsid w:val="009358DF"/>
    <w:rsid w:val="00936BB9"/>
    <w:rsid w:val="00937F67"/>
    <w:rsid w:val="009406C8"/>
    <w:rsid w:val="009421B2"/>
    <w:rsid w:val="00942841"/>
    <w:rsid w:val="00943C98"/>
    <w:rsid w:val="00943FDC"/>
    <w:rsid w:val="0094461E"/>
    <w:rsid w:val="00944814"/>
    <w:rsid w:val="009448A8"/>
    <w:rsid w:val="009449F7"/>
    <w:rsid w:val="00944A19"/>
    <w:rsid w:val="00945446"/>
    <w:rsid w:val="00946FBE"/>
    <w:rsid w:val="009548B6"/>
    <w:rsid w:val="00954DA7"/>
    <w:rsid w:val="0095596A"/>
    <w:rsid w:val="00955F20"/>
    <w:rsid w:val="0095781F"/>
    <w:rsid w:val="00961AC8"/>
    <w:rsid w:val="00965728"/>
    <w:rsid w:val="00966BAC"/>
    <w:rsid w:val="00967163"/>
    <w:rsid w:val="0097005F"/>
    <w:rsid w:val="00971D9C"/>
    <w:rsid w:val="009728D2"/>
    <w:rsid w:val="00973A0F"/>
    <w:rsid w:val="00975151"/>
    <w:rsid w:val="00975E36"/>
    <w:rsid w:val="00975F70"/>
    <w:rsid w:val="00976921"/>
    <w:rsid w:val="00980090"/>
    <w:rsid w:val="00982C7E"/>
    <w:rsid w:val="00983421"/>
    <w:rsid w:val="00983BB1"/>
    <w:rsid w:val="009845CD"/>
    <w:rsid w:val="00984D55"/>
    <w:rsid w:val="00986591"/>
    <w:rsid w:val="00987394"/>
    <w:rsid w:val="009906AD"/>
    <w:rsid w:val="00991356"/>
    <w:rsid w:val="00991BCC"/>
    <w:rsid w:val="009929AC"/>
    <w:rsid w:val="009931C4"/>
    <w:rsid w:val="00995327"/>
    <w:rsid w:val="00995BD6"/>
    <w:rsid w:val="0099689C"/>
    <w:rsid w:val="009971DB"/>
    <w:rsid w:val="009978DD"/>
    <w:rsid w:val="00997F2A"/>
    <w:rsid w:val="009A079F"/>
    <w:rsid w:val="009A0979"/>
    <w:rsid w:val="009A16BB"/>
    <w:rsid w:val="009A2F41"/>
    <w:rsid w:val="009A3302"/>
    <w:rsid w:val="009A3425"/>
    <w:rsid w:val="009A4999"/>
    <w:rsid w:val="009A6E1A"/>
    <w:rsid w:val="009A7926"/>
    <w:rsid w:val="009B02F7"/>
    <w:rsid w:val="009B2528"/>
    <w:rsid w:val="009B371B"/>
    <w:rsid w:val="009B3F5A"/>
    <w:rsid w:val="009B54A5"/>
    <w:rsid w:val="009B5D4E"/>
    <w:rsid w:val="009B6921"/>
    <w:rsid w:val="009C08D8"/>
    <w:rsid w:val="009C0F79"/>
    <w:rsid w:val="009C1FC4"/>
    <w:rsid w:val="009C4BA5"/>
    <w:rsid w:val="009C4E7D"/>
    <w:rsid w:val="009C5922"/>
    <w:rsid w:val="009C70F1"/>
    <w:rsid w:val="009C71B9"/>
    <w:rsid w:val="009C783C"/>
    <w:rsid w:val="009C7A75"/>
    <w:rsid w:val="009D1764"/>
    <w:rsid w:val="009D197A"/>
    <w:rsid w:val="009D1F9F"/>
    <w:rsid w:val="009D26AA"/>
    <w:rsid w:val="009D2CD3"/>
    <w:rsid w:val="009D2DB8"/>
    <w:rsid w:val="009D379E"/>
    <w:rsid w:val="009D3BFD"/>
    <w:rsid w:val="009D5013"/>
    <w:rsid w:val="009E28D6"/>
    <w:rsid w:val="009E49DF"/>
    <w:rsid w:val="009E617C"/>
    <w:rsid w:val="009E77AF"/>
    <w:rsid w:val="009F00F4"/>
    <w:rsid w:val="009F2264"/>
    <w:rsid w:val="009F30A9"/>
    <w:rsid w:val="009F4D77"/>
    <w:rsid w:val="009F4F45"/>
    <w:rsid w:val="009F6C9C"/>
    <w:rsid w:val="00A0060C"/>
    <w:rsid w:val="00A01118"/>
    <w:rsid w:val="00A02F30"/>
    <w:rsid w:val="00A0556A"/>
    <w:rsid w:val="00A05814"/>
    <w:rsid w:val="00A06783"/>
    <w:rsid w:val="00A0696B"/>
    <w:rsid w:val="00A116C5"/>
    <w:rsid w:val="00A1438B"/>
    <w:rsid w:val="00A1509F"/>
    <w:rsid w:val="00A1512B"/>
    <w:rsid w:val="00A1576F"/>
    <w:rsid w:val="00A17028"/>
    <w:rsid w:val="00A176DD"/>
    <w:rsid w:val="00A17B80"/>
    <w:rsid w:val="00A21D8A"/>
    <w:rsid w:val="00A222A3"/>
    <w:rsid w:val="00A231F7"/>
    <w:rsid w:val="00A235B4"/>
    <w:rsid w:val="00A2392C"/>
    <w:rsid w:val="00A2400A"/>
    <w:rsid w:val="00A244CA"/>
    <w:rsid w:val="00A26136"/>
    <w:rsid w:val="00A2646C"/>
    <w:rsid w:val="00A26BE7"/>
    <w:rsid w:val="00A26D7C"/>
    <w:rsid w:val="00A30F3C"/>
    <w:rsid w:val="00A310F8"/>
    <w:rsid w:val="00A31862"/>
    <w:rsid w:val="00A3190F"/>
    <w:rsid w:val="00A336C1"/>
    <w:rsid w:val="00A346CA"/>
    <w:rsid w:val="00A34CDF"/>
    <w:rsid w:val="00A35995"/>
    <w:rsid w:val="00A36037"/>
    <w:rsid w:val="00A3606A"/>
    <w:rsid w:val="00A3797D"/>
    <w:rsid w:val="00A37D1F"/>
    <w:rsid w:val="00A4281D"/>
    <w:rsid w:val="00A42AFC"/>
    <w:rsid w:val="00A43008"/>
    <w:rsid w:val="00A4422F"/>
    <w:rsid w:val="00A44405"/>
    <w:rsid w:val="00A47A59"/>
    <w:rsid w:val="00A5063A"/>
    <w:rsid w:val="00A53823"/>
    <w:rsid w:val="00A542D3"/>
    <w:rsid w:val="00A548C6"/>
    <w:rsid w:val="00A55F6E"/>
    <w:rsid w:val="00A601B8"/>
    <w:rsid w:val="00A6057A"/>
    <w:rsid w:val="00A617C2"/>
    <w:rsid w:val="00A61802"/>
    <w:rsid w:val="00A62958"/>
    <w:rsid w:val="00A639C6"/>
    <w:rsid w:val="00A63A26"/>
    <w:rsid w:val="00A63FC6"/>
    <w:rsid w:val="00A657CD"/>
    <w:rsid w:val="00A67412"/>
    <w:rsid w:val="00A709C8"/>
    <w:rsid w:val="00A70F05"/>
    <w:rsid w:val="00A7100D"/>
    <w:rsid w:val="00A71175"/>
    <w:rsid w:val="00A71917"/>
    <w:rsid w:val="00A71F14"/>
    <w:rsid w:val="00A72475"/>
    <w:rsid w:val="00A76730"/>
    <w:rsid w:val="00A77283"/>
    <w:rsid w:val="00A8073D"/>
    <w:rsid w:val="00A80EE4"/>
    <w:rsid w:val="00A81203"/>
    <w:rsid w:val="00A81469"/>
    <w:rsid w:val="00A817CE"/>
    <w:rsid w:val="00A81CC4"/>
    <w:rsid w:val="00A82583"/>
    <w:rsid w:val="00A82A66"/>
    <w:rsid w:val="00A82B4D"/>
    <w:rsid w:val="00A82D6F"/>
    <w:rsid w:val="00A830CD"/>
    <w:rsid w:val="00A85160"/>
    <w:rsid w:val="00A852E0"/>
    <w:rsid w:val="00A85BC5"/>
    <w:rsid w:val="00A86F21"/>
    <w:rsid w:val="00A875EE"/>
    <w:rsid w:val="00A87A11"/>
    <w:rsid w:val="00A87D33"/>
    <w:rsid w:val="00A87DBE"/>
    <w:rsid w:val="00A90D40"/>
    <w:rsid w:val="00A91AE8"/>
    <w:rsid w:val="00A9216D"/>
    <w:rsid w:val="00A93A21"/>
    <w:rsid w:val="00A93F98"/>
    <w:rsid w:val="00A9406B"/>
    <w:rsid w:val="00A94155"/>
    <w:rsid w:val="00A942FC"/>
    <w:rsid w:val="00A95B24"/>
    <w:rsid w:val="00A97036"/>
    <w:rsid w:val="00AA0AD2"/>
    <w:rsid w:val="00AA1834"/>
    <w:rsid w:val="00AA2A6F"/>
    <w:rsid w:val="00AA2BF2"/>
    <w:rsid w:val="00AA327E"/>
    <w:rsid w:val="00AA3474"/>
    <w:rsid w:val="00AA388B"/>
    <w:rsid w:val="00AA3E3F"/>
    <w:rsid w:val="00AA771C"/>
    <w:rsid w:val="00AB0C37"/>
    <w:rsid w:val="00AB1CAF"/>
    <w:rsid w:val="00AB2A5B"/>
    <w:rsid w:val="00AB364E"/>
    <w:rsid w:val="00AB39A8"/>
    <w:rsid w:val="00AB3EB3"/>
    <w:rsid w:val="00AB4E4E"/>
    <w:rsid w:val="00AB4FC8"/>
    <w:rsid w:val="00AB5066"/>
    <w:rsid w:val="00AB551F"/>
    <w:rsid w:val="00AB5BDD"/>
    <w:rsid w:val="00AC0469"/>
    <w:rsid w:val="00AC0B9A"/>
    <w:rsid w:val="00AC0CC3"/>
    <w:rsid w:val="00AC0ECA"/>
    <w:rsid w:val="00AC217F"/>
    <w:rsid w:val="00AC26EB"/>
    <w:rsid w:val="00AC2A42"/>
    <w:rsid w:val="00AC59C0"/>
    <w:rsid w:val="00AC78A5"/>
    <w:rsid w:val="00AC7B2A"/>
    <w:rsid w:val="00AD00D4"/>
    <w:rsid w:val="00AD0958"/>
    <w:rsid w:val="00AD240E"/>
    <w:rsid w:val="00AD2550"/>
    <w:rsid w:val="00AD2779"/>
    <w:rsid w:val="00AD52F2"/>
    <w:rsid w:val="00AD5B78"/>
    <w:rsid w:val="00AD6AA9"/>
    <w:rsid w:val="00AE17D4"/>
    <w:rsid w:val="00AE1978"/>
    <w:rsid w:val="00AE1A1A"/>
    <w:rsid w:val="00AE20D7"/>
    <w:rsid w:val="00AE31DA"/>
    <w:rsid w:val="00AE5851"/>
    <w:rsid w:val="00AE6EE1"/>
    <w:rsid w:val="00AF1C55"/>
    <w:rsid w:val="00AF38D5"/>
    <w:rsid w:val="00AF5790"/>
    <w:rsid w:val="00AF5C07"/>
    <w:rsid w:val="00AF5EC3"/>
    <w:rsid w:val="00AF6389"/>
    <w:rsid w:val="00B0538B"/>
    <w:rsid w:val="00B05661"/>
    <w:rsid w:val="00B0752A"/>
    <w:rsid w:val="00B0794C"/>
    <w:rsid w:val="00B10134"/>
    <w:rsid w:val="00B11272"/>
    <w:rsid w:val="00B1267A"/>
    <w:rsid w:val="00B12AB0"/>
    <w:rsid w:val="00B13FFF"/>
    <w:rsid w:val="00B14385"/>
    <w:rsid w:val="00B14E29"/>
    <w:rsid w:val="00B15207"/>
    <w:rsid w:val="00B15DBC"/>
    <w:rsid w:val="00B15DD8"/>
    <w:rsid w:val="00B170EA"/>
    <w:rsid w:val="00B17C03"/>
    <w:rsid w:val="00B20846"/>
    <w:rsid w:val="00B2145E"/>
    <w:rsid w:val="00B21FB9"/>
    <w:rsid w:val="00B22495"/>
    <w:rsid w:val="00B22E2A"/>
    <w:rsid w:val="00B23C4F"/>
    <w:rsid w:val="00B25EA9"/>
    <w:rsid w:val="00B27BDF"/>
    <w:rsid w:val="00B27D46"/>
    <w:rsid w:val="00B3081F"/>
    <w:rsid w:val="00B313BE"/>
    <w:rsid w:val="00B319C3"/>
    <w:rsid w:val="00B3204B"/>
    <w:rsid w:val="00B3222D"/>
    <w:rsid w:val="00B336CA"/>
    <w:rsid w:val="00B33916"/>
    <w:rsid w:val="00B33D26"/>
    <w:rsid w:val="00B34131"/>
    <w:rsid w:val="00B35171"/>
    <w:rsid w:val="00B35296"/>
    <w:rsid w:val="00B36D1D"/>
    <w:rsid w:val="00B40C6C"/>
    <w:rsid w:val="00B41E69"/>
    <w:rsid w:val="00B41FB6"/>
    <w:rsid w:val="00B441CA"/>
    <w:rsid w:val="00B4429D"/>
    <w:rsid w:val="00B50384"/>
    <w:rsid w:val="00B523E6"/>
    <w:rsid w:val="00B52517"/>
    <w:rsid w:val="00B53BC7"/>
    <w:rsid w:val="00B5586F"/>
    <w:rsid w:val="00B57F4A"/>
    <w:rsid w:val="00B603BD"/>
    <w:rsid w:val="00B62114"/>
    <w:rsid w:val="00B6225D"/>
    <w:rsid w:val="00B62342"/>
    <w:rsid w:val="00B64091"/>
    <w:rsid w:val="00B64853"/>
    <w:rsid w:val="00B66320"/>
    <w:rsid w:val="00B66540"/>
    <w:rsid w:val="00B66A12"/>
    <w:rsid w:val="00B66D59"/>
    <w:rsid w:val="00B67B1B"/>
    <w:rsid w:val="00B7055C"/>
    <w:rsid w:val="00B71789"/>
    <w:rsid w:val="00B7219E"/>
    <w:rsid w:val="00B721E6"/>
    <w:rsid w:val="00B7238F"/>
    <w:rsid w:val="00B72CB2"/>
    <w:rsid w:val="00B73793"/>
    <w:rsid w:val="00B750BE"/>
    <w:rsid w:val="00B75486"/>
    <w:rsid w:val="00B76CAC"/>
    <w:rsid w:val="00B77352"/>
    <w:rsid w:val="00B775D0"/>
    <w:rsid w:val="00B7767E"/>
    <w:rsid w:val="00B80740"/>
    <w:rsid w:val="00B80DA2"/>
    <w:rsid w:val="00B828CE"/>
    <w:rsid w:val="00B83808"/>
    <w:rsid w:val="00B83A44"/>
    <w:rsid w:val="00B84DF3"/>
    <w:rsid w:val="00B84ECF"/>
    <w:rsid w:val="00B8570E"/>
    <w:rsid w:val="00B85740"/>
    <w:rsid w:val="00B8619E"/>
    <w:rsid w:val="00B906FF"/>
    <w:rsid w:val="00B9075C"/>
    <w:rsid w:val="00B91582"/>
    <w:rsid w:val="00B91AA6"/>
    <w:rsid w:val="00B923F2"/>
    <w:rsid w:val="00B92423"/>
    <w:rsid w:val="00B93422"/>
    <w:rsid w:val="00B957A3"/>
    <w:rsid w:val="00B9664E"/>
    <w:rsid w:val="00B966BD"/>
    <w:rsid w:val="00B96F05"/>
    <w:rsid w:val="00B97176"/>
    <w:rsid w:val="00BA27D6"/>
    <w:rsid w:val="00BA4089"/>
    <w:rsid w:val="00BA49B5"/>
    <w:rsid w:val="00BA5E5D"/>
    <w:rsid w:val="00BA6489"/>
    <w:rsid w:val="00BA65A5"/>
    <w:rsid w:val="00BA6F9B"/>
    <w:rsid w:val="00BA7B0D"/>
    <w:rsid w:val="00BB0044"/>
    <w:rsid w:val="00BB1D23"/>
    <w:rsid w:val="00BB432C"/>
    <w:rsid w:val="00BB4B9F"/>
    <w:rsid w:val="00BB5349"/>
    <w:rsid w:val="00BB69D2"/>
    <w:rsid w:val="00BB734B"/>
    <w:rsid w:val="00BB75C8"/>
    <w:rsid w:val="00BB7A14"/>
    <w:rsid w:val="00BB7DE9"/>
    <w:rsid w:val="00BC0533"/>
    <w:rsid w:val="00BC068B"/>
    <w:rsid w:val="00BC0C49"/>
    <w:rsid w:val="00BC2E47"/>
    <w:rsid w:val="00BC318D"/>
    <w:rsid w:val="00BC4300"/>
    <w:rsid w:val="00BC472E"/>
    <w:rsid w:val="00BC488D"/>
    <w:rsid w:val="00BC4ADC"/>
    <w:rsid w:val="00BC572D"/>
    <w:rsid w:val="00BC7DEC"/>
    <w:rsid w:val="00BD270E"/>
    <w:rsid w:val="00BD6496"/>
    <w:rsid w:val="00BE015D"/>
    <w:rsid w:val="00BE0C2F"/>
    <w:rsid w:val="00BE115C"/>
    <w:rsid w:val="00BE14A8"/>
    <w:rsid w:val="00BE212D"/>
    <w:rsid w:val="00BE3350"/>
    <w:rsid w:val="00BE486C"/>
    <w:rsid w:val="00BE4AEC"/>
    <w:rsid w:val="00BE4D0E"/>
    <w:rsid w:val="00BE56A1"/>
    <w:rsid w:val="00BE5883"/>
    <w:rsid w:val="00BE5EC2"/>
    <w:rsid w:val="00BE6E2F"/>
    <w:rsid w:val="00BE7D77"/>
    <w:rsid w:val="00BE7F43"/>
    <w:rsid w:val="00BF18EA"/>
    <w:rsid w:val="00BF19A5"/>
    <w:rsid w:val="00BF3EC8"/>
    <w:rsid w:val="00BF4339"/>
    <w:rsid w:val="00BF63DA"/>
    <w:rsid w:val="00C003E4"/>
    <w:rsid w:val="00C012FA"/>
    <w:rsid w:val="00C0261C"/>
    <w:rsid w:val="00C026A8"/>
    <w:rsid w:val="00C06202"/>
    <w:rsid w:val="00C06341"/>
    <w:rsid w:val="00C07BDD"/>
    <w:rsid w:val="00C07FC7"/>
    <w:rsid w:val="00C10DC5"/>
    <w:rsid w:val="00C1284C"/>
    <w:rsid w:val="00C136F1"/>
    <w:rsid w:val="00C14494"/>
    <w:rsid w:val="00C171C2"/>
    <w:rsid w:val="00C17668"/>
    <w:rsid w:val="00C17A7D"/>
    <w:rsid w:val="00C2175C"/>
    <w:rsid w:val="00C22338"/>
    <w:rsid w:val="00C225CB"/>
    <w:rsid w:val="00C228A5"/>
    <w:rsid w:val="00C22A41"/>
    <w:rsid w:val="00C22F9C"/>
    <w:rsid w:val="00C24198"/>
    <w:rsid w:val="00C26174"/>
    <w:rsid w:val="00C26749"/>
    <w:rsid w:val="00C31B3F"/>
    <w:rsid w:val="00C32978"/>
    <w:rsid w:val="00C3487C"/>
    <w:rsid w:val="00C426FA"/>
    <w:rsid w:val="00C4297D"/>
    <w:rsid w:val="00C42BCF"/>
    <w:rsid w:val="00C435E2"/>
    <w:rsid w:val="00C43D40"/>
    <w:rsid w:val="00C50328"/>
    <w:rsid w:val="00C50AAD"/>
    <w:rsid w:val="00C50C35"/>
    <w:rsid w:val="00C50C96"/>
    <w:rsid w:val="00C516F0"/>
    <w:rsid w:val="00C5193D"/>
    <w:rsid w:val="00C52FF3"/>
    <w:rsid w:val="00C54672"/>
    <w:rsid w:val="00C5591D"/>
    <w:rsid w:val="00C56AB2"/>
    <w:rsid w:val="00C56BF1"/>
    <w:rsid w:val="00C56EA6"/>
    <w:rsid w:val="00C57C12"/>
    <w:rsid w:val="00C57F18"/>
    <w:rsid w:val="00C6028F"/>
    <w:rsid w:val="00C60FF6"/>
    <w:rsid w:val="00C6134F"/>
    <w:rsid w:val="00C61605"/>
    <w:rsid w:val="00C62DD7"/>
    <w:rsid w:val="00C6472E"/>
    <w:rsid w:val="00C64A4D"/>
    <w:rsid w:val="00C651E2"/>
    <w:rsid w:val="00C653BC"/>
    <w:rsid w:val="00C659D5"/>
    <w:rsid w:val="00C66ADE"/>
    <w:rsid w:val="00C670BA"/>
    <w:rsid w:val="00C71B09"/>
    <w:rsid w:val="00C72042"/>
    <w:rsid w:val="00C7356D"/>
    <w:rsid w:val="00C741B6"/>
    <w:rsid w:val="00C75597"/>
    <w:rsid w:val="00C76706"/>
    <w:rsid w:val="00C76716"/>
    <w:rsid w:val="00C768D9"/>
    <w:rsid w:val="00C76B8D"/>
    <w:rsid w:val="00C77BCE"/>
    <w:rsid w:val="00C803E5"/>
    <w:rsid w:val="00C8320F"/>
    <w:rsid w:val="00C83D49"/>
    <w:rsid w:val="00C847A2"/>
    <w:rsid w:val="00C84CCD"/>
    <w:rsid w:val="00C85A9A"/>
    <w:rsid w:val="00C8778B"/>
    <w:rsid w:val="00C877F0"/>
    <w:rsid w:val="00C87B41"/>
    <w:rsid w:val="00C91D11"/>
    <w:rsid w:val="00C934D8"/>
    <w:rsid w:val="00C93A5F"/>
    <w:rsid w:val="00C940EA"/>
    <w:rsid w:val="00C9619D"/>
    <w:rsid w:val="00CA2999"/>
    <w:rsid w:val="00CA2D9B"/>
    <w:rsid w:val="00CA356F"/>
    <w:rsid w:val="00CA59E9"/>
    <w:rsid w:val="00CA6CFD"/>
    <w:rsid w:val="00CB091E"/>
    <w:rsid w:val="00CB2561"/>
    <w:rsid w:val="00CB27EB"/>
    <w:rsid w:val="00CB2A6F"/>
    <w:rsid w:val="00CB2DA5"/>
    <w:rsid w:val="00CB3F28"/>
    <w:rsid w:val="00CB43F2"/>
    <w:rsid w:val="00CB5922"/>
    <w:rsid w:val="00CB70CD"/>
    <w:rsid w:val="00CB753F"/>
    <w:rsid w:val="00CC288A"/>
    <w:rsid w:val="00CC29CF"/>
    <w:rsid w:val="00CC4173"/>
    <w:rsid w:val="00CC4695"/>
    <w:rsid w:val="00CC5EEE"/>
    <w:rsid w:val="00CC62ED"/>
    <w:rsid w:val="00CC62F5"/>
    <w:rsid w:val="00CC64C4"/>
    <w:rsid w:val="00CC78E6"/>
    <w:rsid w:val="00CC7E6E"/>
    <w:rsid w:val="00CC7F99"/>
    <w:rsid w:val="00CD13B1"/>
    <w:rsid w:val="00CD2B0D"/>
    <w:rsid w:val="00CD4488"/>
    <w:rsid w:val="00CD4B21"/>
    <w:rsid w:val="00CD664B"/>
    <w:rsid w:val="00CD75D5"/>
    <w:rsid w:val="00CE0A82"/>
    <w:rsid w:val="00CE1658"/>
    <w:rsid w:val="00CE1BB1"/>
    <w:rsid w:val="00CE2560"/>
    <w:rsid w:val="00CE2AB8"/>
    <w:rsid w:val="00CE309A"/>
    <w:rsid w:val="00CE47D0"/>
    <w:rsid w:val="00CE540D"/>
    <w:rsid w:val="00CE5C71"/>
    <w:rsid w:val="00CE6FB0"/>
    <w:rsid w:val="00CE776D"/>
    <w:rsid w:val="00CE7770"/>
    <w:rsid w:val="00CF1A73"/>
    <w:rsid w:val="00CF1C9C"/>
    <w:rsid w:val="00CF20F2"/>
    <w:rsid w:val="00CF23CD"/>
    <w:rsid w:val="00CF28BF"/>
    <w:rsid w:val="00CF3589"/>
    <w:rsid w:val="00CF5D64"/>
    <w:rsid w:val="00CF761D"/>
    <w:rsid w:val="00D00510"/>
    <w:rsid w:val="00D0320F"/>
    <w:rsid w:val="00D0473A"/>
    <w:rsid w:val="00D079FA"/>
    <w:rsid w:val="00D1145B"/>
    <w:rsid w:val="00D11582"/>
    <w:rsid w:val="00D11B2D"/>
    <w:rsid w:val="00D11DFA"/>
    <w:rsid w:val="00D13AE8"/>
    <w:rsid w:val="00D14FCA"/>
    <w:rsid w:val="00D15836"/>
    <w:rsid w:val="00D1603B"/>
    <w:rsid w:val="00D17056"/>
    <w:rsid w:val="00D203B4"/>
    <w:rsid w:val="00D2055C"/>
    <w:rsid w:val="00D20BE2"/>
    <w:rsid w:val="00D2197D"/>
    <w:rsid w:val="00D23195"/>
    <w:rsid w:val="00D23702"/>
    <w:rsid w:val="00D25B91"/>
    <w:rsid w:val="00D2610C"/>
    <w:rsid w:val="00D2619B"/>
    <w:rsid w:val="00D26742"/>
    <w:rsid w:val="00D276CC"/>
    <w:rsid w:val="00D2787E"/>
    <w:rsid w:val="00D3177C"/>
    <w:rsid w:val="00D32695"/>
    <w:rsid w:val="00D32CD0"/>
    <w:rsid w:val="00D3308D"/>
    <w:rsid w:val="00D33599"/>
    <w:rsid w:val="00D33665"/>
    <w:rsid w:val="00D34090"/>
    <w:rsid w:val="00D345CF"/>
    <w:rsid w:val="00D34BDB"/>
    <w:rsid w:val="00D372D8"/>
    <w:rsid w:val="00D37E51"/>
    <w:rsid w:val="00D40E98"/>
    <w:rsid w:val="00D41441"/>
    <w:rsid w:val="00D42B30"/>
    <w:rsid w:val="00D43424"/>
    <w:rsid w:val="00D43E6E"/>
    <w:rsid w:val="00D440D5"/>
    <w:rsid w:val="00D4622C"/>
    <w:rsid w:val="00D47D6E"/>
    <w:rsid w:val="00D52AA1"/>
    <w:rsid w:val="00D54B5F"/>
    <w:rsid w:val="00D54CA5"/>
    <w:rsid w:val="00D55C72"/>
    <w:rsid w:val="00D57140"/>
    <w:rsid w:val="00D57776"/>
    <w:rsid w:val="00D57D86"/>
    <w:rsid w:val="00D609E2"/>
    <w:rsid w:val="00D60ADB"/>
    <w:rsid w:val="00D60E30"/>
    <w:rsid w:val="00D61644"/>
    <w:rsid w:val="00D61648"/>
    <w:rsid w:val="00D619D6"/>
    <w:rsid w:val="00D620FD"/>
    <w:rsid w:val="00D62C07"/>
    <w:rsid w:val="00D64182"/>
    <w:rsid w:val="00D656C1"/>
    <w:rsid w:val="00D660B5"/>
    <w:rsid w:val="00D6640F"/>
    <w:rsid w:val="00D67CE2"/>
    <w:rsid w:val="00D72947"/>
    <w:rsid w:val="00D7307A"/>
    <w:rsid w:val="00D7345F"/>
    <w:rsid w:val="00D73F04"/>
    <w:rsid w:val="00D747C0"/>
    <w:rsid w:val="00D748E8"/>
    <w:rsid w:val="00D74DA1"/>
    <w:rsid w:val="00D77913"/>
    <w:rsid w:val="00D77FEF"/>
    <w:rsid w:val="00D800C3"/>
    <w:rsid w:val="00D8127A"/>
    <w:rsid w:val="00D81C5D"/>
    <w:rsid w:val="00D82442"/>
    <w:rsid w:val="00D8309A"/>
    <w:rsid w:val="00D8354B"/>
    <w:rsid w:val="00D83778"/>
    <w:rsid w:val="00D83A13"/>
    <w:rsid w:val="00D83FF9"/>
    <w:rsid w:val="00D842E1"/>
    <w:rsid w:val="00D8522F"/>
    <w:rsid w:val="00D853EC"/>
    <w:rsid w:val="00D8546B"/>
    <w:rsid w:val="00D85EA8"/>
    <w:rsid w:val="00D85F48"/>
    <w:rsid w:val="00D875C5"/>
    <w:rsid w:val="00D90660"/>
    <w:rsid w:val="00D916D0"/>
    <w:rsid w:val="00D916DE"/>
    <w:rsid w:val="00D93043"/>
    <w:rsid w:val="00D931E6"/>
    <w:rsid w:val="00D93270"/>
    <w:rsid w:val="00D93467"/>
    <w:rsid w:val="00D938DD"/>
    <w:rsid w:val="00D94319"/>
    <w:rsid w:val="00D943A0"/>
    <w:rsid w:val="00D94DC4"/>
    <w:rsid w:val="00D952E9"/>
    <w:rsid w:val="00D96246"/>
    <w:rsid w:val="00DA0690"/>
    <w:rsid w:val="00DA41A9"/>
    <w:rsid w:val="00DA4C80"/>
    <w:rsid w:val="00DA5291"/>
    <w:rsid w:val="00DA5563"/>
    <w:rsid w:val="00DA5903"/>
    <w:rsid w:val="00DB00E5"/>
    <w:rsid w:val="00DB11D9"/>
    <w:rsid w:val="00DB1B7C"/>
    <w:rsid w:val="00DB37A3"/>
    <w:rsid w:val="00DB3E24"/>
    <w:rsid w:val="00DB468C"/>
    <w:rsid w:val="00DB52D0"/>
    <w:rsid w:val="00DB7197"/>
    <w:rsid w:val="00DB7C7C"/>
    <w:rsid w:val="00DB7F00"/>
    <w:rsid w:val="00DC16AB"/>
    <w:rsid w:val="00DC1C3E"/>
    <w:rsid w:val="00DC3CC4"/>
    <w:rsid w:val="00DC3CCE"/>
    <w:rsid w:val="00DC5362"/>
    <w:rsid w:val="00DC574C"/>
    <w:rsid w:val="00DC659D"/>
    <w:rsid w:val="00DC674B"/>
    <w:rsid w:val="00DC7EE6"/>
    <w:rsid w:val="00DD19FB"/>
    <w:rsid w:val="00DD332A"/>
    <w:rsid w:val="00DD41FC"/>
    <w:rsid w:val="00DD4613"/>
    <w:rsid w:val="00DD57B4"/>
    <w:rsid w:val="00DD60C8"/>
    <w:rsid w:val="00DD6654"/>
    <w:rsid w:val="00DD7020"/>
    <w:rsid w:val="00DD72D2"/>
    <w:rsid w:val="00DD78C9"/>
    <w:rsid w:val="00DD7DCC"/>
    <w:rsid w:val="00DE0425"/>
    <w:rsid w:val="00DE0D56"/>
    <w:rsid w:val="00DE2AEF"/>
    <w:rsid w:val="00DE3B2E"/>
    <w:rsid w:val="00DE5F67"/>
    <w:rsid w:val="00DE7076"/>
    <w:rsid w:val="00DE7633"/>
    <w:rsid w:val="00DF034C"/>
    <w:rsid w:val="00DF0FF9"/>
    <w:rsid w:val="00DF2404"/>
    <w:rsid w:val="00DF3685"/>
    <w:rsid w:val="00DF5091"/>
    <w:rsid w:val="00DF56D7"/>
    <w:rsid w:val="00DF7775"/>
    <w:rsid w:val="00E00058"/>
    <w:rsid w:val="00E0093A"/>
    <w:rsid w:val="00E00E00"/>
    <w:rsid w:val="00E00F92"/>
    <w:rsid w:val="00E013C5"/>
    <w:rsid w:val="00E01E85"/>
    <w:rsid w:val="00E02310"/>
    <w:rsid w:val="00E0278C"/>
    <w:rsid w:val="00E029CD"/>
    <w:rsid w:val="00E02A3F"/>
    <w:rsid w:val="00E03809"/>
    <w:rsid w:val="00E04A1D"/>
    <w:rsid w:val="00E054E0"/>
    <w:rsid w:val="00E07592"/>
    <w:rsid w:val="00E10543"/>
    <w:rsid w:val="00E10A0C"/>
    <w:rsid w:val="00E10C05"/>
    <w:rsid w:val="00E115B9"/>
    <w:rsid w:val="00E1305D"/>
    <w:rsid w:val="00E1380F"/>
    <w:rsid w:val="00E13903"/>
    <w:rsid w:val="00E153A2"/>
    <w:rsid w:val="00E1608E"/>
    <w:rsid w:val="00E17015"/>
    <w:rsid w:val="00E208F4"/>
    <w:rsid w:val="00E2095E"/>
    <w:rsid w:val="00E217E9"/>
    <w:rsid w:val="00E2230B"/>
    <w:rsid w:val="00E223BF"/>
    <w:rsid w:val="00E250A9"/>
    <w:rsid w:val="00E25345"/>
    <w:rsid w:val="00E258D5"/>
    <w:rsid w:val="00E27739"/>
    <w:rsid w:val="00E30DEE"/>
    <w:rsid w:val="00E3152D"/>
    <w:rsid w:val="00E33536"/>
    <w:rsid w:val="00E33AC6"/>
    <w:rsid w:val="00E33B71"/>
    <w:rsid w:val="00E3464B"/>
    <w:rsid w:val="00E34C65"/>
    <w:rsid w:val="00E36663"/>
    <w:rsid w:val="00E36CEF"/>
    <w:rsid w:val="00E378E5"/>
    <w:rsid w:val="00E4037A"/>
    <w:rsid w:val="00E4181A"/>
    <w:rsid w:val="00E4250E"/>
    <w:rsid w:val="00E45B01"/>
    <w:rsid w:val="00E47E0D"/>
    <w:rsid w:val="00E50D5C"/>
    <w:rsid w:val="00E51290"/>
    <w:rsid w:val="00E51493"/>
    <w:rsid w:val="00E52D50"/>
    <w:rsid w:val="00E52D6B"/>
    <w:rsid w:val="00E54ABE"/>
    <w:rsid w:val="00E54DBC"/>
    <w:rsid w:val="00E555FE"/>
    <w:rsid w:val="00E57233"/>
    <w:rsid w:val="00E57E9A"/>
    <w:rsid w:val="00E60447"/>
    <w:rsid w:val="00E61D6C"/>
    <w:rsid w:val="00E62C73"/>
    <w:rsid w:val="00E6495B"/>
    <w:rsid w:val="00E65144"/>
    <w:rsid w:val="00E6522F"/>
    <w:rsid w:val="00E67ED7"/>
    <w:rsid w:val="00E67EF6"/>
    <w:rsid w:val="00E70C45"/>
    <w:rsid w:val="00E721DA"/>
    <w:rsid w:val="00E725DA"/>
    <w:rsid w:val="00E72E0E"/>
    <w:rsid w:val="00E7432A"/>
    <w:rsid w:val="00E74F0B"/>
    <w:rsid w:val="00E75456"/>
    <w:rsid w:val="00E76558"/>
    <w:rsid w:val="00E76AE6"/>
    <w:rsid w:val="00E76F34"/>
    <w:rsid w:val="00E77D7C"/>
    <w:rsid w:val="00E804C4"/>
    <w:rsid w:val="00E810FA"/>
    <w:rsid w:val="00E82FF4"/>
    <w:rsid w:val="00E83992"/>
    <w:rsid w:val="00E84DC9"/>
    <w:rsid w:val="00E8652E"/>
    <w:rsid w:val="00E868C4"/>
    <w:rsid w:val="00E87AC5"/>
    <w:rsid w:val="00E91B03"/>
    <w:rsid w:val="00E921A1"/>
    <w:rsid w:val="00E92C38"/>
    <w:rsid w:val="00E94443"/>
    <w:rsid w:val="00E95361"/>
    <w:rsid w:val="00E9632C"/>
    <w:rsid w:val="00E96401"/>
    <w:rsid w:val="00E97779"/>
    <w:rsid w:val="00EA0A1F"/>
    <w:rsid w:val="00EA157D"/>
    <w:rsid w:val="00EA29E8"/>
    <w:rsid w:val="00EA3059"/>
    <w:rsid w:val="00EA5724"/>
    <w:rsid w:val="00EA6B94"/>
    <w:rsid w:val="00EA743E"/>
    <w:rsid w:val="00EA7B78"/>
    <w:rsid w:val="00EB07F8"/>
    <w:rsid w:val="00EB197D"/>
    <w:rsid w:val="00EB1F94"/>
    <w:rsid w:val="00EB3402"/>
    <w:rsid w:val="00EB37AF"/>
    <w:rsid w:val="00EB45FC"/>
    <w:rsid w:val="00EB474A"/>
    <w:rsid w:val="00EB4DA0"/>
    <w:rsid w:val="00EB4F04"/>
    <w:rsid w:val="00EB4F9E"/>
    <w:rsid w:val="00EB58E5"/>
    <w:rsid w:val="00EB623D"/>
    <w:rsid w:val="00EB68C7"/>
    <w:rsid w:val="00EB690F"/>
    <w:rsid w:val="00EB6F53"/>
    <w:rsid w:val="00EB7500"/>
    <w:rsid w:val="00EB76AC"/>
    <w:rsid w:val="00EC0174"/>
    <w:rsid w:val="00EC1009"/>
    <w:rsid w:val="00EC1A85"/>
    <w:rsid w:val="00EC1B3D"/>
    <w:rsid w:val="00EC2AD1"/>
    <w:rsid w:val="00EC2C70"/>
    <w:rsid w:val="00EC2E79"/>
    <w:rsid w:val="00EC30E6"/>
    <w:rsid w:val="00ED0A8E"/>
    <w:rsid w:val="00ED230E"/>
    <w:rsid w:val="00ED26A9"/>
    <w:rsid w:val="00ED2E8F"/>
    <w:rsid w:val="00ED3F37"/>
    <w:rsid w:val="00ED5978"/>
    <w:rsid w:val="00ED5C5C"/>
    <w:rsid w:val="00ED6B16"/>
    <w:rsid w:val="00EE1DFC"/>
    <w:rsid w:val="00EE25B1"/>
    <w:rsid w:val="00EE2AAB"/>
    <w:rsid w:val="00EE373B"/>
    <w:rsid w:val="00EE4003"/>
    <w:rsid w:val="00EE49E9"/>
    <w:rsid w:val="00EE5AC2"/>
    <w:rsid w:val="00EE63E6"/>
    <w:rsid w:val="00EE652D"/>
    <w:rsid w:val="00EF24E3"/>
    <w:rsid w:val="00EF2A21"/>
    <w:rsid w:val="00EF47EF"/>
    <w:rsid w:val="00EF4AA6"/>
    <w:rsid w:val="00EF61CC"/>
    <w:rsid w:val="00EF6612"/>
    <w:rsid w:val="00EF7222"/>
    <w:rsid w:val="00F0096C"/>
    <w:rsid w:val="00F00D2D"/>
    <w:rsid w:val="00F01425"/>
    <w:rsid w:val="00F02BC5"/>
    <w:rsid w:val="00F02DE3"/>
    <w:rsid w:val="00F0455F"/>
    <w:rsid w:val="00F05408"/>
    <w:rsid w:val="00F06E43"/>
    <w:rsid w:val="00F07595"/>
    <w:rsid w:val="00F10336"/>
    <w:rsid w:val="00F10387"/>
    <w:rsid w:val="00F10428"/>
    <w:rsid w:val="00F1046F"/>
    <w:rsid w:val="00F108CF"/>
    <w:rsid w:val="00F122EC"/>
    <w:rsid w:val="00F1255E"/>
    <w:rsid w:val="00F13A83"/>
    <w:rsid w:val="00F15142"/>
    <w:rsid w:val="00F15543"/>
    <w:rsid w:val="00F16496"/>
    <w:rsid w:val="00F16ED7"/>
    <w:rsid w:val="00F16FAB"/>
    <w:rsid w:val="00F17593"/>
    <w:rsid w:val="00F220E9"/>
    <w:rsid w:val="00F22C57"/>
    <w:rsid w:val="00F22D3E"/>
    <w:rsid w:val="00F22FC3"/>
    <w:rsid w:val="00F23346"/>
    <w:rsid w:val="00F23F52"/>
    <w:rsid w:val="00F257C1"/>
    <w:rsid w:val="00F25B9B"/>
    <w:rsid w:val="00F2707D"/>
    <w:rsid w:val="00F275D3"/>
    <w:rsid w:val="00F279A9"/>
    <w:rsid w:val="00F30126"/>
    <w:rsid w:val="00F30284"/>
    <w:rsid w:val="00F32B6F"/>
    <w:rsid w:val="00F334F9"/>
    <w:rsid w:val="00F341EA"/>
    <w:rsid w:val="00F347E9"/>
    <w:rsid w:val="00F36888"/>
    <w:rsid w:val="00F37172"/>
    <w:rsid w:val="00F40055"/>
    <w:rsid w:val="00F40A3B"/>
    <w:rsid w:val="00F46170"/>
    <w:rsid w:val="00F46FB1"/>
    <w:rsid w:val="00F4739A"/>
    <w:rsid w:val="00F501AB"/>
    <w:rsid w:val="00F50DDE"/>
    <w:rsid w:val="00F534CB"/>
    <w:rsid w:val="00F55466"/>
    <w:rsid w:val="00F558EF"/>
    <w:rsid w:val="00F55D41"/>
    <w:rsid w:val="00F56D9B"/>
    <w:rsid w:val="00F60E3C"/>
    <w:rsid w:val="00F62C7E"/>
    <w:rsid w:val="00F63207"/>
    <w:rsid w:val="00F66B49"/>
    <w:rsid w:val="00F6725B"/>
    <w:rsid w:val="00F7042D"/>
    <w:rsid w:val="00F745FF"/>
    <w:rsid w:val="00F74C71"/>
    <w:rsid w:val="00F75409"/>
    <w:rsid w:val="00F75943"/>
    <w:rsid w:val="00F7648C"/>
    <w:rsid w:val="00F77148"/>
    <w:rsid w:val="00F77C58"/>
    <w:rsid w:val="00F807D4"/>
    <w:rsid w:val="00F8322E"/>
    <w:rsid w:val="00F832B9"/>
    <w:rsid w:val="00F83496"/>
    <w:rsid w:val="00F846E8"/>
    <w:rsid w:val="00F84E2A"/>
    <w:rsid w:val="00F855A7"/>
    <w:rsid w:val="00F85B63"/>
    <w:rsid w:val="00F865F6"/>
    <w:rsid w:val="00F87545"/>
    <w:rsid w:val="00F87A5B"/>
    <w:rsid w:val="00F92B0E"/>
    <w:rsid w:val="00F936D9"/>
    <w:rsid w:val="00F95DBD"/>
    <w:rsid w:val="00F95F18"/>
    <w:rsid w:val="00F9691A"/>
    <w:rsid w:val="00F96DE2"/>
    <w:rsid w:val="00F9713F"/>
    <w:rsid w:val="00FA1615"/>
    <w:rsid w:val="00FA257F"/>
    <w:rsid w:val="00FA2C46"/>
    <w:rsid w:val="00FA2CBF"/>
    <w:rsid w:val="00FA3150"/>
    <w:rsid w:val="00FA390B"/>
    <w:rsid w:val="00FA5A24"/>
    <w:rsid w:val="00FA6562"/>
    <w:rsid w:val="00FB001A"/>
    <w:rsid w:val="00FB02B2"/>
    <w:rsid w:val="00FB0DEE"/>
    <w:rsid w:val="00FB0F67"/>
    <w:rsid w:val="00FB295B"/>
    <w:rsid w:val="00FB2EF3"/>
    <w:rsid w:val="00FB3167"/>
    <w:rsid w:val="00FC0AE5"/>
    <w:rsid w:val="00FC23C1"/>
    <w:rsid w:val="00FC36C1"/>
    <w:rsid w:val="00FC3F1A"/>
    <w:rsid w:val="00FC3F65"/>
    <w:rsid w:val="00FC5568"/>
    <w:rsid w:val="00FC5D45"/>
    <w:rsid w:val="00FC6B6A"/>
    <w:rsid w:val="00FC7440"/>
    <w:rsid w:val="00FC7517"/>
    <w:rsid w:val="00FC79D3"/>
    <w:rsid w:val="00FD2843"/>
    <w:rsid w:val="00FD2EEF"/>
    <w:rsid w:val="00FD33C5"/>
    <w:rsid w:val="00FD4482"/>
    <w:rsid w:val="00FD599F"/>
    <w:rsid w:val="00FD5CE6"/>
    <w:rsid w:val="00FD5F8D"/>
    <w:rsid w:val="00FD7182"/>
    <w:rsid w:val="00FD74A9"/>
    <w:rsid w:val="00FD7E44"/>
    <w:rsid w:val="00FE0CE2"/>
    <w:rsid w:val="00FE1263"/>
    <w:rsid w:val="00FE21A8"/>
    <w:rsid w:val="00FE63CD"/>
    <w:rsid w:val="00FE6F74"/>
    <w:rsid w:val="00FF0366"/>
    <w:rsid w:val="00FF38C5"/>
    <w:rsid w:val="00FF477A"/>
    <w:rsid w:val="00FF6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02F80"/>
  <w15:chartTrackingRefBased/>
  <w15:docId w15:val="{B738787F-47FE-41A9-821D-E2C6B0F2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8C"/>
    <w:pPr>
      <w:autoSpaceDE w:val="0"/>
      <w:autoSpaceDN w:val="0"/>
      <w:adjustRightInd w:val="0"/>
      <w:ind w:firstLine="709"/>
      <w:jc w:val="both"/>
    </w:pPr>
    <w:rPr>
      <w:rFonts w:ascii="Times New Roman" w:hAnsi="Times New Roman" w:cs="Times New Roman"/>
      <w:sz w:val="24"/>
      <w:szCs w:val="24"/>
    </w:rPr>
  </w:style>
  <w:style w:type="paragraph" w:styleId="Ttulo1">
    <w:name w:val="heading 1"/>
    <w:basedOn w:val="Estilo1"/>
    <w:next w:val="Normal"/>
    <w:link w:val="Ttulo1Char"/>
    <w:uiPriority w:val="9"/>
    <w:qFormat/>
    <w:rsid w:val="001C4B62"/>
    <w:pPr>
      <w:outlineLvl w:val="0"/>
    </w:pPr>
    <w:rPr>
      <w:b/>
    </w:rPr>
  </w:style>
  <w:style w:type="paragraph" w:styleId="Ttulo2">
    <w:name w:val="heading 2"/>
    <w:basedOn w:val="Normal"/>
    <w:next w:val="Normal"/>
    <w:link w:val="Ttulo2Char"/>
    <w:uiPriority w:val="9"/>
    <w:unhideWhenUsed/>
    <w:qFormat/>
    <w:rsid w:val="00877ED1"/>
    <w:pPr>
      <w:keepNext/>
      <w:keepLines/>
      <w:spacing w:before="40"/>
      <w:ind w:firstLine="0"/>
      <w:outlineLvl w:val="1"/>
    </w:pPr>
    <w:rPr>
      <w:rFonts w:eastAsiaTheme="majorEastAsia" w:cstheme="majorBidi"/>
      <w:szCs w:val="26"/>
    </w:rPr>
  </w:style>
  <w:style w:type="paragraph" w:styleId="Ttulo3">
    <w:name w:val="heading 3"/>
    <w:basedOn w:val="Ttulo2"/>
    <w:next w:val="Normal"/>
    <w:link w:val="Ttulo3Char"/>
    <w:uiPriority w:val="9"/>
    <w:unhideWhenUsed/>
    <w:qFormat/>
    <w:rsid w:val="00C32978"/>
    <w:pPr>
      <w:outlineLvl w:val="2"/>
    </w:pPr>
    <w:rPr>
      <w:b/>
    </w:rPr>
  </w:style>
  <w:style w:type="paragraph" w:styleId="Ttulo4">
    <w:name w:val="heading 4"/>
    <w:basedOn w:val="Ttulo3"/>
    <w:next w:val="Normal"/>
    <w:link w:val="Ttulo4Char"/>
    <w:uiPriority w:val="9"/>
    <w:unhideWhenUsed/>
    <w:qFormat/>
    <w:rsid w:val="008F7EE4"/>
    <w:pPr>
      <w:outlineLvl w:val="3"/>
    </w:pPr>
    <w:rPr>
      <w:b w:val="0"/>
      <w:i/>
    </w:rPr>
  </w:style>
  <w:style w:type="paragraph" w:styleId="Ttulo5">
    <w:name w:val="heading 5"/>
    <w:basedOn w:val="Normal"/>
    <w:next w:val="Normal"/>
    <w:link w:val="Ttulo5Char"/>
    <w:uiPriority w:val="9"/>
    <w:unhideWhenUsed/>
    <w:qFormat/>
    <w:rsid w:val="000520CF"/>
    <w:pPr>
      <w:ind w:firstLine="0"/>
      <w:outlineLvl w:val="4"/>
    </w:pPr>
  </w:style>
  <w:style w:type="paragraph" w:styleId="Ttulo6">
    <w:name w:val="heading 6"/>
    <w:basedOn w:val="Normal"/>
    <w:next w:val="Normal"/>
    <w:link w:val="Ttulo6Char"/>
    <w:uiPriority w:val="9"/>
    <w:semiHidden/>
    <w:unhideWhenUsed/>
    <w:qFormat/>
    <w:rsid w:val="000802C6"/>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0802C6"/>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0802C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rsid w:val="000802C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B2B4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051AE1"/>
    <w:pPr>
      <w:spacing w:before="100" w:beforeAutospacing="1" w:after="100" w:afterAutospacing="1" w:line="240" w:lineRule="auto"/>
    </w:pPr>
    <w:rPr>
      <w:rFonts w:eastAsia="Times New Roman"/>
      <w:lang w:val="en-US"/>
    </w:rPr>
  </w:style>
  <w:style w:type="character" w:styleId="Refdecomentrio">
    <w:name w:val="annotation reference"/>
    <w:basedOn w:val="Fontepargpadro"/>
    <w:uiPriority w:val="99"/>
    <w:semiHidden/>
    <w:unhideWhenUsed/>
    <w:rsid w:val="0016517F"/>
    <w:rPr>
      <w:sz w:val="16"/>
      <w:szCs w:val="16"/>
    </w:rPr>
  </w:style>
  <w:style w:type="paragraph" w:styleId="Textodecomentrio">
    <w:name w:val="annotation text"/>
    <w:basedOn w:val="Normal"/>
    <w:link w:val="TextodecomentrioChar"/>
    <w:uiPriority w:val="99"/>
    <w:semiHidden/>
    <w:unhideWhenUsed/>
    <w:rsid w:val="0016517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6517F"/>
    <w:rPr>
      <w:sz w:val="20"/>
      <w:szCs w:val="20"/>
    </w:rPr>
  </w:style>
  <w:style w:type="paragraph" w:styleId="Assuntodocomentrio">
    <w:name w:val="annotation subject"/>
    <w:basedOn w:val="Textodecomentrio"/>
    <w:next w:val="Textodecomentrio"/>
    <w:link w:val="AssuntodocomentrioChar"/>
    <w:uiPriority w:val="99"/>
    <w:semiHidden/>
    <w:unhideWhenUsed/>
    <w:rsid w:val="0016517F"/>
    <w:rPr>
      <w:b/>
      <w:bCs/>
    </w:rPr>
  </w:style>
  <w:style w:type="character" w:customStyle="1" w:styleId="AssuntodocomentrioChar">
    <w:name w:val="Assunto do comentário Char"/>
    <w:basedOn w:val="TextodecomentrioChar"/>
    <w:link w:val="Assuntodocomentrio"/>
    <w:uiPriority w:val="99"/>
    <w:semiHidden/>
    <w:rsid w:val="0016517F"/>
    <w:rPr>
      <w:b/>
      <w:bCs/>
      <w:sz w:val="20"/>
      <w:szCs w:val="20"/>
    </w:rPr>
  </w:style>
  <w:style w:type="paragraph" w:styleId="Reviso">
    <w:name w:val="Revision"/>
    <w:hidden/>
    <w:uiPriority w:val="99"/>
    <w:semiHidden/>
    <w:rsid w:val="0016517F"/>
    <w:pPr>
      <w:spacing w:after="0" w:line="240" w:lineRule="auto"/>
    </w:pPr>
  </w:style>
  <w:style w:type="paragraph" w:styleId="Textodebalo">
    <w:name w:val="Balloon Text"/>
    <w:basedOn w:val="Normal"/>
    <w:link w:val="TextodebaloChar"/>
    <w:uiPriority w:val="99"/>
    <w:semiHidden/>
    <w:unhideWhenUsed/>
    <w:rsid w:val="0016517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517F"/>
    <w:rPr>
      <w:rFonts w:ascii="Segoe UI" w:hAnsi="Segoe UI" w:cs="Segoe UI"/>
      <w:sz w:val="18"/>
      <w:szCs w:val="18"/>
    </w:rPr>
  </w:style>
  <w:style w:type="character" w:styleId="nfase">
    <w:name w:val="Emphasis"/>
    <w:basedOn w:val="Fontepargpadro"/>
    <w:uiPriority w:val="20"/>
    <w:qFormat/>
    <w:rsid w:val="0016517F"/>
    <w:rPr>
      <w:i/>
      <w:iCs/>
    </w:rPr>
  </w:style>
  <w:style w:type="table" w:styleId="Tabelacomgrade">
    <w:name w:val="Table Grid"/>
    <w:basedOn w:val="Tabelanormal"/>
    <w:uiPriority w:val="59"/>
    <w:rsid w:val="001651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etabela">
    <w:name w:val="Conteúdo de tabela"/>
    <w:basedOn w:val="Corpodetexto"/>
    <w:rsid w:val="0016517F"/>
    <w:pPr>
      <w:widowControl w:val="0"/>
      <w:suppressAutoHyphens/>
      <w:spacing w:line="240" w:lineRule="auto"/>
    </w:pPr>
    <w:rPr>
      <w:rFonts w:eastAsia="Times New Roman"/>
      <w:szCs w:val="20"/>
      <w:lang w:val="pt-PT" w:eastAsia="pt-BR"/>
    </w:rPr>
  </w:style>
  <w:style w:type="paragraph" w:styleId="Corpodetexto">
    <w:name w:val="Body Text"/>
    <w:basedOn w:val="Normal"/>
    <w:link w:val="CorpodetextoChar"/>
    <w:uiPriority w:val="99"/>
    <w:semiHidden/>
    <w:unhideWhenUsed/>
    <w:rsid w:val="0016517F"/>
    <w:pPr>
      <w:spacing w:after="120"/>
    </w:pPr>
  </w:style>
  <w:style w:type="character" w:customStyle="1" w:styleId="CorpodetextoChar">
    <w:name w:val="Corpo de texto Char"/>
    <w:basedOn w:val="Fontepargpadro"/>
    <w:link w:val="Corpodetexto"/>
    <w:uiPriority w:val="99"/>
    <w:semiHidden/>
    <w:rsid w:val="0016517F"/>
  </w:style>
  <w:style w:type="character" w:styleId="TextodoEspaoReservado">
    <w:name w:val="Placeholder Text"/>
    <w:basedOn w:val="Fontepargpadro"/>
    <w:uiPriority w:val="99"/>
    <w:semiHidden/>
    <w:rsid w:val="0016517F"/>
    <w:rPr>
      <w:color w:val="808080"/>
    </w:rPr>
  </w:style>
  <w:style w:type="paragraph" w:styleId="PargrafodaLista">
    <w:name w:val="List Paragraph"/>
    <w:basedOn w:val="Normal"/>
    <w:uiPriority w:val="34"/>
    <w:qFormat/>
    <w:rsid w:val="0016517F"/>
    <w:pPr>
      <w:ind w:left="720"/>
      <w:contextualSpacing/>
    </w:pPr>
  </w:style>
  <w:style w:type="character" w:customStyle="1" w:styleId="A4">
    <w:name w:val="A4"/>
    <w:uiPriority w:val="99"/>
    <w:rsid w:val="0016517F"/>
    <w:rPr>
      <w:rFonts w:cs="Minion Pro"/>
      <w:color w:val="000000"/>
      <w:sz w:val="34"/>
      <w:szCs w:val="34"/>
    </w:rPr>
  </w:style>
  <w:style w:type="paragraph" w:styleId="Cabealho">
    <w:name w:val="header"/>
    <w:basedOn w:val="Normal"/>
    <w:link w:val="CabealhoChar"/>
    <w:uiPriority w:val="99"/>
    <w:unhideWhenUsed/>
    <w:rsid w:val="00231A09"/>
    <w:pPr>
      <w:tabs>
        <w:tab w:val="center" w:pos="4252"/>
        <w:tab w:val="right" w:pos="8504"/>
      </w:tabs>
      <w:spacing w:line="240" w:lineRule="auto"/>
    </w:pPr>
  </w:style>
  <w:style w:type="character" w:customStyle="1" w:styleId="CabealhoChar">
    <w:name w:val="Cabeçalho Char"/>
    <w:basedOn w:val="Fontepargpadro"/>
    <w:link w:val="Cabealho"/>
    <w:uiPriority w:val="99"/>
    <w:rsid w:val="00231A09"/>
  </w:style>
  <w:style w:type="paragraph" w:styleId="Rodap">
    <w:name w:val="footer"/>
    <w:basedOn w:val="Normal"/>
    <w:link w:val="RodapChar"/>
    <w:uiPriority w:val="99"/>
    <w:unhideWhenUsed/>
    <w:rsid w:val="00231A09"/>
    <w:pPr>
      <w:tabs>
        <w:tab w:val="center" w:pos="4252"/>
        <w:tab w:val="right" w:pos="8504"/>
      </w:tabs>
      <w:spacing w:line="240" w:lineRule="auto"/>
    </w:pPr>
  </w:style>
  <w:style w:type="character" w:customStyle="1" w:styleId="RodapChar">
    <w:name w:val="Rodapé Char"/>
    <w:basedOn w:val="Fontepargpadro"/>
    <w:link w:val="Rodap"/>
    <w:uiPriority w:val="99"/>
    <w:rsid w:val="00231A09"/>
  </w:style>
  <w:style w:type="character" w:styleId="Forte">
    <w:name w:val="Strong"/>
    <w:uiPriority w:val="22"/>
    <w:qFormat/>
    <w:rsid w:val="007B176F"/>
    <w:rPr>
      <w:b/>
      <w:bCs/>
    </w:rPr>
  </w:style>
  <w:style w:type="character" w:styleId="Hyperlink">
    <w:name w:val="Hyperlink"/>
    <w:basedOn w:val="Fontepargpadro"/>
    <w:uiPriority w:val="99"/>
    <w:unhideWhenUsed/>
    <w:rsid w:val="0003560D"/>
    <w:rPr>
      <w:color w:val="0563C1" w:themeColor="hyperlink"/>
      <w:u w:val="single"/>
    </w:rPr>
  </w:style>
  <w:style w:type="character" w:customStyle="1" w:styleId="A9">
    <w:name w:val="A9"/>
    <w:uiPriority w:val="99"/>
    <w:rsid w:val="0003560D"/>
    <w:rPr>
      <w:rFonts w:cs="Bembo Std"/>
      <w:color w:val="000000"/>
      <w:sz w:val="18"/>
      <w:szCs w:val="18"/>
    </w:rPr>
  </w:style>
  <w:style w:type="paragraph" w:styleId="Legenda">
    <w:name w:val="caption"/>
    <w:basedOn w:val="Normal"/>
    <w:next w:val="Normal"/>
    <w:uiPriority w:val="35"/>
    <w:unhideWhenUsed/>
    <w:qFormat/>
    <w:rsid w:val="00712A55"/>
    <w:pPr>
      <w:spacing w:after="200" w:line="240" w:lineRule="auto"/>
    </w:pPr>
    <w:rPr>
      <w:iCs/>
      <w:color w:val="000000" w:themeColor="text1"/>
      <w:szCs w:val="18"/>
    </w:rPr>
  </w:style>
  <w:style w:type="paragraph" w:styleId="ndicedeilustraes">
    <w:name w:val="table of figures"/>
    <w:basedOn w:val="Normal"/>
    <w:next w:val="Normal"/>
    <w:uiPriority w:val="99"/>
    <w:unhideWhenUsed/>
    <w:rsid w:val="00712A55"/>
  </w:style>
  <w:style w:type="character" w:customStyle="1" w:styleId="Ttulo1Char">
    <w:name w:val="Título 1 Char"/>
    <w:basedOn w:val="Fontepargpadro"/>
    <w:link w:val="Ttulo1"/>
    <w:uiPriority w:val="9"/>
    <w:rsid w:val="001C4B62"/>
    <w:rPr>
      <w:rFonts w:ascii="Times New Roman" w:eastAsiaTheme="majorEastAsia" w:hAnsi="Times New Roman" w:cstheme="majorBidi"/>
      <w:b/>
      <w:color w:val="000000" w:themeColor="text1"/>
      <w:sz w:val="24"/>
      <w:szCs w:val="26"/>
    </w:rPr>
  </w:style>
  <w:style w:type="character" w:customStyle="1" w:styleId="Ttulo2Char">
    <w:name w:val="Título 2 Char"/>
    <w:basedOn w:val="Fontepargpadro"/>
    <w:link w:val="Ttulo2"/>
    <w:uiPriority w:val="9"/>
    <w:rsid w:val="00877ED1"/>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rsid w:val="00C32978"/>
    <w:rPr>
      <w:rFonts w:ascii="Times New Roman" w:eastAsiaTheme="majorEastAsia" w:hAnsi="Times New Roman" w:cstheme="majorBidi"/>
      <w:b/>
      <w:sz w:val="24"/>
      <w:szCs w:val="26"/>
    </w:rPr>
  </w:style>
  <w:style w:type="paragraph" w:styleId="CabealhodoSumrio">
    <w:name w:val="TOC Heading"/>
    <w:basedOn w:val="Ttulo1"/>
    <w:next w:val="Normal"/>
    <w:uiPriority w:val="39"/>
    <w:unhideWhenUsed/>
    <w:qFormat/>
    <w:rsid w:val="000647B7"/>
    <w:pPr>
      <w:spacing w:before="240" w:line="259" w:lineRule="auto"/>
      <w:outlineLvl w:val="9"/>
    </w:pPr>
    <w:rPr>
      <w:rFonts w:asciiTheme="majorHAnsi" w:hAnsiTheme="majorHAnsi"/>
      <w:b w:val="0"/>
      <w:color w:val="2E74B5" w:themeColor="accent1" w:themeShade="BF"/>
      <w:sz w:val="32"/>
      <w:lang w:val="en-US"/>
    </w:rPr>
  </w:style>
  <w:style w:type="paragraph" w:styleId="Sumrio1">
    <w:name w:val="toc 1"/>
    <w:basedOn w:val="Normal"/>
    <w:next w:val="Normal"/>
    <w:autoRedefine/>
    <w:uiPriority w:val="39"/>
    <w:unhideWhenUsed/>
    <w:rsid w:val="002A5C06"/>
    <w:pPr>
      <w:tabs>
        <w:tab w:val="right" w:leader="dot" w:pos="9061"/>
      </w:tabs>
      <w:spacing w:after="100" w:line="240" w:lineRule="auto"/>
      <w:ind w:left="993" w:hanging="993"/>
      <w:jc w:val="center"/>
    </w:pPr>
    <w:rPr>
      <w:b/>
      <w:noProof/>
    </w:rPr>
  </w:style>
  <w:style w:type="paragraph" w:styleId="Sumrio2">
    <w:name w:val="toc 2"/>
    <w:basedOn w:val="Normal"/>
    <w:next w:val="Normal"/>
    <w:autoRedefine/>
    <w:uiPriority w:val="39"/>
    <w:unhideWhenUsed/>
    <w:rsid w:val="006A2A75"/>
    <w:pPr>
      <w:tabs>
        <w:tab w:val="right" w:leader="dot" w:pos="9061"/>
      </w:tabs>
      <w:spacing w:after="240" w:line="240" w:lineRule="auto"/>
      <w:ind w:left="993" w:hanging="993"/>
    </w:pPr>
  </w:style>
  <w:style w:type="paragraph" w:styleId="Sumrio3">
    <w:name w:val="toc 3"/>
    <w:basedOn w:val="Normal"/>
    <w:next w:val="Normal"/>
    <w:autoRedefine/>
    <w:uiPriority w:val="39"/>
    <w:unhideWhenUsed/>
    <w:rsid w:val="005A0481"/>
    <w:pPr>
      <w:tabs>
        <w:tab w:val="right" w:leader="dot" w:pos="9061"/>
      </w:tabs>
      <w:spacing w:after="100" w:line="360" w:lineRule="auto"/>
      <w:ind w:left="993" w:hanging="993"/>
    </w:pPr>
    <w:rPr>
      <w:b/>
      <w:noProof/>
    </w:rPr>
  </w:style>
  <w:style w:type="character" w:customStyle="1" w:styleId="author">
    <w:name w:val="author"/>
    <w:basedOn w:val="Fontepargpadro"/>
    <w:rsid w:val="00E13903"/>
  </w:style>
  <w:style w:type="character" w:customStyle="1" w:styleId="pubyear">
    <w:name w:val="pubyear"/>
    <w:basedOn w:val="Fontepargpadro"/>
    <w:rsid w:val="00E13903"/>
  </w:style>
  <w:style w:type="character" w:customStyle="1" w:styleId="chaptertitle">
    <w:name w:val="chaptertitle"/>
    <w:basedOn w:val="Fontepargpadro"/>
    <w:rsid w:val="00E13903"/>
  </w:style>
  <w:style w:type="character" w:customStyle="1" w:styleId="booktitle">
    <w:name w:val="booktitle"/>
    <w:basedOn w:val="Fontepargpadro"/>
    <w:rsid w:val="00E13903"/>
  </w:style>
  <w:style w:type="character" w:customStyle="1" w:styleId="editor">
    <w:name w:val="editor"/>
    <w:basedOn w:val="Fontepargpadro"/>
    <w:rsid w:val="00E13903"/>
  </w:style>
  <w:style w:type="character" w:customStyle="1" w:styleId="pagefirst">
    <w:name w:val="pagefirst"/>
    <w:basedOn w:val="Fontepargpadro"/>
    <w:rsid w:val="00E13903"/>
  </w:style>
  <w:style w:type="character" w:customStyle="1" w:styleId="pagelast">
    <w:name w:val="pagelast"/>
    <w:basedOn w:val="Fontepargpadro"/>
    <w:rsid w:val="00E13903"/>
  </w:style>
  <w:style w:type="paragraph" w:styleId="SemEspaamento">
    <w:name w:val="No Spacing"/>
    <w:uiPriority w:val="1"/>
    <w:rsid w:val="003E054B"/>
    <w:pPr>
      <w:spacing w:after="0" w:line="240" w:lineRule="auto"/>
    </w:pPr>
    <w:rPr>
      <w:rFonts w:ascii="Calibri" w:eastAsia="Calibri" w:hAnsi="Calibri" w:cs="Times New Roman"/>
    </w:rPr>
  </w:style>
  <w:style w:type="paragraph" w:customStyle="1" w:styleId="Estilo1">
    <w:name w:val="Estilo1"/>
    <w:basedOn w:val="Ttulo2"/>
    <w:link w:val="Estilo1Char"/>
    <w:rsid w:val="003F29B5"/>
    <w:pPr>
      <w:spacing w:before="0" w:line="240" w:lineRule="auto"/>
    </w:pPr>
  </w:style>
  <w:style w:type="character" w:customStyle="1" w:styleId="Estilo1Char">
    <w:name w:val="Estilo1 Char"/>
    <w:basedOn w:val="Ttulo1Char"/>
    <w:link w:val="Estilo1"/>
    <w:rsid w:val="003F29B5"/>
    <w:rPr>
      <w:rFonts w:ascii="Times New Roman" w:eastAsiaTheme="majorEastAsia" w:hAnsi="Times New Roman" w:cstheme="majorBidi"/>
      <w:b w:val="0"/>
      <w:color w:val="000000" w:themeColor="text1"/>
      <w:sz w:val="24"/>
      <w:szCs w:val="26"/>
    </w:rPr>
  </w:style>
  <w:style w:type="character" w:customStyle="1" w:styleId="Ttulo4Char">
    <w:name w:val="Título 4 Char"/>
    <w:basedOn w:val="Fontepargpadro"/>
    <w:link w:val="Ttulo4"/>
    <w:uiPriority w:val="9"/>
    <w:rsid w:val="008F7EE4"/>
    <w:rPr>
      <w:rFonts w:ascii="Times New Roman" w:eastAsiaTheme="majorEastAsia" w:hAnsi="Times New Roman" w:cstheme="majorBidi"/>
      <w:i/>
      <w:sz w:val="24"/>
      <w:szCs w:val="26"/>
    </w:rPr>
  </w:style>
  <w:style w:type="character" w:customStyle="1" w:styleId="Ttulo5Char">
    <w:name w:val="Título 5 Char"/>
    <w:basedOn w:val="Fontepargpadro"/>
    <w:link w:val="Ttulo5"/>
    <w:uiPriority w:val="9"/>
    <w:rsid w:val="000520CF"/>
    <w:rPr>
      <w:rFonts w:ascii="Times New Roman" w:hAnsi="Times New Roman" w:cs="Times New Roman"/>
      <w:sz w:val="24"/>
      <w:szCs w:val="24"/>
    </w:rPr>
  </w:style>
  <w:style w:type="character" w:customStyle="1" w:styleId="Ttulo6Char">
    <w:name w:val="Título 6 Char"/>
    <w:basedOn w:val="Fontepargpadro"/>
    <w:link w:val="Ttulo6"/>
    <w:uiPriority w:val="9"/>
    <w:semiHidden/>
    <w:rsid w:val="000802C6"/>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0802C6"/>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0802C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rsid w:val="000802C6"/>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rsid w:val="00271875"/>
  </w:style>
  <w:style w:type="character" w:customStyle="1" w:styleId="mixed-citation">
    <w:name w:val="mixed-citation"/>
    <w:basedOn w:val="Fontepargpadro"/>
    <w:rsid w:val="00271875"/>
  </w:style>
  <w:style w:type="character" w:customStyle="1" w:styleId="ref-title">
    <w:name w:val="ref-title"/>
    <w:basedOn w:val="Fontepargpadro"/>
    <w:rsid w:val="00271875"/>
  </w:style>
  <w:style w:type="character" w:customStyle="1" w:styleId="ref-vol">
    <w:name w:val="ref-vol"/>
    <w:basedOn w:val="Fontepargpadro"/>
    <w:rsid w:val="00271875"/>
  </w:style>
  <w:style w:type="character" w:customStyle="1" w:styleId="nlmstring-name2">
    <w:name w:val="nlm_string-name2"/>
    <w:basedOn w:val="Fontepargpadro"/>
    <w:rsid w:val="00271875"/>
    <w:rPr>
      <w:b/>
      <w:bCs/>
    </w:rPr>
  </w:style>
  <w:style w:type="character" w:customStyle="1" w:styleId="nlmyear">
    <w:name w:val="nlm_year"/>
    <w:basedOn w:val="Fontepargpadro"/>
    <w:rsid w:val="00271875"/>
  </w:style>
  <w:style w:type="character" w:customStyle="1" w:styleId="nlmarticle-title">
    <w:name w:val="nlm_article-title"/>
    <w:basedOn w:val="Fontepargpadro"/>
    <w:rsid w:val="00271875"/>
  </w:style>
  <w:style w:type="character" w:customStyle="1" w:styleId="nlmfpage">
    <w:name w:val="nlm_fpage"/>
    <w:basedOn w:val="Fontepargpadro"/>
    <w:rsid w:val="00271875"/>
  </w:style>
  <w:style w:type="character" w:customStyle="1" w:styleId="externalref">
    <w:name w:val="externalref"/>
    <w:basedOn w:val="Fontepargpadro"/>
    <w:rsid w:val="006A1446"/>
  </w:style>
  <w:style w:type="character" w:customStyle="1" w:styleId="refsource">
    <w:name w:val="refsource"/>
    <w:basedOn w:val="Fontepargpadro"/>
    <w:rsid w:val="006A1446"/>
  </w:style>
  <w:style w:type="character" w:customStyle="1" w:styleId="MenoPendente1">
    <w:name w:val="Menção Pendente1"/>
    <w:basedOn w:val="Fontepargpadro"/>
    <w:uiPriority w:val="99"/>
    <w:semiHidden/>
    <w:unhideWhenUsed/>
    <w:rsid w:val="006A1446"/>
    <w:rPr>
      <w:color w:val="605E5C"/>
      <w:shd w:val="clear" w:color="auto" w:fill="E1DFDD"/>
    </w:rPr>
  </w:style>
  <w:style w:type="character" w:customStyle="1" w:styleId="bibauthorname">
    <w:name w:val="bibauthorname"/>
    <w:basedOn w:val="Fontepargpadro"/>
    <w:rsid w:val="008F3F3D"/>
  </w:style>
  <w:style w:type="character" w:customStyle="1" w:styleId="year">
    <w:name w:val="year"/>
    <w:basedOn w:val="Fontepargpadro"/>
    <w:rsid w:val="008F3F3D"/>
  </w:style>
  <w:style w:type="character" w:customStyle="1" w:styleId="publishername">
    <w:name w:val="publishername"/>
    <w:basedOn w:val="Fontepargpadro"/>
    <w:rsid w:val="008F3F3D"/>
  </w:style>
  <w:style w:type="character" w:customStyle="1" w:styleId="publisherlocation">
    <w:name w:val="publisherlocation"/>
    <w:basedOn w:val="Fontepargpadro"/>
    <w:rsid w:val="008F3F3D"/>
  </w:style>
  <w:style w:type="character" w:customStyle="1" w:styleId="article-title">
    <w:name w:val="article-title"/>
    <w:basedOn w:val="Fontepargpadro"/>
    <w:rsid w:val="001C4BC4"/>
  </w:style>
  <w:style w:type="paragraph" w:styleId="Ttulo">
    <w:name w:val="Title"/>
    <w:aliases w:val="capa"/>
    <w:basedOn w:val="Normal"/>
    <w:next w:val="Normal"/>
    <w:link w:val="TtuloChar"/>
    <w:uiPriority w:val="10"/>
    <w:qFormat/>
    <w:rsid w:val="005A3B36"/>
    <w:pPr>
      <w:spacing w:line="240" w:lineRule="auto"/>
      <w:ind w:firstLine="0"/>
      <w:jc w:val="center"/>
    </w:pPr>
    <w:rPr>
      <w:b/>
    </w:rPr>
  </w:style>
  <w:style w:type="character" w:customStyle="1" w:styleId="TtuloChar">
    <w:name w:val="Título Char"/>
    <w:aliases w:val="capa Char"/>
    <w:basedOn w:val="Fontepargpadro"/>
    <w:link w:val="Ttulo"/>
    <w:uiPriority w:val="10"/>
    <w:rsid w:val="005A3B36"/>
    <w:rPr>
      <w:rFonts w:ascii="Times New Roman" w:hAnsi="Times New Roman" w:cs="Times New Roman"/>
      <w:b/>
      <w:sz w:val="24"/>
      <w:szCs w:val="24"/>
    </w:rPr>
  </w:style>
  <w:style w:type="paragraph" w:styleId="Sumrio4">
    <w:name w:val="toc 4"/>
    <w:basedOn w:val="Normal"/>
    <w:next w:val="Normal"/>
    <w:autoRedefine/>
    <w:uiPriority w:val="39"/>
    <w:unhideWhenUsed/>
    <w:rsid w:val="002A5C06"/>
    <w:pPr>
      <w:tabs>
        <w:tab w:val="right" w:leader="dot" w:pos="9061"/>
      </w:tabs>
      <w:spacing w:after="100"/>
      <w:ind w:left="993" w:hanging="993"/>
    </w:pPr>
  </w:style>
  <w:style w:type="paragraph" w:styleId="Sumrio5">
    <w:name w:val="toc 5"/>
    <w:basedOn w:val="Normal"/>
    <w:next w:val="Normal"/>
    <w:autoRedefine/>
    <w:uiPriority w:val="39"/>
    <w:unhideWhenUsed/>
    <w:rsid w:val="002A5C06"/>
    <w:pPr>
      <w:tabs>
        <w:tab w:val="right" w:leader="dot" w:pos="9061"/>
      </w:tabs>
      <w:spacing w:after="100"/>
      <w:ind w:left="993" w:hanging="993"/>
    </w:pPr>
  </w:style>
  <w:style w:type="table" w:customStyle="1" w:styleId="Tabelacomgrade1">
    <w:name w:val="Tabela com grade1"/>
    <w:basedOn w:val="Tabelanormal"/>
    <w:next w:val="Tabelacomgrade"/>
    <w:uiPriority w:val="59"/>
    <w:rsid w:val="00875F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D656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376E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F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0471">
      <w:bodyDiv w:val="1"/>
      <w:marLeft w:val="0"/>
      <w:marRight w:val="0"/>
      <w:marTop w:val="0"/>
      <w:marBottom w:val="0"/>
      <w:divBdr>
        <w:top w:val="none" w:sz="0" w:space="0" w:color="auto"/>
        <w:left w:val="none" w:sz="0" w:space="0" w:color="auto"/>
        <w:bottom w:val="none" w:sz="0" w:space="0" w:color="auto"/>
        <w:right w:val="none" w:sz="0" w:space="0" w:color="auto"/>
      </w:divBdr>
    </w:div>
    <w:div w:id="81415165">
      <w:bodyDiv w:val="1"/>
      <w:marLeft w:val="0"/>
      <w:marRight w:val="0"/>
      <w:marTop w:val="0"/>
      <w:marBottom w:val="0"/>
      <w:divBdr>
        <w:top w:val="none" w:sz="0" w:space="0" w:color="auto"/>
        <w:left w:val="none" w:sz="0" w:space="0" w:color="auto"/>
        <w:bottom w:val="none" w:sz="0" w:space="0" w:color="auto"/>
        <w:right w:val="none" w:sz="0" w:space="0" w:color="auto"/>
      </w:divBdr>
    </w:div>
    <w:div w:id="243807199">
      <w:bodyDiv w:val="1"/>
      <w:marLeft w:val="0"/>
      <w:marRight w:val="0"/>
      <w:marTop w:val="0"/>
      <w:marBottom w:val="0"/>
      <w:divBdr>
        <w:top w:val="none" w:sz="0" w:space="0" w:color="auto"/>
        <w:left w:val="none" w:sz="0" w:space="0" w:color="auto"/>
        <w:bottom w:val="none" w:sz="0" w:space="0" w:color="auto"/>
        <w:right w:val="none" w:sz="0" w:space="0" w:color="auto"/>
      </w:divBdr>
    </w:div>
    <w:div w:id="345401377">
      <w:bodyDiv w:val="1"/>
      <w:marLeft w:val="0"/>
      <w:marRight w:val="0"/>
      <w:marTop w:val="0"/>
      <w:marBottom w:val="0"/>
      <w:divBdr>
        <w:top w:val="none" w:sz="0" w:space="0" w:color="auto"/>
        <w:left w:val="none" w:sz="0" w:space="0" w:color="auto"/>
        <w:bottom w:val="none" w:sz="0" w:space="0" w:color="auto"/>
        <w:right w:val="none" w:sz="0" w:space="0" w:color="auto"/>
      </w:divBdr>
    </w:div>
    <w:div w:id="361135020">
      <w:bodyDiv w:val="1"/>
      <w:marLeft w:val="0"/>
      <w:marRight w:val="0"/>
      <w:marTop w:val="0"/>
      <w:marBottom w:val="0"/>
      <w:divBdr>
        <w:top w:val="none" w:sz="0" w:space="0" w:color="auto"/>
        <w:left w:val="none" w:sz="0" w:space="0" w:color="auto"/>
        <w:bottom w:val="none" w:sz="0" w:space="0" w:color="auto"/>
        <w:right w:val="none" w:sz="0" w:space="0" w:color="auto"/>
      </w:divBdr>
    </w:div>
    <w:div w:id="529147799">
      <w:bodyDiv w:val="1"/>
      <w:marLeft w:val="0"/>
      <w:marRight w:val="0"/>
      <w:marTop w:val="0"/>
      <w:marBottom w:val="0"/>
      <w:divBdr>
        <w:top w:val="none" w:sz="0" w:space="0" w:color="auto"/>
        <w:left w:val="none" w:sz="0" w:space="0" w:color="auto"/>
        <w:bottom w:val="none" w:sz="0" w:space="0" w:color="auto"/>
        <w:right w:val="none" w:sz="0" w:space="0" w:color="auto"/>
      </w:divBdr>
    </w:div>
    <w:div w:id="566653606">
      <w:bodyDiv w:val="1"/>
      <w:marLeft w:val="0"/>
      <w:marRight w:val="0"/>
      <w:marTop w:val="0"/>
      <w:marBottom w:val="0"/>
      <w:divBdr>
        <w:top w:val="none" w:sz="0" w:space="0" w:color="auto"/>
        <w:left w:val="none" w:sz="0" w:space="0" w:color="auto"/>
        <w:bottom w:val="none" w:sz="0" w:space="0" w:color="auto"/>
        <w:right w:val="none" w:sz="0" w:space="0" w:color="auto"/>
      </w:divBdr>
    </w:div>
    <w:div w:id="640695429">
      <w:bodyDiv w:val="1"/>
      <w:marLeft w:val="0"/>
      <w:marRight w:val="0"/>
      <w:marTop w:val="0"/>
      <w:marBottom w:val="0"/>
      <w:divBdr>
        <w:top w:val="none" w:sz="0" w:space="0" w:color="auto"/>
        <w:left w:val="none" w:sz="0" w:space="0" w:color="auto"/>
        <w:bottom w:val="none" w:sz="0" w:space="0" w:color="auto"/>
        <w:right w:val="none" w:sz="0" w:space="0" w:color="auto"/>
      </w:divBdr>
    </w:div>
    <w:div w:id="708799103">
      <w:bodyDiv w:val="1"/>
      <w:marLeft w:val="0"/>
      <w:marRight w:val="0"/>
      <w:marTop w:val="0"/>
      <w:marBottom w:val="0"/>
      <w:divBdr>
        <w:top w:val="none" w:sz="0" w:space="0" w:color="auto"/>
        <w:left w:val="none" w:sz="0" w:space="0" w:color="auto"/>
        <w:bottom w:val="none" w:sz="0" w:space="0" w:color="auto"/>
        <w:right w:val="none" w:sz="0" w:space="0" w:color="auto"/>
      </w:divBdr>
    </w:div>
    <w:div w:id="789976031">
      <w:bodyDiv w:val="1"/>
      <w:marLeft w:val="0"/>
      <w:marRight w:val="0"/>
      <w:marTop w:val="0"/>
      <w:marBottom w:val="0"/>
      <w:divBdr>
        <w:top w:val="none" w:sz="0" w:space="0" w:color="auto"/>
        <w:left w:val="none" w:sz="0" w:space="0" w:color="auto"/>
        <w:bottom w:val="none" w:sz="0" w:space="0" w:color="auto"/>
        <w:right w:val="none" w:sz="0" w:space="0" w:color="auto"/>
      </w:divBdr>
    </w:div>
    <w:div w:id="1113862301">
      <w:bodyDiv w:val="1"/>
      <w:marLeft w:val="0"/>
      <w:marRight w:val="0"/>
      <w:marTop w:val="0"/>
      <w:marBottom w:val="0"/>
      <w:divBdr>
        <w:top w:val="none" w:sz="0" w:space="0" w:color="auto"/>
        <w:left w:val="none" w:sz="0" w:space="0" w:color="auto"/>
        <w:bottom w:val="none" w:sz="0" w:space="0" w:color="auto"/>
        <w:right w:val="none" w:sz="0" w:space="0" w:color="auto"/>
      </w:divBdr>
    </w:div>
    <w:div w:id="1281956919">
      <w:bodyDiv w:val="1"/>
      <w:marLeft w:val="0"/>
      <w:marRight w:val="0"/>
      <w:marTop w:val="0"/>
      <w:marBottom w:val="0"/>
      <w:divBdr>
        <w:top w:val="none" w:sz="0" w:space="0" w:color="auto"/>
        <w:left w:val="none" w:sz="0" w:space="0" w:color="auto"/>
        <w:bottom w:val="none" w:sz="0" w:space="0" w:color="auto"/>
        <w:right w:val="none" w:sz="0" w:space="0" w:color="auto"/>
      </w:divBdr>
      <w:divsChild>
        <w:div w:id="212083944">
          <w:marLeft w:val="0"/>
          <w:marRight w:val="0"/>
          <w:marTop w:val="0"/>
          <w:marBottom w:val="0"/>
          <w:divBdr>
            <w:top w:val="none" w:sz="0" w:space="0" w:color="auto"/>
            <w:left w:val="none" w:sz="0" w:space="0" w:color="auto"/>
            <w:bottom w:val="none" w:sz="0" w:space="0" w:color="auto"/>
            <w:right w:val="none" w:sz="0" w:space="0" w:color="auto"/>
          </w:divBdr>
        </w:div>
        <w:div w:id="1676230179">
          <w:marLeft w:val="0"/>
          <w:marRight w:val="0"/>
          <w:marTop w:val="0"/>
          <w:marBottom w:val="0"/>
          <w:divBdr>
            <w:top w:val="none" w:sz="0" w:space="0" w:color="auto"/>
            <w:left w:val="none" w:sz="0" w:space="0" w:color="auto"/>
            <w:bottom w:val="none" w:sz="0" w:space="0" w:color="auto"/>
            <w:right w:val="none" w:sz="0" w:space="0" w:color="auto"/>
          </w:divBdr>
        </w:div>
        <w:div w:id="1903054938">
          <w:marLeft w:val="0"/>
          <w:marRight w:val="0"/>
          <w:marTop w:val="0"/>
          <w:marBottom w:val="0"/>
          <w:divBdr>
            <w:top w:val="none" w:sz="0" w:space="0" w:color="auto"/>
            <w:left w:val="none" w:sz="0" w:space="0" w:color="auto"/>
            <w:bottom w:val="none" w:sz="0" w:space="0" w:color="auto"/>
            <w:right w:val="none" w:sz="0" w:space="0" w:color="auto"/>
          </w:divBdr>
        </w:div>
        <w:div w:id="693926425">
          <w:marLeft w:val="0"/>
          <w:marRight w:val="0"/>
          <w:marTop w:val="0"/>
          <w:marBottom w:val="0"/>
          <w:divBdr>
            <w:top w:val="none" w:sz="0" w:space="0" w:color="auto"/>
            <w:left w:val="none" w:sz="0" w:space="0" w:color="auto"/>
            <w:bottom w:val="none" w:sz="0" w:space="0" w:color="auto"/>
            <w:right w:val="none" w:sz="0" w:space="0" w:color="auto"/>
          </w:divBdr>
        </w:div>
        <w:div w:id="1119493170">
          <w:marLeft w:val="0"/>
          <w:marRight w:val="0"/>
          <w:marTop w:val="0"/>
          <w:marBottom w:val="0"/>
          <w:divBdr>
            <w:top w:val="none" w:sz="0" w:space="0" w:color="auto"/>
            <w:left w:val="none" w:sz="0" w:space="0" w:color="auto"/>
            <w:bottom w:val="none" w:sz="0" w:space="0" w:color="auto"/>
            <w:right w:val="none" w:sz="0" w:space="0" w:color="auto"/>
          </w:divBdr>
        </w:div>
        <w:div w:id="791707135">
          <w:marLeft w:val="0"/>
          <w:marRight w:val="0"/>
          <w:marTop w:val="0"/>
          <w:marBottom w:val="0"/>
          <w:divBdr>
            <w:top w:val="none" w:sz="0" w:space="0" w:color="auto"/>
            <w:left w:val="none" w:sz="0" w:space="0" w:color="auto"/>
            <w:bottom w:val="none" w:sz="0" w:space="0" w:color="auto"/>
            <w:right w:val="none" w:sz="0" w:space="0" w:color="auto"/>
          </w:divBdr>
        </w:div>
        <w:div w:id="986469781">
          <w:marLeft w:val="0"/>
          <w:marRight w:val="0"/>
          <w:marTop w:val="0"/>
          <w:marBottom w:val="0"/>
          <w:divBdr>
            <w:top w:val="none" w:sz="0" w:space="0" w:color="auto"/>
            <w:left w:val="none" w:sz="0" w:space="0" w:color="auto"/>
            <w:bottom w:val="none" w:sz="0" w:space="0" w:color="auto"/>
            <w:right w:val="none" w:sz="0" w:space="0" w:color="auto"/>
          </w:divBdr>
        </w:div>
      </w:divsChild>
    </w:div>
    <w:div w:id="1389064043">
      <w:bodyDiv w:val="1"/>
      <w:marLeft w:val="0"/>
      <w:marRight w:val="0"/>
      <w:marTop w:val="0"/>
      <w:marBottom w:val="0"/>
      <w:divBdr>
        <w:top w:val="none" w:sz="0" w:space="0" w:color="auto"/>
        <w:left w:val="none" w:sz="0" w:space="0" w:color="auto"/>
        <w:bottom w:val="none" w:sz="0" w:space="0" w:color="auto"/>
        <w:right w:val="none" w:sz="0" w:space="0" w:color="auto"/>
      </w:divBdr>
    </w:div>
    <w:div w:id="1770083548">
      <w:bodyDiv w:val="1"/>
      <w:marLeft w:val="0"/>
      <w:marRight w:val="0"/>
      <w:marTop w:val="0"/>
      <w:marBottom w:val="0"/>
      <w:divBdr>
        <w:top w:val="none" w:sz="0" w:space="0" w:color="auto"/>
        <w:left w:val="none" w:sz="0" w:space="0" w:color="auto"/>
        <w:bottom w:val="none" w:sz="0" w:space="0" w:color="auto"/>
        <w:right w:val="none" w:sz="0" w:space="0" w:color="auto"/>
      </w:divBdr>
    </w:div>
    <w:div w:id="1967471259">
      <w:bodyDiv w:val="1"/>
      <w:marLeft w:val="0"/>
      <w:marRight w:val="0"/>
      <w:marTop w:val="0"/>
      <w:marBottom w:val="0"/>
      <w:divBdr>
        <w:top w:val="none" w:sz="0" w:space="0" w:color="auto"/>
        <w:left w:val="none" w:sz="0" w:space="0" w:color="auto"/>
        <w:bottom w:val="none" w:sz="0" w:space="0" w:color="auto"/>
        <w:right w:val="none" w:sz="0" w:space="0" w:color="auto"/>
      </w:divBdr>
    </w:div>
    <w:div w:id="200940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yperlink" Target="http://lattes.cnpq.br/717643556047813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ielo.br/cgi-bin/wxis.exe/iah/?IsisScript=iah/iah.xis&amp;base=article%5Edlibrary&amp;format=iso.pft&amp;lang=i&amp;nextAction=lnk&amp;indexSearch=AU&amp;exprSearch=CARREGAL,+LUIS+HENRIQU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aspp.org/archived_articles/FeatureMarch.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grofit.agricultura.gov.br/agrofit_cons/principal_agrofit_cons" TargetMode="External"/><Relationship Id="rId20" Type="http://schemas.openxmlformats.org/officeDocument/2006/relationships/hyperlink" Target="http://www.scielo.br/cgi-bin/wxis.exe/iah/?IsisScript=iah/iah.xis&amp;base=article%5Edlibrary&amp;format=iso.pft&amp;lang=i&amp;nextAction=lnk&amp;indexSearch=AU&amp;exprSearch=REIS,+ERLEI+ME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tmg.agr.br/cultivares/soj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apsnet.org/publications/apsnetfeatures/Pages/SoybeanRustDev.aspx" TargetMode="External"/><Relationship Id="rId10" Type="http://schemas.openxmlformats.org/officeDocument/2006/relationships/header" Target="header1.xml"/><Relationship Id="rId19" Type="http://schemas.openxmlformats.org/officeDocument/2006/relationships/hyperlink" Target="https://doi.org/10.5772/67454" TargetMode="External"/><Relationship Id="rId4" Type="http://schemas.openxmlformats.org/officeDocument/2006/relationships/settings" Target="settings.xml"/><Relationship Id="rId9" Type="http://schemas.openxmlformats.org/officeDocument/2006/relationships/hyperlink" Target="https://www.google.com/search?biw=1366&amp;bih=695&amp;q=fluxapyroxad&amp;spell=1&amp;sa=X&amp;ved=0ahUKEwjHso6R_-3jAhW4I7kGHbeeAj4QkeECCC4oAA" TargetMode="External"/><Relationship Id="rId14" Type="http://schemas.openxmlformats.org/officeDocument/2006/relationships/image" Target="media/image2.png"/><Relationship Id="rId22" Type="http://schemas.openxmlformats.org/officeDocument/2006/relationships/hyperlink" Target="http://www.scielo.br/cgi-bin/wxis.exe/iah/?IsisScript=iah/iah.xis&amp;base=article%5Edlibrary&amp;format=iso.pft&amp;lang=i&amp;nextAction=lnk&amp;indexSearch=AU&amp;exprSearch=ZANATTA,+MATEU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9A3C-C0BA-4E58-93D1-0CFB8748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45001</Words>
  <Characters>243007</Characters>
  <Application>Microsoft Office Word</Application>
  <DocSecurity>0</DocSecurity>
  <Lines>2025</Lines>
  <Paragraphs>574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Miqueloto</dc:creator>
  <cp:keywords/>
  <dc:description/>
  <cp:lastModifiedBy>artur arruda   fabre</cp:lastModifiedBy>
  <cp:revision>2</cp:revision>
  <cp:lastPrinted>2019-08-10T02:15:00Z</cp:lastPrinted>
  <dcterms:created xsi:type="dcterms:W3CDTF">2020-06-13T19:33:00Z</dcterms:created>
  <dcterms:modified xsi:type="dcterms:W3CDTF">2020-06-13T19:33:00Z</dcterms:modified>
</cp:coreProperties>
</file>