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9C" w:rsidRPr="00B214A8" w:rsidRDefault="00E65308" w:rsidP="00B214A8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A8">
        <w:rPr>
          <w:rFonts w:ascii="Times New Roman" w:hAnsi="Times New Roman" w:cs="Times New Roman"/>
          <w:b/>
          <w:sz w:val="28"/>
          <w:szCs w:val="28"/>
        </w:rPr>
        <w:t xml:space="preserve">Previdência Social e </w:t>
      </w:r>
      <w:bookmarkStart w:id="0" w:name="_GoBack"/>
      <w:bookmarkEnd w:id="0"/>
      <w:r w:rsidRPr="00B214A8">
        <w:rPr>
          <w:rFonts w:ascii="Times New Roman" w:hAnsi="Times New Roman" w:cs="Times New Roman"/>
          <w:b/>
          <w:sz w:val="28"/>
          <w:szCs w:val="28"/>
        </w:rPr>
        <w:t>Matemática Financeira: saberes para o docente da sala de aula do Ensino Médio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Apresentada no Congresso Nacional por meio da Proposta de Emenda Constitucional (PEC) nº 6, em fevereiro de 2019, e promulgada por meio da Emenda Constitucional nº 103, de 12 de novembro de 2019 (EC 103/2019), a Reforma da Previdência Social trouxe ao trabalhador brasileiro novas regras a respeito de sua aposentadoria. Nesse texto, vamos abordar as principais mudanças do Regime Geral de Previdência Social (RGPS) para trabalhadores de empresas privadas – que consistiram em cerca de 58% dos contribuintes do RGPS em 2017 (BRASIL, 2018) –, e apresentar fatores que permearam a reforma do sistema previdenciário, mas que também indicam a necessidade de o indivíduo tomar para si a responsabilidade para o planejamento financeiro de sua aposentadoria.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As regras previstas na EC 103/2019 não alteram as condições dos trabalhadores já aposentados ou daqueles que já cumpriram todos requisitos das regras anteriores – a isso, dá-se o nome de “direitos adquiridos” – mas incidirá, em sua totalidade, sobre aqueles que contribuem para  INSS e para os que entrarem no sistema a partir de novembro de 2019 (BRASIL, 2019). A Tabela 1 apresenta as novas regras gerais do RGPS.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240" w:rsidRPr="00CF2240" w:rsidRDefault="00CF2240" w:rsidP="00C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Tabela 1 – Regras gerais para aposentadoria (RGPS)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69"/>
        <w:gridCol w:w="3345"/>
        <w:gridCol w:w="3157"/>
      </w:tblGrid>
      <w:tr w:rsidR="00CF2240" w:rsidRPr="00CF2240" w:rsidTr="00CF2240">
        <w:trPr>
          <w:jc w:val="center"/>
        </w:trPr>
        <w:tc>
          <w:tcPr>
            <w:tcW w:w="9071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b/>
                <w:sz w:val="20"/>
                <w:szCs w:val="20"/>
              </w:rPr>
              <w:t>APOSENTADORIA – REGRA GERAL RGPS</w:t>
            </w:r>
          </w:p>
        </w:tc>
      </w:tr>
      <w:tr w:rsidR="00CF2240" w:rsidRPr="00CF2240" w:rsidTr="00CF2240">
        <w:trPr>
          <w:jc w:val="center"/>
        </w:trPr>
        <w:tc>
          <w:tcPr>
            <w:tcW w:w="2569" w:type="dxa"/>
            <w:tcBorders>
              <w:left w:val="nil"/>
              <w:tl2br w:val="single" w:sz="4" w:space="0" w:color="auto"/>
            </w:tcBorders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HOMENS</w:t>
            </w:r>
          </w:p>
        </w:tc>
        <w:tc>
          <w:tcPr>
            <w:tcW w:w="3153" w:type="dxa"/>
            <w:tcBorders>
              <w:right w:val="nil"/>
            </w:tcBorders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MULHERES</w:t>
            </w:r>
          </w:p>
        </w:tc>
      </w:tr>
      <w:tr w:rsidR="00CF2240" w:rsidRPr="00CF2240" w:rsidTr="00CF2240">
        <w:trPr>
          <w:jc w:val="center"/>
        </w:trPr>
        <w:tc>
          <w:tcPr>
            <w:tcW w:w="2569" w:type="dxa"/>
            <w:tcBorders>
              <w:left w:val="nil"/>
            </w:tcBorders>
            <w:vAlign w:val="center"/>
          </w:tcPr>
          <w:p w:rsidR="00CF2240" w:rsidRPr="00CF2240" w:rsidRDefault="00CF2240" w:rsidP="00120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IDADE MÍNIMA</w:t>
            </w:r>
          </w:p>
        </w:tc>
        <w:tc>
          <w:tcPr>
            <w:tcW w:w="334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65 anos de idade</w:t>
            </w:r>
          </w:p>
        </w:tc>
        <w:tc>
          <w:tcPr>
            <w:tcW w:w="3153" w:type="dxa"/>
            <w:tcBorders>
              <w:right w:val="nil"/>
            </w:tcBorders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62 anos de idade</w:t>
            </w:r>
          </w:p>
        </w:tc>
      </w:tr>
      <w:tr w:rsidR="00CF2240" w:rsidRPr="00CF2240" w:rsidTr="00CF2240">
        <w:trPr>
          <w:jc w:val="center"/>
        </w:trPr>
        <w:tc>
          <w:tcPr>
            <w:tcW w:w="2569" w:type="dxa"/>
            <w:tcBorders>
              <w:left w:val="nil"/>
            </w:tcBorders>
            <w:vAlign w:val="center"/>
          </w:tcPr>
          <w:p w:rsidR="00CF2240" w:rsidRPr="00CF2240" w:rsidRDefault="00CF2240" w:rsidP="00120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CONTRIBUIÇÃO MÍNIMA</w:t>
            </w:r>
          </w:p>
        </w:tc>
        <w:tc>
          <w:tcPr>
            <w:tcW w:w="334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20 anos (15 anos para já contribuintes)</w:t>
            </w:r>
          </w:p>
        </w:tc>
        <w:tc>
          <w:tcPr>
            <w:tcW w:w="3153" w:type="dxa"/>
            <w:tcBorders>
              <w:right w:val="nil"/>
            </w:tcBorders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15 anos</w:t>
            </w:r>
          </w:p>
        </w:tc>
      </w:tr>
    </w:tbl>
    <w:p w:rsidR="00CF2240" w:rsidRPr="00CF2240" w:rsidRDefault="00CF2240" w:rsidP="00CF224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F2240">
        <w:rPr>
          <w:rFonts w:ascii="Times New Roman" w:hAnsi="Times New Roman" w:cs="Times New Roman"/>
          <w:sz w:val="20"/>
          <w:szCs w:val="20"/>
        </w:rPr>
        <w:t>Fonte: BRASIL (2019)</w:t>
      </w:r>
    </w:p>
    <w:p w:rsid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 xml:space="preserve">Ainda, para professores serão necessários contribuição mínima de 25 anos e idade mínima de 57/60 anos de idade (mulher/homem); entretanto, tal regra é aplicável apenas aos docentes que comprovarem exercício </w:t>
      </w:r>
      <w:r w:rsidRPr="00CF2240">
        <w:rPr>
          <w:rFonts w:ascii="Times New Roman" w:hAnsi="Times New Roman" w:cs="Times New Roman"/>
          <w:b/>
          <w:sz w:val="24"/>
          <w:szCs w:val="24"/>
        </w:rPr>
        <w:t>exclusivo</w:t>
      </w:r>
      <w:r w:rsidRPr="00CF2240">
        <w:rPr>
          <w:rFonts w:ascii="Times New Roman" w:hAnsi="Times New Roman" w:cs="Times New Roman"/>
          <w:sz w:val="24"/>
          <w:szCs w:val="24"/>
        </w:rPr>
        <w:t xml:space="preserve"> de suas funções no Ensino Básico (BRASIL, 2019). Também, na nova Previdência Social, não mais existirá aposentadoria por tempo de contribuição (BRASIL, 2019).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 xml:space="preserve">Em relação ao cálculo do benefício da aposentadoria, esse terá seu valor sobre a média de todas as contribuições realizadas pelo trabalhador desde julho de 1994. Ao alcançar os requisitos mínimos, o contribuinte do RGPS terá direito a receber 60% do valor do benefício integral – que não poderá ser inferior a um salário mínimo –, sobre o qual será acrescido 2% para cada ano que exceder o tempo de contribuição mínimo (BRASIL, 2019). Dessa forma, </w:t>
      </w:r>
      <w:r w:rsidRPr="00CF2240">
        <w:rPr>
          <w:rFonts w:ascii="Times New Roman" w:hAnsi="Times New Roman" w:cs="Times New Roman"/>
          <w:sz w:val="24"/>
          <w:szCs w:val="24"/>
        </w:rPr>
        <w:lastRenderedPageBreak/>
        <w:t xml:space="preserve">para ter direito a 100% do valor do benefício, serão necessários 35 anos de contribuição pelas mulheres, e 40 anos pelos homens – podendo o valor ultrapassar 100%, mas limitado ao teto do RGPS (BRASIL, 2019). </w:t>
      </w:r>
      <w:bookmarkStart w:id="1" w:name="_Hlk30604519"/>
      <w:r w:rsidRPr="00CF2240">
        <w:rPr>
          <w:rFonts w:ascii="Times New Roman" w:hAnsi="Times New Roman" w:cs="Times New Roman"/>
          <w:sz w:val="24"/>
          <w:szCs w:val="24"/>
        </w:rPr>
        <w:t>A saber, em 2020, o valor do piso da aposentadoria é de R$ 1.045,00, enquanto o teto é R$ 6.101,06.</w:t>
      </w:r>
      <w:bookmarkEnd w:id="1"/>
    </w:p>
    <w:p w:rsid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Também, as alíquotas de contribuição ao RGPS sofrerão alterações, conforme apresentado na Tabela 2, entrando em vigor a partir de março de 2020.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240" w:rsidRPr="00CF2240" w:rsidRDefault="00CF2240" w:rsidP="00CF2240">
      <w:pPr>
        <w:pStyle w:val="Legenda"/>
        <w:keepNext/>
        <w:rPr>
          <w:rFonts w:ascii="Times New Roman" w:hAnsi="Times New Roman"/>
          <w:b w:val="0"/>
          <w:sz w:val="24"/>
          <w:szCs w:val="24"/>
        </w:rPr>
      </w:pPr>
      <w:r w:rsidRPr="00CF2240">
        <w:rPr>
          <w:rFonts w:ascii="Times New Roman" w:hAnsi="Times New Roman"/>
          <w:b w:val="0"/>
          <w:sz w:val="24"/>
          <w:szCs w:val="24"/>
        </w:rPr>
        <w:t>Tabela 2 – Alteração proposta das alíquotas de contribuição ao RGPS</w:t>
      </w:r>
    </w:p>
    <w:tbl>
      <w:tblPr>
        <w:tblStyle w:val="Tabelacomgrade"/>
        <w:tblW w:w="907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F2240" w:rsidRPr="00CF2240" w:rsidTr="00CF2240">
        <w:trPr>
          <w:trHeight w:val="65"/>
          <w:jc w:val="center"/>
        </w:trPr>
        <w:tc>
          <w:tcPr>
            <w:tcW w:w="4535" w:type="dxa"/>
            <w:shd w:val="clear" w:color="auto" w:fill="E7E6E6" w:themeFill="background2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b/>
                <w:sz w:val="20"/>
                <w:szCs w:val="20"/>
              </w:rPr>
              <w:t>FAIXA SALARIAL (R$)</w:t>
            </w:r>
          </w:p>
        </w:tc>
        <w:tc>
          <w:tcPr>
            <w:tcW w:w="4535" w:type="dxa"/>
            <w:shd w:val="clear" w:color="auto" w:fill="E7E6E6" w:themeFill="background2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b/>
                <w:sz w:val="20"/>
                <w:szCs w:val="20"/>
              </w:rPr>
              <w:t>ALÍQUOTA</w:t>
            </w:r>
          </w:p>
        </w:tc>
      </w:tr>
      <w:tr w:rsidR="00CF2240" w:rsidRPr="00CF2240" w:rsidTr="00CF2240">
        <w:trPr>
          <w:trHeight w:val="62"/>
          <w:jc w:val="center"/>
        </w:trPr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Até 1 Salário Mínimo</w:t>
            </w:r>
          </w:p>
        </w:tc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7,5%</w:t>
            </w:r>
          </w:p>
        </w:tc>
      </w:tr>
      <w:tr w:rsidR="00CF2240" w:rsidRPr="00CF2240" w:rsidTr="00CF2240">
        <w:trPr>
          <w:trHeight w:val="62"/>
          <w:jc w:val="center"/>
        </w:trPr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De 1.045,01 a R$ 2.089,60</w:t>
            </w:r>
          </w:p>
        </w:tc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CF2240" w:rsidRPr="00CF2240" w:rsidTr="00CF2240">
        <w:trPr>
          <w:trHeight w:val="62"/>
          <w:jc w:val="center"/>
        </w:trPr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De R$ 2.089,61 a R$ 3.134,40</w:t>
            </w:r>
          </w:p>
        </w:tc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CF2240" w:rsidRPr="00CF2240" w:rsidTr="00CF2240">
        <w:trPr>
          <w:trHeight w:val="62"/>
          <w:jc w:val="center"/>
        </w:trPr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De R$ 3.134,41 até R$ 6.101,06</w:t>
            </w:r>
          </w:p>
        </w:tc>
        <w:tc>
          <w:tcPr>
            <w:tcW w:w="4535" w:type="dxa"/>
            <w:vAlign w:val="center"/>
          </w:tcPr>
          <w:p w:rsidR="00CF2240" w:rsidRPr="00CF2240" w:rsidRDefault="00CF2240" w:rsidP="0012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240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</w:tr>
    </w:tbl>
    <w:p w:rsidR="00CF2240" w:rsidRPr="00CF2240" w:rsidRDefault="00CF2240" w:rsidP="00CF22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240">
        <w:rPr>
          <w:rFonts w:ascii="Times New Roman" w:hAnsi="Times New Roman" w:cs="Times New Roman"/>
          <w:sz w:val="20"/>
          <w:szCs w:val="20"/>
        </w:rPr>
        <w:t>Fonte: Brasil (2020)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Ainda, aos trabalhadores já filiados ao RGPS, estão previstas cinco regras de transição</w:t>
      </w:r>
      <w:bookmarkStart w:id="2" w:name="_Hlk30604800"/>
      <w:r w:rsidRPr="00CF2240">
        <w:rPr>
          <w:rFonts w:ascii="Times New Roman" w:hAnsi="Times New Roman" w:cs="Times New Roman"/>
          <w:sz w:val="24"/>
          <w:szCs w:val="24"/>
        </w:rPr>
        <w:t>: por sistema de pontos; por tempo de contribuição e idade mínima; com fator previdenciário e pedágio de 50%; com idade mínima e pedágio de 100%; e, por aposentadoria por idade. Caberá, portanto, ao contribuinte escolher aquela que lhe trará maior vantagem (BRASIL, 2019).</w:t>
      </w:r>
      <w:bookmarkEnd w:id="2"/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 xml:space="preserve">Entre outras razões, a reforma do sistema previdenciário se deu em função do envelhecimento da população brasileira, cuja expectativa de vida é de 75,8 anos (IBGE, 2018) e de sobrevida – isto é, expectativa de vida após completar 65 anos –, que é de 18,5 anos (IBGE, 2016). De acordo com o IBGE (2018), projeta-se que em 2060 um quarto da população terá acima de 65 anos de idade, isto é, para cada quatro pessoas uma será idosa. 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Dentro de nosso tema, tais dados indicam um impacto à sustentabilidade dos sistemas previdenciários privado e público do país. Atualmente, o RGPS funciona como um regime financeiro de repartição denominado “pacto de gerações” em que, mensalmente, as contribuições realizadas pelos trabalhadores são a fonte principal de recursos para das aposentadorias (FAZIO, 2019). Considerando o fenômeno do envelhecimento populacional – que em 2060 fará com que a população idosa seja maior do que a jovem (IBGE, 2013) – em relação ao pacto de gerações, “é esperado que o processo de envelhecimento leve a um aumento das despesas com o pagamento de benefícios, sem que haja contrapartida nas contribuições, ou mesmo com a redução destas” (AMARO; AFONSO, 2018, p. 2). Assim, o contínuo aumento das despesas previdenciárias e sua simultânea diminuição de receitas para pagamento dos benefícios da aposentadoria, tornam o sistema previdenciário cada vez mais insustentável em seu modelo atual.</w:t>
      </w:r>
    </w:p>
    <w:p w:rsidR="00CF2240" w:rsidRP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lastRenderedPageBreak/>
        <w:t xml:space="preserve">Nesse cenário, a incerteza do que virá associado a uma proposta de reforma previdenciária que é pouco clara sobre seus efeitos na economia e no mercado de trabalho, é um dos fatores que torna necessário que o indivíduo, hoje um adolescente ou jovem adulto, preocupe-se com seu bem-estar quando idoso. </w:t>
      </w:r>
      <w:r w:rsidR="005F1891">
        <w:rPr>
          <w:rFonts w:ascii="Times New Roman" w:hAnsi="Times New Roman" w:cs="Times New Roman"/>
          <w:sz w:val="24"/>
          <w:szCs w:val="24"/>
        </w:rPr>
        <w:t xml:space="preserve">Além disso, é necessário um alerta: </w:t>
      </w:r>
      <w:r w:rsidRPr="00CF2240">
        <w:rPr>
          <w:rFonts w:ascii="Times New Roman" w:hAnsi="Times New Roman" w:cs="Times New Roman"/>
          <w:sz w:val="24"/>
          <w:szCs w:val="24"/>
        </w:rPr>
        <w:t>a importância em decidir previamente questões relacionadas ao planejamento financeiro para a aposentadoria se faz porque cerca “71% dos aposentados dizem que suas despesas são as mesmas ou até maiores do que antes. [Além disso] dados de pesquisas apontam que o padrão de gastos após a aposentadoria aumenta para 110% a 115% daqueles observados no final da vida ativa” (BRASIL, 2015, p. 33-34).</w:t>
      </w:r>
    </w:p>
    <w:p w:rsidR="00CF2240" w:rsidRPr="00CF2240" w:rsidRDefault="005F1891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ao considerar </w:t>
      </w:r>
      <w:r w:rsidR="00CF2240" w:rsidRPr="00CF2240">
        <w:rPr>
          <w:rFonts w:ascii="Times New Roman" w:hAnsi="Times New Roman" w:cs="Times New Roman"/>
          <w:sz w:val="24"/>
          <w:szCs w:val="24"/>
        </w:rPr>
        <w:t xml:space="preserve">as diversas diretrizes a respeito da Matemática, </w:t>
      </w:r>
      <w:r>
        <w:rPr>
          <w:rFonts w:ascii="Times New Roman" w:hAnsi="Times New Roman" w:cs="Times New Roman"/>
          <w:sz w:val="24"/>
          <w:szCs w:val="24"/>
        </w:rPr>
        <w:t xml:space="preserve">depreende-se delas </w:t>
      </w:r>
      <w:r w:rsidR="00CF2240" w:rsidRPr="00CF2240">
        <w:rPr>
          <w:rFonts w:ascii="Times New Roman" w:hAnsi="Times New Roman" w:cs="Times New Roman"/>
          <w:sz w:val="24"/>
          <w:szCs w:val="24"/>
        </w:rPr>
        <w:t>a preocupação com um preparo escolar que torne o educando apto para atuar nas diferentes esferas da vida, isto é, que ao longo do Ensino Médio o sujeito se equipe de instrumentos que lhe darão base para a resolução de problemas na vida adulta (GODOY, 2002). Entretanto, quando tratamos dos conteúdos da Matemática Financeira, percebe-se que tal intenção não é alcançada, pois os alunos não conseguem relacionar o conteúdo matemático à sua realidade e tampouco são capazes de utilizar o que aprenderam nas aulas de Matemática em situações diversas de seu dia a dia. Nesse sentido, entre as maiores dificuldades encontradas no ensino da Matemática Financeira, em relação ao dia a dia do estudante, está a ausência da abordagem sobre o tema da Previdência Social na sala de aula do Ensino Médio (HERMÍNIO, 2008).</w:t>
      </w:r>
    </w:p>
    <w:p w:rsidR="00CF2240" w:rsidRDefault="00CF2240" w:rsidP="00CF2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240">
        <w:rPr>
          <w:rFonts w:ascii="Times New Roman" w:hAnsi="Times New Roman" w:cs="Times New Roman"/>
          <w:sz w:val="24"/>
          <w:szCs w:val="24"/>
        </w:rPr>
        <w:t>É necessário que o professor, conhecendo a necessidade de superar tal dificuldade, inclua a abordagem dessa temática em sua prática pedagógica. E para isso os caminhos são diversos. Pode-se explorar quais são as ferramentas necessárias para o planejamento financeiro da aposentadoria. Pode-se discutir e/ou calcular o que é preciso considerar no desenvolvimento desse planejamento – como, por exemplo, a idade provável de aposentadoria; o valor que se deseja acumular para, mensalmente, dispor de uma renda para usufruir; qual deverá ser o aporte mensal para o alcance de determinada meta financeira; qual(</w:t>
      </w:r>
      <w:proofErr w:type="spellStart"/>
      <w:r w:rsidRPr="00CF22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2240">
        <w:rPr>
          <w:rFonts w:ascii="Times New Roman" w:hAnsi="Times New Roman" w:cs="Times New Roman"/>
          <w:sz w:val="24"/>
          <w:szCs w:val="24"/>
        </w:rPr>
        <w:t>) estratégia(s) de investimento (ações, alugueis, previdência privada, etc.) adotar; o impacto da inflação; entre outros – por meio do que o saber da Matemática Financeira proporciona. Por fim, pode-se explorar diferentes metodologias de ensino, além do tradicional, de modo a proporcionar aos alunos um aprendizado mais significativo.</w:t>
      </w:r>
    </w:p>
    <w:p w:rsidR="005F1891" w:rsidRDefault="005F1891" w:rsidP="005F1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4A8" w:rsidRDefault="00B214A8" w:rsidP="005F1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4A8" w:rsidRDefault="00B214A8" w:rsidP="005F1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91" w:rsidRPr="00B214A8" w:rsidRDefault="005F1891" w:rsidP="005F18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A8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BRASIL. Ministério da Economia. Secretaria da Previdência. </w:t>
      </w:r>
      <w:r w:rsidRPr="00B214A8">
        <w:rPr>
          <w:rFonts w:ascii="Times New Roman" w:hAnsi="Times New Roman" w:cs="Times New Roman"/>
          <w:b/>
          <w:sz w:val="24"/>
          <w:szCs w:val="24"/>
        </w:rPr>
        <w:t>Portaria oficializa reajuste de 4,48% para benefícios acima do mínimo em 2020</w:t>
      </w:r>
      <w:r w:rsidRPr="00B214A8">
        <w:rPr>
          <w:rFonts w:ascii="Times New Roman" w:hAnsi="Times New Roman" w:cs="Times New Roman"/>
          <w:sz w:val="24"/>
          <w:szCs w:val="24"/>
        </w:rPr>
        <w:t>. Brasília: 2020. Disponível: https://bit.ly/2tHN7n9. Acesso em: 20 jan. 2020.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______. Ministério da Fazenda. </w:t>
      </w:r>
      <w:r w:rsidRPr="00B214A8">
        <w:rPr>
          <w:rFonts w:ascii="Times New Roman" w:hAnsi="Times New Roman" w:cs="Times New Roman"/>
          <w:b/>
          <w:sz w:val="24"/>
          <w:szCs w:val="24"/>
        </w:rPr>
        <w:t>Informe da Previdência Social</w:t>
      </w:r>
      <w:r w:rsidRPr="00B214A8">
        <w:rPr>
          <w:rFonts w:ascii="Times New Roman" w:hAnsi="Times New Roman" w:cs="Times New Roman"/>
          <w:sz w:val="24"/>
          <w:szCs w:val="24"/>
        </w:rPr>
        <w:t>. v.30. n.6. Brasília: 2018. Disponível em: https://bit.ly/2FABS1R.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______. Ministério da Fazenda. </w:t>
      </w:r>
      <w:r w:rsidRPr="00B214A8">
        <w:rPr>
          <w:rFonts w:ascii="Times New Roman" w:hAnsi="Times New Roman" w:cs="Times New Roman"/>
          <w:b/>
          <w:sz w:val="24"/>
          <w:szCs w:val="24"/>
        </w:rPr>
        <w:t>Congresso promulga Nova Previdência</w:t>
      </w:r>
      <w:r w:rsidRPr="00B214A8">
        <w:rPr>
          <w:rFonts w:ascii="Times New Roman" w:hAnsi="Times New Roman" w:cs="Times New Roman"/>
          <w:sz w:val="24"/>
          <w:szCs w:val="24"/>
        </w:rPr>
        <w:t>: confira principais mudanças. Brasília: 2019. Disponível em: https://bit.ly/365Via6.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AMARO, L. C.; AFONSO, L. E. Quais são os efeitos do envelhecimento populacional nos sistemas previdenciários de Brasil, Espanha e França? </w:t>
      </w:r>
      <w:r w:rsidRPr="00B214A8">
        <w:rPr>
          <w:rFonts w:ascii="Times New Roman" w:hAnsi="Times New Roman" w:cs="Times New Roman"/>
          <w:b/>
          <w:sz w:val="24"/>
          <w:szCs w:val="24"/>
        </w:rPr>
        <w:t>Revista Brasileira Estatística Populacional</w:t>
      </w:r>
      <w:r w:rsidRPr="00B214A8">
        <w:rPr>
          <w:rFonts w:ascii="Times New Roman" w:hAnsi="Times New Roman" w:cs="Times New Roman"/>
          <w:sz w:val="24"/>
          <w:szCs w:val="24"/>
        </w:rPr>
        <w:t>, Belo Horizonte, v. 35, n. 2, p. 1-29, 2018.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______. Senado Federal. </w:t>
      </w:r>
      <w:r w:rsidRPr="00B214A8">
        <w:rPr>
          <w:rFonts w:ascii="Times New Roman" w:hAnsi="Times New Roman" w:cs="Times New Roman"/>
          <w:b/>
          <w:sz w:val="24"/>
          <w:szCs w:val="24"/>
        </w:rPr>
        <w:t>Programa de Preparação para a Aposentadoria</w:t>
      </w:r>
      <w:r w:rsidRPr="00B214A8">
        <w:rPr>
          <w:rFonts w:ascii="Times New Roman" w:hAnsi="Times New Roman" w:cs="Times New Roman"/>
          <w:sz w:val="24"/>
          <w:szCs w:val="24"/>
        </w:rPr>
        <w:t>: caminhos para a aposentadoria. Brasília: 2015.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4A8">
        <w:rPr>
          <w:rFonts w:ascii="Times New Roman" w:eastAsia="Times New Roman" w:hAnsi="Times New Roman" w:cs="Times New Roman"/>
          <w:sz w:val="24"/>
          <w:szCs w:val="24"/>
        </w:rPr>
        <w:t xml:space="preserve">CERBASI, G. </w:t>
      </w:r>
      <w:r w:rsidRPr="00B214A8">
        <w:rPr>
          <w:rFonts w:ascii="Times New Roman" w:eastAsia="Times New Roman" w:hAnsi="Times New Roman" w:cs="Times New Roman"/>
          <w:b/>
          <w:sz w:val="24"/>
          <w:szCs w:val="24"/>
        </w:rPr>
        <w:t>Adeus, aposentadoria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 xml:space="preserve">: como garantir seu futuro sem depender dos outros. </w:t>
      </w:r>
      <w:r w:rsidRPr="00B214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Rio de Janeiro: </w:t>
      </w:r>
      <w:proofErr w:type="spellStart"/>
      <w:r w:rsidRPr="00B214A8">
        <w:rPr>
          <w:rFonts w:ascii="Times New Roman" w:eastAsia="Times New Roman" w:hAnsi="Times New Roman" w:cs="Times New Roman"/>
          <w:sz w:val="24"/>
          <w:szCs w:val="24"/>
          <w:lang w:val="en-US"/>
        </w:rPr>
        <w:t>Sextante</w:t>
      </w:r>
      <w:proofErr w:type="spellEnd"/>
      <w:r w:rsidRPr="00B214A8">
        <w:rPr>
          <w:rFonts w:ascii="Times New Roman" w:eastAsia="Times New Roman" w:hAnsi="Times New Roman" w:cs="Times New Roman"/>
          <w:sz w:val="24"/>
          <w:szCs w:val="24"/>
          <w:lang w:val="en-US"/>
        </w:rPr>
        <w:t>, 2014.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  <w:lang w:val="en-US"/>
        </w:rPr>
        <w:t xml:space="preserve">DIAMOND, A. Want to Optimize Executive Functions and Academic Outcomes? Simple, just nourish the human spirit. In: ZELAZO, P. D.; SERA, M. D. (Org.). </w:t>
      </w:r>
      <w:r w:rsidRPr="00B214A8">
        <w:rPr>
          <w:rFonts w:ascii="Times New Roman" w:hAnsi="Times New Roman" w:cs="Times New Roman"/>
          <w:b/>
          <w:sz w:val="24"/>
          <w:szCs w:val="24"/>
          <w:lang w:val="en-US"/>
        </w:rPr>
        <w:t>Minnesota Symposia on Child Psychology</w:t>
      </w:r>
      <w:r w:rsidRPr="00B214A8">
        <w:rPr>
          <w:rFonts w:ascii="Times New Roman" w:hAnsi="Times New Roman" w:cs="Times New Roman"/>
          <w:sz w:val="24"/>
          <w:szCs w:val="24"/>
          <w:lang w:val="en-US"/>
        </w:rPr>
        <w:t xml:space="preserve">: developing cognitive control processes – mechanisms, implications and interventions. </w:t>
      </w:r>
      <w:proofErr w:type="spellStart"/>
      <w:r w:rsidRPr="00B214A8">
        <w:rPr>
          <w:rFonts w:ascii="Times New Roman" w:hAnsi="Times New Roman" w:cs="Times New Roman"/>
          <w:sz w:val="24"/>
          <w:szCs w:val="24"/>
        </w:rPr>
        <w:t>Hoboken</w:t>
      </w:r>
      <w:proofErr w:type="spellEnd"/>
      <w:r w:rsidRPr="00B214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14A8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B214A8">
        <w:rPr>
          <w:rFonts w:ascii="Times New Roman" w:hAnsi="Times New Roman" w:cs="Times New Roman"/>
          <w:sz w:val="24"/>
          <w:szCs w:val="24"/>
        </w:rPr>
        <w:t>, 2014, p. 205-230.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FAZIO, L. A Capitalização e o Regime Geral da Previdência Social: elementos de análise. </w:t>
      </w:r>
      <w:r w:rsidRPr="00B214A8">
        <w:rPr>
          <w:rFonts w:ascii="Times New Roman" w:hAnsi="Times New Roman" w:cs="Times New Roman"/>
          <w:b/>
          <w:sz w:val="24"/>
          <w:szCs w:val="24"/>
        </w:rPr>
        <w:t>Departamento Intersindical de Assessoria Parlamentar</w:t>
      </w:r>
      <w:r w:rsidRPr="00B214A8">
        <w:rPr>
          <w:rFonts w:ascii="Times New Roman" w:hAnsi="Times New Roman" w:cs="Times New Roman"/>
          <w:sz w:val="24"/>
          <w:szCs w:val="24"/>
        </w:rPr>
        <w:t>, Brasília, 07 jan. 2019.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eastAsia="Times New Roman" w:hAnsi="Times New Roman" w:cs="Times New Roman"/>
          <w:sz w:val="24"/>
          <w:szCs w:val="24"/>
        </w:rPr>
        <w:t xml:space="preserve">GODOY, E. V. </w:t>
      </w:r>
      <w:r w:rsidRPr="00B214A8">
        <w:rPr>
          <w:rFonts w:ascii="Times New Roman" w:eastAsia="Times New Roman" w:hAnsi="Times New Roman" w:cs="Times New Roman"/>
          <w:b/>
          <w:sz w:val="24"/>
          <w:szCs w:val="24"/>
        </w:rPr>
        <w:t>Matemática no Ensino Médio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>: prescrições das propostas curriculares e concepções dos professores. 2002. Dissertação (Mestrado em Educação Matemática) – Pontifícia Universidade Católica de São Paulo, São Paulo, 2002.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eastAsia="Times New Roman" w:hAnsi="Times New Roman" w:cs="Times New Roman"/>
          <w:sz w:val="24"/>
          <w:szCs w:val="24"/>
        </w:rPr>
        <w:t xml:space="preserve">HERMÍNIO, P. H. </w:t>
      </w:r>
      <w:r w:rsidRPr="00B214A8">
        <w:rPr>
          <w:rFonts w:ascii="Times New Roman" w:eastAsia="Times New Roman" w:hAnsi="Times New Roman" w:cs="Times New Roman"/>
          <w:b/>
          <w:sz w:val="24"/>
          <w:szCs w:val="24"/>
        </w:rPr>
        <w:t>Matemática Financeira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>: um enfoque da resolução de problemas como metodologia de ensino e aprendizagem. 2008. Dissertação (Mestrado em Educação Matemática) – Universidade Estadual Paulista, Rio Claro, 2008.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 xml:space="preserve">IBGE. </w:t>
      </w:r>
      <w:r w:rsidRPr="00B214A8">
        <w:rPr>
          <w:rFonts w:ascii="Times New Roman" w:hAnsi="Times New Roman" w:cs="Times New Roman"/>
          <w:b/>
          <w:sz w:val="24"/>
          <w:szCs w:val="24"/>
        </w:rPr>
        <w:t>Projeção da População 2018</w:t>
      </w:r>
      <w:r w:rsidRPr="00B214A8">
        <w:rPr>
          <w:rFonts w:ascii="Times New Roman" w:hAnsi="Times New Roman" w:cs="Times New Roman"/>
          <w:sz w:val="24"/>
          <w:szCs w:val="24"/>
        </w:rPr>
        <w:t>: número de habitantes do país deve parar de crescer em 2047. Brasília: 2018. Disponível em: https://bit.ly/2NtDmBG.</w:t>
      </w:r>
    </w:p>
    <w:p w:rsidR="005F1891" w:rsidRPr="00B214A8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214A8">
        <w:rPr>
          <w:rFonts w:ascii="Times New Roman" w:hAnsi="Times New Roman" w:cs="Times New Roman"/>
          <w:sz w:val="24"/>
          <w:szCs w:val="24"/>
        </w:rPr>
        <w:t>______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214A8">
        <w:rPr>
          <w:rFonts w:ascii="Times New Roman" w:eastAsia="Times New Roman" w:hAnsi="Times New Roman" w:cs="Times New Roman"/>
          <w:b/>
          <w:sz w:val="24"/>
          <w:szCs w:val="24"/>
        </w:rPr>
        <w:t>Síntese de Indicadores Sociais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>: uma análise das condições de vida da população brasileira. Rio de Janeiro, 2016.</w:t>
      </w:r>
    </w:p>
    <w:p w:rsidR="005F1891" w:rsidRPr="005F1891" w:rsidRDefault="005F1891" w:rsidP="00B214A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B214A8">
        <w:rPr>
          <w:rFonts w:ascii="Times New Roman" w:hAnsi="Times New Roman" w:cs="Times New Roman"/>
          <w:sz w:val="24"/>
          <w:szCs w:val="24"/>
        </w:rPr>
        <w:t>______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214A8">
        <w:rPr>
          <w:rFonts w:ascii="Times New Roman" w:eastAsia="Times New Roman" w:hAnsi="Times New Roman" w:cs="Times New Roman"/>
          <w:b/>
          <w:sz w:val="24"/>
          <w:szCs w:val="24"/>
        </w:rPr>
        <w:t>Projeção da população por sexo e idades</w:t>
      </w:r>
      <w:r w:rsidRPr="00B214A8">
        <w:rPr>
          <w:rFonts w:ascii="Times New Roman" w:eastAsia="Times New Roman" w:hAnsi="Times New Roman" w:cs="Times New Roman"/>
          <w:sz w:val="24"/>
          <w:szCs w:val="24"/>
        </w:rPr>
        <w:t>: Brasil 2000-2060, Unidades da Federação 2000-2030. Rio de Janeiro, 2013.</w:t>
      </w:r>
    </w:p>
    <w:sectPr w:rsidR="005F1891" w:rsidRPr="005F1891" w:rsidSect="00CB746C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874" w:rsidRDefault="00703874" w:rsidP="00CB746C">
      <w:pPr>
        <w:spacing w:after="0" w:line="240" w:lineRule="auto"/>
      </w:pPr>
      <w:r>
        <w:separator/>
      </w:r>
    </w:p>
  </w:endnote>
  <w:endnote w:type="continuationSeparator" w:id="0">
    <w:p w:rsidR="00703874" w:rsidRDefault="00703874" w:rsidP="00C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A8" w:rsidRPr="00694DF8" w:rsidRDefault="00B214A8" w:rsidP="00B214A8">
    <w:pPr>
      <w:pStyle w:val="Rodap"/>
      <w:jc w:val="center"/>
      <w:rPr>
        <w:rFonts w:ascii="Times New Roman" w:hAnsi="Times New Roman" w:cs="Times New Roman"/>
        <w:sz w:val="18"/>
        <w:szCs w:val="18"/>
      </w:rPr>
    </w:pPr>
    <w:bookmarkStart w:id="3" w:name="_Hlk30622294"/>
    <w:r w:rsidRPr="00694DF8">
      <w:rPr>
        <w:rFonts w:ascii="Times New Roman" w:hAnsi="Times New Roman" w:cs="Times New Roman"/>
        <w:sz w:val="18"/>
        <w:szCs w:val="18"/>
      </w:rPr>
      <w:t>Funções Executivas e a Matemática Financeira: planejamento para a aposentadoria</w:t>
    </w:r>
  </w:p>
  <w:p w:rsidR="00B214A8" w:rsidRDefault="00B214A8" w:rsidP="00B214A8">
    <w:pPr>
      <w:pStyle w:val="Rodap"/>
      <w:jc w:val="center"/>
    </w:pPr>
    <w:r w:rsidRPr="00694DF8">
      <w:rPr>
        <w:rFonts w:ascii="Times New Roman" w:hAnsi="Times New Roman" w:cs="Times New Roman"/>
        <w:sz w:val="18"/>
        <w:szCs w:val="18"/>
      </w:rPr>
      <w:t xml:space="preserve">Bloco 1 – Atividade </w:t>
    </w:r>
    <w:bookmarkEnd w:id="3"/>
    <w:r>
      <w:rPr>
        <w:rFonts w:ascii="Times New Roman" w:hAnsi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874" w:rsidRDefault="00703874" w:rsidP="00CB746C">
      <w:pPr>
        <w:spacing w:after="0" w:line="240" w:lineRule="auto"/>
      </w:pPr>
      <w:r>
        <w:separator/>
      </w:r>
    </w:p>
  </w:footnote>
  <w:footnote w:type="continuationSeparator" w:id="0">
    <w:p w:rsidR="00703874" w:rsidRDefault="00703874" w:rsidP="00C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015"/>
    </w:tblGrid>
    <w:tr w:rsidR="00B214A8" w:rsidTr="00753610">
      <w:trPr>
        <w:jc w:val="center"/>
      </w:trPr>
      <w:tc>
        <w:tcPr>
          <w:tcW w:w="2046" w:type="dxa"/>
          <w:vAlign w:val="center"/>
        </w:tcPr>
        <w:p w:rsidR="00B214A8" w:rsidRPr="00694DF8" w:rsidRDefault="00B214A8" w:rsidP="00753610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1671901C" wp14:editId="1DB22E75">
                <wp:extent cx="1157820" cy="373102"/>
                <wp:effectExtent l="0" t="0" r="4445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00" cy="37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center"/>
        </w:tcPr>
        <w:p w:rsidR="00B214A8" w:rsidRPr="00694DF8" w:rsidRDefault="00B214A8" w:rsidP="00753610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Universidade do Estado de Santa Catarina – UDESC </w:t>
          </w:r>
        </w:p>
        <w:p w:rsidR="00B214A8" w:rsidRPr="00694DF8" w:rsidRDefault="00B214A8" w:rsidP="00753610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Centro de Ciências Tecnológicas – CCT </w:t>
          </w:r>
        </w:p>
        <w:p w:rsidR="00B214A8" w:rsidRPr="00753610" w:rsidRDefault="00B214A8" w:rsidP="00753610">
          <w:pPr>
            <w:pStyle w:val="Cabealho"/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>Programa de Pós-Graduação em Ensino de Ciências, Matemática e Tecnologias – PPGECMT</w:t>
          </w:r>
        </w:p>
      </w:tc>
    </w:tr>
  </w:tbl>
  <w:p w:rsidR="00B214A8" w:rsidRPr="00B214A8" w:rsidRDefault="00B214A8" w:rsidP="00B214A8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3F01"/>
    <w:multiLevelType w:val="hybridMultilevel"/>
    <w:tmpl w:val="8B4ED796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706B6"/>
    <w:multiLevelType w:val="hybridMultilevel"/>
    <w:tmpl w:val="3168BC90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C"/>
    <w:rsid w:val="001D768E"/>
    <w:rsid w:val="002B3406"/>
    <w:rsid w:val="005D432A"/>
    <w:rsid w:val="005F1891"/>
    <w:rsid w:val="006657AF"/>
    <w:rsid w:val="00703874"/>
    <w:rsid w:val="00753610"/>
    <w:rsid w:val="009A7B9C"/>
    <w:rsid w:val="00A22282"/>
    <w:rsid w:val="00B214A8"/>
    <w:rsid w:val="00C84C2A"/>
    <w:rsid w:val="00CB746C"/>
    <w:rsid w:val="00CF2240"/>
    <w:rsid w:val="00DF318A"/>
    <w:rsid w:val="00E6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90E95"/>
  <w15:chartTrackingRefBased/>
  <w15:docId w15:val="{6144E8EB-D7CB-4CCB-AC02-33AB552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46C"/>
  </w:style>
  <w:style w:type="paragraph" w:styleId="Rodap">
    <w:name w:val="footer"/>
    <w:basedOn w:val="Normal"/>
    <w:link w:val="Rodap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46C"/>
  </w:style>
  <w:style w:type="paragraph" w:styleId="Textodebalo">
    <w:name w:val="Balloon Text"/>
    <w:basedOn w:val="Normal"/>
    <w:link w:val="TextodebaloChar"/>
    <w:uiPriority w:val="99"/>
    <w:semiHidden/>
    <w:unhideWhenUsed/>
    <w:rsid w:val="00CB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4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4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B9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F224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1511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SILVA DE ANDRADE DIAS</dc:creator>
  <cp:keywords/>
  <dc:description/>
  <cp:lastModifiedBy>LORENA SILVA DE ANDRADE DIAS</cp:lastModifiedBy>
  <cp:revision>5</cp:revision>
  <dcterms:created xsi:type="dcterms:W3CDTF">2020-01-22T23:53:00Z</dcterms:created>
  <dcterms:modified xsi:type="dcterms:W3CDTF">2020-01-23T01:15:00Z</dcterms:modified>
</cp:coreProperties>
</file>