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EM LICENCIATURA EM MATEMÁTICA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GEOMÉTRICO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GPE0001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PLANA E ESPACIAL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ITN0001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TEORIA DOS NÚMEROS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LBS0001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LMT0001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LÓGICA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MBA0001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MATEMÁTICA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DIDÁTICA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LEM1001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LAB. DE ENSINO DE MATEMÁTICA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DE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HMT0001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HISTÓRIA DA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LEM2001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LAB. DE ENSINO DE MATEMÁTICA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PSICOLOGIA DA EDUCAÇÃO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CVE0003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CUR.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LEGISLAÇÃO EDUCACIONAL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LEM3001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LAB. DE ENSINO DE MATEMÁTICA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CUR.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LEM4001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LAB. DE ENSINO DE MATEMÁTICA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MATEMÁTICA FINANCEIRA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AGB0001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FVC0001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VARIÁVEIS COMPLEXAS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PRÁTICA DE ENSINO DE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ARE0001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ANÁLISE REAL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270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CUR.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162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OALI001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EM 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OANU001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ANÁLISE NUMÉRICA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ODIM001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DIDÁTICA DA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OEDP001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EQUAÇÕES DIFERENCIAIS PARCIAIS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OLBS001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ONOS001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NOÇÕES DE SOCIOLOGIA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TGR0002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TRABALHO DE GRADUAÇÃO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Application>LibreOffice/24.8.3.2$Linux_X86_64 LibreOffice_project/e14c9fdd1f585efcbb2c5363087a99d20928d522</Application>
  <AppVersion>15.0000</AppVersion>
  <Pages>6</Pages>
  <Words>751</Words>
  <Characters>4172</Characters>
  <CharactersWithSpaces>4670</CharactersWithSpaces>
  <Paragraphs>248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2021-02-09T23:44:00Z</dcterms:created>
  <dc:creator>MARCIO METZNER</dc:creator>
  <dc:description/>
  <dc:language>pt-BR</dc:language>
  <cp:lastModifiedBy/>
  <dcterms:modified xsi:type="dcterms:W3CDTF">2024-12-03T11:27:41Z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