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CF3" w14:textId="77777777" w:rsidR="00655A77" w:rsidRDefault="00655A7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3D95848" w14:textId="77777777" w:rsidR="00655A77" w:rsidRDefault="005F75F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ANÁLISE DE RISCOS</w:t>
      </w:r>
    </w:p>
    <w:p w14:paraId="541CB279" w14:textId="5E414ED8" w:rsidR="00655A77" w:rsidRDefault="005F75F7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Processo </w:t>
      </w:r>
      <w:r w:rsidR="00B67ADD">
        <w:rPr>
          <w:rFonts w:ascii="Arial" w:eastAsia="Arial" w:hAnsi="Arial" w:cs="Arial"/>
          <w:sz w:val="22"/>
          <w:szCs w:val="22"/>
        </w:rPr>
        <w:t xml:space="preserve">UDESC </w:t>
      </w:r>
      <w:r w:rsidR="0031725F">
        <w:rPr>
          <w:rFonts w:ascii="Arial" w:eastAsia="Arial" w:hAnsi="Arial" w:cs="Arial"/>
          <w:sz w:val="22"/>
          <w:szCs w:val="22"/>
        </w:rPr>
        <w:t>xxxxxxx</w:t>
      </w:r>
      <w:r w:rsidR="00B67ADD" w:rsidRPr="00B67ADD">
        <w:rPr>
          <w:rFonts w:ascii="Arial" w:eastAsia="Arial" w:hAnsi="Arial" w:cs="Arial"/>
          <w:sz w:val="22"/>
          <w:szCs w:val="22"/>
        </w:rPr>
        <w:t>/202</w:t>
      </w:r>
      <w:r w:rsidR="0031725F">
        <w:rPr>
          <w:rFonts w:ascii="Arial" w:eastAsia="Arial" w:hAnsi="Arial" w:cs="Arial"/>
          <w:sz w:val="22"/>
          <w:szCs w:val="22"/>
        </w:rPr>
        <w:t>5</w:t>
      </w:r>
    </w:p>
    <w:p w14:paraId="6BF7B082" w14:textId="77777777" w:rsidR="00655A77" w:rsidRDefault="00655A77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83B624A" w14:textId="77777777" w:rsidR="00655A77" w:rsidRDefault="00655A77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9367C7C" w14:textId="77777777" w:rsidR="00655A77" w:rsidRDefault="005F75F7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A presente análise de riscos foi elaborada com o objetivo de identificar eventos que possam comprometer o sucesso da licitação e a boa execução contratual do objeto em questão.</w:t>
      </w:r>
    </w:p>
    <w:p w14:paraId="7A528573" w14:textId="77777777" w:rsidR="00655A77" w:rsidRDefault="005F75F7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O mapa de risco apresentado a seguir consiste na materialização da análise dos riscos, que consiste no processo de identificação, análise e avaliação dos riscos.</w:t>
      </w:r>
    </w:p>
    <w:p w14:paraId="4AD675E7" w14:textId="77777777" w:rsidR="00655A77" w:rsidRDefault="005F75F7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O processo de identificação de riscos considerou o contexto do objeto e o mapeamento de riscos do Referencial de Prevenção à Fraude e Desvios nas Contratações Públicas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sz w:val="22"/>
          <w:szCs w:val="22"/>
        </w:rPr>
        <w:t>.</w:t>
      </w:r>
    </w:p>
    <w:p w14:paraId="2075F2C4" w14:textId="77777777" w:rsidR="00655A77" w:rsidRDefault="005F75F7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O processo de análise de riscos utilizou a classificação de nível de risco e a matriz de riscos apresentada no Roteiro de Avaliação de Maturidade da Gestão de Riscos do Tribunal de Contas da União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>.</w:t>
      </w:r>
    </w:p>
    <w:p w14:paraId="67EF067E" w14:textId="77777777" w:rsidR="00655A77" w:rsidRDefault="005F75F7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O processo de avaliação de riscos buscou determinar as medidas preventivas e mitigatórias para os riscos identificados, bem como atribuir responsabilidades. As ações propostas foram apoiadas no Referencial de Prevenção à Fraude e Desvios nas Contratações Públicas, mencionado anteriormente. </w:t>
      </w:r>
    </w:p>
    <w:p w14:paraId="57D8FFF1" w14:textId="77777777" w:rsidR="00655A77" w:rsidRDefault="005F75F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99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3"/>
      </w:tblGrid>
      <w:tr w:rsidR="00655A77" w14:paraId="5C58BF0F" w14:textId="77777777">
        <w:tc>
          <w:tcPr>
            <w:tcW w:w="997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972B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Definições:</w:t>
            </w:r>
          </w:p>
          <w:p w14:paraId="2EB72590" w14:textId="77777777" w:rsidR="00655A77" w:rsidRDefault="00655A7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328D017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a. risco: </w:t>
            </w:r>
            <w:r>
              <w:rPr>
                <w:rFonts w:ascii="Arial" w:eastAsia="Arial" w:hAnsi="Arial" w:cs="Arial"/>
                <w:sz w:val="22"/>
                <w:szCs w:val="22"/>
              </w:rPr>
              <w:t>possibilidade de ocorrência de um evento que tenha impacto nos objetivos.</w:t>
            </w:r>
          </w:p>
          <w:p w14:paraId="0FC3E6D6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b. análise de riscos: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processo de compreender a natureza do risco e determinar o nível de risco.</w:t>
            </w:r>
          </w:p>
          <w:p w14:paraId="697B6978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c. probabilidade: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chance de algo acontecer.</w:t>
            </w:r>
          </w:p>
          <w:p w14:paraId="3E8A169B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d. impacto: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resultado de um evento que afeta os objetivos.</w:t>
            </w:r>
          </w:p>
          <w:p w14:paraId="5292155E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e. nível de risco: </w:t>
            </w:r>
            <w:r>
              <w:rPr>
                <w:rFonts w:ascii="Arial" w:eastAsia="Arial" w:hAnsi="Arial" w:cs="Arial"/>
                <w:sz w:val="22"/>
                <w:szCs w:val="22"/>
              </w:rPr>
              <w:t>magnitude de um risco, expressa em termos da combinação do impacto e de sua probabilidade.’</w:t>
            </w:r>
          </w:p>
          <w:p w14:paraId="494AA7EA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f. medidas preventivas: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ações sobre as possíveis causas do risco, com o objetivo de prevenir a sua ocorrência.</w:t>
            </w:r>
          </w:p>
          <w:p w14:paraId="5018A402" w14:textId="77777777" w:rsidR="00655A77" w:rsidRDefault="005F75F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g. medidas mitigatórias: </w:t>
            </w:r>
            <w:r>
              <w:rPr>
                <w:rFonts w:ascii="Arial" w:eastAsia="Arial" w:hAnsi="Arial" w:cs="Arial"/>
                <w:sz w:val="22"/>
                <w:szCs w:val="22"/>
              </w:rPr>
              <w:t>ações para reduzir o impacto ou a probabilidade de o risco acontecer.</w:t>
            </w:r>
          </w:p>
        </w:tc>
      </w:tr>
    </w:tbl>
    <w:p w14:paraId="53A69696" w14:textId="77777777" w:rsidR="00655A77" w:rsidRDefault="00655A77">
      <w:pPr>
        <w:spacing w:after="20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8EBE729" w14:textId="77777777" w:rsidR="00655A77" w:rsidRDefault="005F75F7">
      <w:pPr>
        <w:spacing w:after="20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acordo com o Artigo 24 do Decreto nº 47, de 09 de março de 2023, se novos riscos forem identificados nas etapas subsequentes, é necessário atualizar essa análise antes da publicação do edital.</w:t>
      </w:r>
    </w:p>
    <w:p w14:paraId="4D0FF499" w14:textId="77777777" w:rsidR="00655A77" w:rsidRDefault="00655A77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78277037" w14:textId="436A9943" w:rsidR="00655A77" w:rsidRPr="00B67ADD" w:rsidRDefault="0031725F">
      <w:pPr>
        <w:spacing w:line="276" w:lineRule="auto"/>
        <w:ind w:firstLine="7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Professor/ Servidor</w:t>
      </w:r>
    </w:p>
    <w:p w14:paraId="1C08D7A2" w14:textId="5A7B286C" w:rsidR="00655A77" w:rsidRDefault="0031725F">
      <w:pPr>
        <w:spacing w:line="276" w:lineRule="auto"/>
        <w:ind w:firstLine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</w:t>
      </w:r>
    </w:p>
    <w:p w14:paraId="1A4519D3" w14:textId="77777777" w:rsidR="00655A77" w:rsidRDefault="005F75F7">
      <w:pPr>
        <w:spacing w:line="276" w:lineRule="auto"/>
        <w:ind w:firstLine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(assinado digitalmente)</w:t>
      </w:r>
    </w:p>
    <w:p w14:paraId="67FC816D" w14:textId="77777777" w:rsidR="00655A77" w:rsidRDefault="00655A77">
      <w:pPr>
        <w:spacing w:after="200" w:line="276" w:lineRule="auto"/>
        <w:ind w:firstLine="720"/>
        <w:jc w:val="center"/>
        <w:rPr>
          <w:rFonts w:ascii="Arial" w:eastAsia="Arial" w:hAnsi="Arial" w:cs="Arial"/>
          <w:sz w:val="22"/>
          <w:szCs w:val="22"/>
        </w:rPr>
      </w:pPr>
    </w:p>
    <w:p w14:paraId="5CFE2144" w14:textId="77777777" w:rsidR="00655A77" w:rsidRDefault="00655A77">
      <w:pPr>
        <w:spacing w:after="20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1C4F1269" w14:textId="77777777" w:rsidR="00655A77" w:rsidRDefault="00655A7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2081FE6B" w14:textId="77777777" w:rsidR="00655A77" w:rsidRDefault="00655A7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60A1228" w14:textId="77777777" w:rsidR="00655A77" w:rsidRDefault="00655A7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B6766B7" w14:textId="77777777" w:rsidR="00655A77" w:rsidRDefault="00655A77">
      <w:pPr>
        <w:spacing w:line="276" w:lineRule="auto"/>
        <w:rPr>
          <w:rFonts w:ascii="Arial" w:eastAsia="Arial" w:hAnsi="Arial" w:cs="Arial"/>
          <w:sz w:val="22"/>
          <w:szCs w:val="22"/>
        </w:rPr>
        <w:sectPr w:rsidR="00655A77">
          <w:headerReference w:type="default" r:id="rId7"/>
          <w:pgSz w:w="12240" w:h="20160"/>
          <w:pgMar w:top="1134" w:right="850" w:bottom="1417" w:left="1417" w:header="283" w:footer="0" w:gutter="0"/>
          <w:pgNumType w:start="1"/>
          <w:cols w:space="720"/>
        </w:sectPr>
      </w:pPr>
    </w:p>
    <w:p w14:paraId="08DC60B0" w14:textId="77777777" w:rsidR="00655A77" w:rsidRDefault="00655A77">
      <w:pPr>
        <w:ind w:left="4819"/>
        <w:jc w:val="both"/>
        <w:rPr>
          <w:rFonts w:ascii="Arial" w:eastAsia="Arial" w:hAnsi="Arial" w:cs="Arial"/>
          <w:sz w:val="22"/>
          <w:szCs w:val="22"/>
        </w:rPr>
      </w:pPr>
    </w:p>
    <w:p w14:paraId="0975EA20" w14:textId="77777777" w:rsidR="00655A77" w:rsidRDefault="005F75F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MAPA DE RISCOS</w:t>
      </w:r>
    </w:p>
    <w:p w14:paraId="0BA38B38" w14:textId="190C0262" w:rsidR="00655A77" w:rsidRDefault="005F75F7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Processo SGPe </w:t>
      </w:r>
      <w:r w:rsidR="00297DE7">
        <w:rPr>
          <w:rFonts w:ascii="Arial" w:eastAsia="Arial" w:hAnsi="Arial" w:cs="Arial"/>
          <w:sz w:val="22"/>
          <w:szCs w:val="22"/>
        </w:rPr>
        <w:t>xxxxx</w:t>
      </w:r>
      <w:r w:rsidRPr="00B67ADD">
        <w:rPr>
          <w:rFonts w:ascii="Arial" w:eastAsia="Arial" w:hAnsi="Arial" w:cs="Arial"/>
          <w:sz w:val="22"/>
          <w:szCs w:val="22"/>
        </w:rPr>
        <w:t>/202</w:t>
      </w:r>
      <w:r w:rsidR="00297DE7">
        <w:rPr>
          <w:rFonts w:ascii="Arial" w:eastAsia="Arial" w:hAnsi="Arial" w:cs="Arial"/>
          <w:sz w:val="22"/>
          <w:szCs w:val="22"/>
        </w:rPr>
        <w:t>5</w:t>
      </w:r>
    </w:p>
    <w:p w14:paraId="1C20A2A9" w14:textId="77777777" w:rsidR="00655A77" w:rsidRDefault="00655A77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B0CF387" w14:textId="77777777" w:rsidR="00655A77" w:rsidRDefault="005F75F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presente análise de riscos busca identificar os eventos que possam vir a comprometer o sucesso da licitação e da execução contratual da contratação em tela.</w:t>
      </w:r>
    </w:p>
    <w:p w14:paraId="2AE75C7C" w14:textId="77777777" w:rsidR="00655A77" w:rsidRDefault="00655A7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8D3BDBE" w14:textId="77777777" w:rsidR="00655A77" w:rsidRDefault="00655A7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7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85"/>
      </w:tblGrid>
      <w:tr w:rsidR="00655A77" w14:paraId="5A2318A3" w14:textId="77777777" w:rsidTr="005F75F7">
        <w:trPr>
          <w:trHeight w:val="360"/>
        </w:trPr>
        <w:tc>
          <w:tcPr>
            <w:tcW w:w="97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DA72" w14:textId="77777777" w:rsidR="00655A77" w:rsidRDefault="005F75F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I – OBJETO</w:t>
            </w:r>
          </w:p>
        </w:tc>
      </w:tr>
      <w:tr w:rsidR="00655A77" w14:paraId="15D4147C" w14:textId="77777777">
        <w:trPr>
          <w:trHeight w:val="360"/>
        </w:trPr>
        <w:tc>
          <w:tcPr>
            <w:tcW w:w="97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FB29" w14:textId="1040464F" w:rsidR="00655A77" w:rsidRDefault="008A2AC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A2AC8">
              <w:rPr>
                <w:rFonts w:ascii="Calibri" w:eastAsia="Calibri" w:hAnsi="Calibri" w:cs="Calibri"/>
                <w:sz w:val="22"/>
                <w:szCs w:val="22"/>
              </w:rPr>
              <w:t xml:space="preserve">Aquisição de material de limpeza, copa e produtos de higienização – toda UDESC.   </w:t>
            </w:r>
          </w:p>
        </w:tc>
      </w:tr>
    </w:tbl>
    <w:p w14:paraId="3FC2DC54" w14:textId="54A4E213" w:rsidR="00655A77" w:rsidRPr="001D22BA" w:rsidRDefault="005F75F7" w:rsidP="001D22B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FFFF"/>
          <w:sz w:val="22"/>
          <w:szCs w:val="22"/>
        </w:rPr>
        <w:t>I – OBJETO</w:t>
      </w:r>
    </w:p>
    <w:tbl>
      <w:tblPr>
        <w:tblStyle w:val="a1"/>
        <w:tblW w:w="97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85"/>
      </w:tblGrid>
      <w:tr w:rsidR="00655A77" w14:paraId="4CB8C5D5" w14:textId="77777777" w:rsidTr="005F75F7">
        <w:trPr>
          <w:trHeight w:val="360"/>
        </w:trPr>
        <w:tc>
          <w:tcPr>
            <w:tcW w:w="97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B6BF1" w14:textId="77777777" w:rsidR="00655A77" w:rsidRDefault="005F75F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II – ANÁLISE DE RISCOS</w:t>
            </w:r>
          </w:p>
        </w:tc>
      </w:tr>
    </w:tbl>
    <w:tbl>
      <w:tblPr>
        <w:tblStyle w:val="a2"/>
        <w:tblW w:w="177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1"/>
        <w:gridCol w:w="3510"/>
        <w:gridCol w:w="1545"/>
        <w:gridCol w:w="1575"/>
        <w:gridCol w:w="1740"/>
        <w:gridCol w:w="2932"/>
        <w:gridCol w:w="2932"/>
      </w:tblGrid>
      <w:tr w:rsidR="00655A77" w14:paraId="3436DE70" w14:textId="77777777" w:rsidTr="005F75F7">
        <w:tc>
          <w:tcPr>
            <w:tcW w:w="3511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4B8E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Risco</w:t>
            </w:r>
          </w:p>
        </w:tc>
        <w:tc>
          <w:tcPr>
            <w:tcW w:w="351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4EBE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Dano</w:t>
            </w:r>
          </w:p>
        </w:tc>
        <w:tc>
          <w:tcPr>
            <w:tcW w:w="1545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A5CA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Probabilidade</w:t>
            </w:r>
          </w:p>
        </w:tc>
        <w:tc>
          <w:tcPr>
            <w:tcW w:w="1575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1D43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Impacto</w:t>
            </w:r>
          </w:p>
        </w:tc>
        <w:tc>
          <w:tcPr>
            <w:tcW w:w="174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55E1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Nível de Risco</w:t>
            </w:r>
          </w:p>
        </w:tc>
        <w:tc>
          <w:tcPr>
            <w:tcW w:w="2932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579B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Medidas preventivas</w:t>
            </w:r>
          </w:p>
        </w:tc>
        <w:tc>
          <w:tcPr>
            <w:tcW w:w="2932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97FF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Medidas mitigatórias</w:t>
            </w:r>
          </w:p>
        </w:tc>
      </w:tr>
      <w:tr w:rsidR="00655A77" w:rsidRPr="008A2AC8" w14:paraId="17567668" w14:textId="77777777" w:rsidTr="001D22BA"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D819" w14:textId="0C2D0E68" w:rsidR="00C27B2F" w:rsidRPr="008A2AC8" w:rsidRDefault="005F75F7" w:rsidP="00B337DC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  <w:r w:rsidR="00B67ADD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</w:t>
            </w:r>
            <w:r w:rsidR="00C27B2F"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Dimensionamento </w:t>
            </w:r>
            <w:r w:rsidR="00F311EB"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superestimado</w:t>
            </w:r>
            <w:r w:rsidR="00C27B2F"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dos quantitativos pelos demandantes</w:t>
            </w:r>
            <w:r w:rsid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4642E1F9" w14:textId="77777777" w:rsidR="00FF51A1" w:rsidRPr="008A2AC8" w:rsidRDefault="00FF51A1" w:rsidP="00B337DC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3B584444" w14:textId="77777777" w:rsidR="00C27B2F" w:rsidRPr="008A2AC8" w:rsidRDefault="00C27B2F" w:rsidP="00B337DC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8004F7F" w14:textId="334E8EBD" w:rsidR="00B337DC" w:rsidRPr="008A2AC8" w:rsidRDefault="00B337DC" w:rsidP="00B337DC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D2F8" w14:textId="672C2464" w:rsidR="00655A77" w:rsidRPr="008A2AC8" w:rsidRDefault="00F311EB" w:rsidP="00F311E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Desperdício dos recursos públicos utilizados para a compra dos quantitativos desnecessários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6038" w14:textId="55063CBC" w:rsidR="00655A77" w:rsidRPr="008A2AC8" w:rsidRDefault="00297DE7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Probabilidade"/>
                <w:id w:val="482058862"/>
                <w:dropDownList>
                  <w:listItem w:displayText="Selecionar" w:value="Selecionar"/>
                  <w:listItem w:displayText="Muito baixa" w:value="Muito baixa"/>
                  <w:listItem w:displayText="Baixa" w:value="Baixa"/>
                  <w:listItem w:displayText="Média" w:value="Média"/>
                  <w:listItem w:displayText="Alta" w:value="Alta"/>
                  <w:listItem w:displayText="Muito alta" w:value="Muito alta"/>
                </w:dropDownList>
              </w:sdtPr>
              <w:sdtEndPr/>
              <w:sdtContent>
                <w:r w:rsidR="00B337DC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Baixa</w:t>
                </w:r>
              </w:sdtContent>
            </w:sdt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FBF0" w14:textId="25AD9F6E" w:rsidR="00655A77" w:rsidRPr="008A2AC8" w:rsidRDefault="00297DE7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Configuração 1"/>
                <w:id w:val="-2104143145"/>
                <w:dropDownList>
                  <w:listItem w:displayText="Selecionar" w:value="Selecionar"/>
                  <w:listItem w:displayText="Muito baixo" w:value="Muito baixo"/>
                  <w:listItem w:displayText="Baixo" w:value="Baixo"/>
                  <w:listItem w:displayText="Médio" w:value="Médio"/>
                  <w:listItem w:displayText="Alto" w:value="Alto"/>
                  <w:listItem w:displayText="Muito alto" w:value="Muito alto"/>
                </w:dropDownList>
              </w:sdtPr>
              <w:sdtEndPr/>
              <w:sdtContent>
                <w:r w:rsidR="00F311EB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Médio</w:t>
                </w:r>
              </w:sdtContent>
            </w:sdt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1DDA" w14:textId="22F0D64A" w:rsidR="00655A77" w:rsidRPr="008A2AC8" w:rsidRDefault="00297DE7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Risco"/>
                <w:id w:val="1726814801"/>
                <w:dropDownList>
                  <w:listItem w:displayText="Selecionar" w:value="Selecionar"/>
                  <w:listItem w:displayText="Risco baixo" w:value="Risco baixo"/>
                  <w:listItem w:displayText="Risco médio" w:value="Risco médio"/>
                  <w:listItem w:displayText="Risco alto" w:value="Risco alto"/>
                  <w:listItem w:displayText="Risco extremo" w:value="Risco extremo"/>
                </w:dropDownList>
              </w:sdtPr>
              <w:sdtEndPr/>
              <w:sdtContent>
                <w:r w:rsidR="00F311EB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Risco médio</w:t>
                </w:r>
              </w:sdtContent>
            </w:sdt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6471" w14:textId="63163CEC" w:rsidR="00655A77" w:rsidRPr="008A2AC8" w:rsidRDefault="005F75F7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Analisar </w:t>
            </w:r>
            <w:r w:rsidR="00C27B2F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os quantitativos das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contratações anteriores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77C58555" w14:textId="77777777" w:rsidR="00C27B2F" w:rsidRPr="008A2AC8" w:rsidRDefault="00C27B2F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339DFA46" w14:textId="1297C2BB" w:rsidR="00655A77" w:rsidRPr="008A2AC8" w:rsidRDefault="00C2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Analisar o planejamento institucional </w:t>
            </w:r>
            <w:r w:rsidR="00F311EB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e o Plano Anual de Contratações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5818" w14:textId="0629F48F" w:rsidR="00F311EB" w:rsidRPr="008A2AC8" w:rsidRDefault="005F75F7" w:rsidP="00F311EB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→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F311EB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Redução dos quantitativos a serem requisitados na próxima licitação de impressos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7B9EDD83" w14:textId="79B74048" w:rsidR="00F311EB" w:rsidRPr="008A2AC8" w:rsidRDefault="00F311EB" w:rsidP="00F311EB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954A4FC" w14:textId="565271D0" w:rsidR="00F311EB" w:rsidRPr="008A2AC8" w:rsidRDefault="00F311EB" w:rsidP="00F311EB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→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FF51A1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Exercício da prerrogativa de supressão unilateral dos contratos prevista no art. 125 da Lei 14.133/21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4E97243F" w14:textId="78A179B8" w:rsidR="00C27B2F" w:rsidRPr="008A2AC8" w:rsidRDefault="00C27B2F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</w:tc>
      </w:tr>
    </w:tbl>
    <w:p w14:paraId="6B092E5F" w14:textId="77777777" w:rsidR="00655A77" w:rsidRPr="008A2AC8" w:rsidRDefault="00655A77">
      <w:pPr>
        <w:spacing w:before="240"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5A44F45C" w14:textId="77777777" w:rsidR="00655A77" w:rsidRPr="008A2AC8" w:rsidRDefault="00655A77">
      <w:pPr>
        <w:spacing w:before="240"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225F6562" w14:textId="77777777" w:rsidR="00655A77" w:rsidRPr="008A2AC8" w:rsidRDefault="00655A77">
      <w:pPr>
        <w:spacing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3"/>
        <w:tblW w:w="177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1"/>
        <w:gridCol w:w="3510"/>
        <w:gridCol w:w="1545"/>
        <w:gridCol w:w="1575"/>
        <w:gridCol w:w="1740"/>
        <w:gridCol w:w="2932"/>
        <w:gridCol w:w="2932"/>
      </w:tblGrid>
      <w:tr w:rsidR="00655A77" w:rsidRPr="008A2AC8" w14:paraId="188F487E" w14:textId="77777777" w:rsidTr="005F75F7">
        <w:tc>
          <w:tcPr>
            <w:tcW w:w="3511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3306" w14:textId="77777777" w:rsidR="00655A77" w:rsidRPr="008A2AC8" w:rsidRDefault="005F75F7" w:rsidP="005F75F7">
            <w:pPr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lastRenderedPageBreak/>
              <w:t>Risco</w:t>
            </w:r>
          </w:p>
        </w:tc>
        <w:tc>
          <w:tcPr>
            <w:tcW w:w="351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3F86" w14:textId="77777777" w:rsidR="00655A77" w:rsidRPr="008A2AC8" w:rsidRDefault="005F75F7">
            <w:pPr>
              <w:widowControl w:val="0"/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Dano</w:t>
            </w:r>
          </w:p>
        </w:tc>
        <w:tc>
          <w:tcPr>
            <w:tcW w:w="1545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E96B" w14:textId="77777777" w:rsidR="00655A77" w:rsidRPr="008A2AC8" w:rsidRDefault="005F75F7">
            <w:pPr>
              <w:widowControl w:val="0"/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Probabilidade</w:t>
            </w:r>
          </w:p>
        </w:tc>
        <w:tc>
          <w:tcPr>
            <w:tcW w:w="1575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A3BC" w14:textId="77777777" w:rsidR="00655A77" w:rsidRPr="008A2AC8" w:rsidRDefault="005F75F7">
            <w:pPr>
              <w:widowControl w:val="0"/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Impacto</w:t>
            </w:r>
          </w:p>
        </w:tc>
        <w:tc>
          <w:tcPr>
            <w:tcW w:w="174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327F" w14:textId="77777777" w:rsidR="00655A77" w:rsidRPr="008A2AC8" w:rsidRDefault="005F75F7">
            <w:pPr>
              <w:widowControl w:val="0"/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Nível de Risco</w:t>
            </w:r>
          </w:p>
        </w:tc>
        <w:tc>
          <w:tcPr>
            <w:tcW w:w="2932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0BC1" w14:textId="77777777" w:rsidR="00655A77" w:rsidRPr="008A2AC8" w:rsidRDefault="005F75F7">
            <w:pPr>
              <w:widowControl w:val="0"/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Medidas preventivas</w:t>
            </w:r>
          </w:p>
        </w:tc>
        <w:tc>
          <w:tcPr>
            <w:tcW w:w="2932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A7E1" w14:textId="77777777" w:rsidR="00655A77" w:rsidRPr="008A2AC8" w:rsidRDefault="005F75F7">
            <w:pPr>
              <w:widowControl w:val="0"/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Medidas mitigatórias</w:t>
            </w:r>
          </w:p>
        </w:tc>
      </w:tr>
      <w:tr w:rsidR="00F311EB" w:rsidRPr="008A2AC8" w14:paraId="1A132D0B" w14:textId="77777777" w:rsidTr="00C27B2F"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8801" w14:textId="6BC3DA54" w:rsidR="00F311EB" w:rsidRPr="008A2AC8" w:rsidRDefault="00F311EB" w:rsidP="00F311EB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2.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Dimensionamento subestimado dos quantitativos pelos demandantes</w:t>
            </w:r>
            <w:r w:rsid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4B0D41C5" w14:textId="77777777" w:rsidR="00F311EB" w:rsidRPr="008A2AC8" w:rsidRDefault="00F311EB" w:rsidP="00F311EB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52C1862" w14:textId="0E0FC9F5" w:rsidR="00FF51A1" w:rsidRPr="008A2AC8" w:rsidRDefault="00FF51A1" w:rsidP="00F311EB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4A0D" w14:textId="6AE3DE85" w:rsidR="00F311EB" w:rsidRPr="008A2AC8" w:rsidRDefault="00F311EB" w:rsidP="00F311E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Prejuízo à </w:t>
            </w:r>
            <w:r w:rsidR="008A2AC8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higienização da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UDESC;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br/>
            </w:r>
          </w:p>
          <w:p w14:paraId="63019E27" w14:textId="3D6AA500" w:rsidR="00F311EB" w:rsidRPr="008A2AC8" w:rsidRDefault="008A2AC8" w:rsidP="00F311E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hAnsiTheme="majorHAnsi" w:cstheme="majorHAnsi"/>
                <w:sz w:val="22"/>
                <w:szCs w:val="22"/>
              </w:rPr>
              <w:t>Autuações sanitárias ou interdições de espaços</w:t>
            </w:r>
            <w:r w:rsidR="00F311EB" w:rsidRPr="008A2AC8">
              <w:rPr>
                <w:rFonts w:asciiTheme="majorHAnsi" w:hAnsiTheme="majorHAnsi" w:cstheme="majorHAnsi"/>
                <w:sz w:val="22"/>
                <w:szCs w:val="22"/>
              </w:rPr>
              <w:t>;</w:t>
            </w:r>
            <w:r w:rsidR="00F311EB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br/>
            </w:r>
          </w:p>
          <w:p w14:paraId="501D184E" w14:textId="3710F13B" w:rsidR="00F311EB" w:rsidRPr="008A2AC8" w:rsidRDefault="008A2AC8" w:rsidP="00F311E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Impossibilidade</w:t>
            </w:r>
            <w:r w:rsidR="00F311EB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de</w:t>
            </w:r>
            <w:r w:rsidR="00F311EB"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realização de </w:t>
            </w:r>
            <w:r w:rsidRPr="008A2AC8">
              <w:rPr>
                <w:rFonts w:asciiTheme="majorHAnsi" w:hAnsiTheme="majorHAnsi" w:cstheme="majorHAnsi"/>
                <w:sz w:val="22"/>
                <w:szCs w:val="22"/>
              </w:rPr>
              <w:t>atividades</w:t>
            </w:r>
            <w:r w:rsidR="00F311EB" w:rsidRPr="008A2AC8">
              <w:rPr>
                <w:rFonts w:asciiTheme="majorHAnsi" w:hAnsiTheme="majorHAnsi" w:cstheme="majorHAnsi"/>
                <w:sz w:val="22"/>
                <w:szCs w:val="22"/>
              </w:rPr>
              <w:t xml:space="preserve"> acadêmicos e institucionais.</w:t>
            </w:r>
          </w:p>
          <w:p w14:paraId="17B03A2D" w14:textId="77777777" w:rsidR="00F311EB" w:rsidRPr="008A2AC8" w:rsidRDefault="00F311EB" w:rsidP="00F311EB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8A44" w14:textId="5F3C1132" w:rsidR="00F311EB" w:rsidRPr="008A2AC8" w:rsidRDefault="00297DE7" w:rsidP="00F311EB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Probabilidade"/>
                <w:id w:val="57684734"/>
                <w:dropDownList>
                  <w:listItem w:displayText="Selecionar" w:value="Selecionar"/>
                  <w:listItem w:displayText="Muito baixa" w:value="Muito baixa"/>
                  <w:listItem w:displayText="Baixa" w:value="Baixa"/>
                  <w:listItem w:displayText="Média" w:value="Média"/>
                  <w:listItem w:displayText="Alta" w:value="Alta"/>
                  <w:listItem w:displayText="Muito alta" w:value="Muito alta"/>
                </w:dropDownList>
              </w:sdtPr>
              <w:sdtEndPr/>
              <w:sdtContent>
                <w:r w:rsidR="00F311EB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Baixa</w:t>
                </w:r>
              </w:sdtContent>
            </w:sdt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3C34" w14:textId="7D582885" w:rsidR="00F311EB" w:rsidRPr="008A2AC8" w:rsidRDefault="00297DE7" w:rsidP="00F311EB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Configuração 1"/>
                <w:id w:val="-1653287118"/>
                <w:dropDownList>
                  <w:listItem w:displayText="Selecionar" w:value="Selecionar"/>
                  <w:listItem w:displayText="Muito baixo" w:value="Muito baixo"/>
                  <w:listItem w:displayText="Baixo" w:value="Baixo"/>
                  <w:listItem w:displayText="Médio" w:value="Médio"/>
                  <w:listItem w:displayText="Alto" w:value="Alto"/>
                  <w:listItem w:displayText="Muito alto" w:value="Muito alto"/>
                </w:dropDownList>
              </w:sdtPr>
              <w:sdtEndPr/>
              <w:sdtContent>
                <w:r w:rsidR="00F311EB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Médio</w:t>
                </w:r>
              </w:sdtContent>
            </w:sdt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6723" w14:textId="45AFD818" w:rsidR="00F311EB" w:rsidRPr="008A2AC8" w:rsidRDefault="00297DE7" w:rsidP="00F311EB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Risco"/>
                <w:id w:val="-179202404"/>
                <w:dropDownList>
                  <w:listItem w:displayText="Selecionar" w:value="Selecionar"/>
                  <w:listItem w:displayText="Risco baixo" w:value="Risco baixo"/>
                  <w:listItem w:displayText="Risco médio" w:value="Risco médio"/>
                  <w:listItem w:displayText="Risco alto" w:value="Risco alto"/>
                  <w:listItem w:displayText="Risco extremo" w:value="Risco extremo"/>
                </w:dropDownList>
              </w:sdtPr>
              <w:sdtEndPr/>
              <w:sdtContent>
                <w:r w:rsidR="00F311EB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Risco médio</w:t>
                </w:r>
              </w:sdtContent>
            </w:sdt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1CD4" w14:textId="63DC0512" w:rsidR="00FF51A1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Analisar os quantitativos das contratações anteriores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615CD1AC" w14:textId="77777777" w:rsidR="00FF51A1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D3C9828" w14:textId="0ABB810C" w:rsidR="00F311EB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Analisar o planejamento institucional e o Plano Anual de Contrataçõe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s.</w:t>
            </w: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299B" w14:textId="66B0BCF8" w:rsidR="00FF51A1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Aquisição dos quantitativos insuficientes por 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adesão à Atas de Registro de Preços de outros órgãos;</w:t>
            </w:r>
          </w:p>
          <w:p w14:paraId="5F63E477" w14:textId="77777777" w:rsidR="00FF51A1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28674D69" w14:textId="07ADB430" w:rsidR="00F311EB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Compartilhamento dos quantitativos entre os centros demandantes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21C6F54F" w14:textId="77777777" w:rsidR="00FF51A1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8A62CD7" w14:textId="5E2EB18F" w:rsidR="00FF51A1" w:rsidRPr="008A2AC8" w:rsidRDefault="00FF51A1" w:rsidP="00FF51A1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→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Exercício da prerrogativa de acréscimo unilateral dos contratos prevista no art. 125 da Lei 14.133/21</w:t>
            </w:r>
            <w:r w:rsidR="008A2AC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  <w:tr w:rsidR="008A2AC8" w:rsidRPr="008A2AC8" w14:paraId="25CA2189" w14:textId="77777777" w:rsidTr="00C27B2F"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72B9" w14:textId="16E69542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3. Ausência de inclusão ou inserção a menor dos quantitativos na planilha compilada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B950" w14:textId="77777777" w:rsidR="008A2AC8" w:rsidRPr="008A2AC8" w:rsidRDefault="008A2AC8" w:rsidP="008A2A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Prejuízo à higienização da UDESC;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br/>
            </w:r>
          </w:p>
          <w:p w14:paraId="4F4F05FB" w14:textId="77777777" w:rsidR="008A2AC8" w:rsidRPr="008A2AC8" w:rsidRDefault="008A2AC8" w:rsidP="008A2A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hAnsiTheme="majorHAnsi" w:cstheme="majorHAnsi"/>
                <w:sz w:val="22"/>
                <w:szCs w:val="22"/>
              </w:rPr>
              <w:t>Autuações sanitárias ou interdições de espaços;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br/>
            </w:r>
          </w:p>
          <w:p w14:paraId="25A558CF" w14:textId="77777777" w:rsidR="008A2AC8" w:rsidRPr="008A2AC8" w:rsidRDefault="008A2AC8" w:rsidP="008A2A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Impossibilidade de realização de </w:t>
            </w:r>
            <w:r w:rsidRPr="008A2AC8">
              <w:rPr>
                <w:rFonts w:asciiTheme="majorHAnsi" w:hAnsiTheme="majorHAnsi" w:cstheme="majorHAnsi"/>
                <w:sz w:val="22"/>
                <w:szCs w:val="22"/>
              </w:rPr>
              <w:t>atividades acadêmicos e institucionais.</w:t>
            </w:r>
          </w:p>
          <w:p w14:paraId="68D9EF08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FF38" w14:textId="1A8BCBFE" w:rsidR="008A2AC8" w:rsidRPr="008A2AC8" w:rsidRDefault="00297DE7" w:rsidP="008A2AC8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Probabilidade"/>
                <w:id w:val="-267466483"/>
                <w:dropDownList>
                  <w:listItem w:displayText="Selecionar" w:value="Selecionar"/>
                  <w:listItem w:displayText="Muito baixa" w:value="Muito baixa"/>
                  <w:listItem w:displayText="Baixa" w:value="Baixa"/>
                  <w:listItem w:displayText="Média" w:value="Média"/>
                  <w:listItem w:displayText="Alta" w:value="Alta"/>
                  <w:listItem w:displayText="Muito alta" w:value="Muito alta"/>
                </w:dropDownList>
              </w:sdtPr>
              <w:sdtEndPr/>
              <w:sdtContent>
                <w:r w:rsidR="008A2AC8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Baixa</w:t>
                </w:r>
              </w:sdtContent>
            </w:sdt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BDBF" w14:textId="62BB2497" w:rsidR="008A2AC8" w:rsidRPr="008A2AC8" w:rsidRDefault="00297DE7" w:rsidP="008A2AC8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Configuração 1"/>
                <w:id w:val="1387300187"/>
                <w:dropDownList>
                  <w:listItem w:displayText="Selecionar" w:value="Selecionar"/>
                  <w:listItem w:displayText="Muito baixo" w:value="Muito baixo"/>
                  <w:listItem w:displayText="Baixo" w:value="Baixo"/>
                  <w:listItem w:displayText="Médio" w:value="Médio"/>
                  <w:listItem w:displayText="Alto" w:value="Alto"/>
                  <w:listItem w:displayText="Muito alto" w:value="Muito alto"/>
                </w:dropDownList>
              </w:sdtPr>
              <w:sdtEndPr/>
              <w:sdtContent>
                <w:r w:rsidR="008A2AC8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Baixo</w:t>
                </w:r>
              </w:sdtContent>
            </w:sdt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F6EA" w14:textId="46734B48" w:rsidR="008A2AC8" w:rsidRPr="008A2AC8" w:rsidRDefault="00297DE7" w:rsidP="008A2AC8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Risco"/>
                <w:id w:val="1562598027"/>
                <w:dropDownList>
                  <w:listItem w:displayText="Selecionar" w:value="Selecionar"/>
                  <w:listItem w:displayText="Risco baixo" w:value="Risco baixo"/>
                  <w:listItem w:displayText="Risco médio" w:value="Risco médio"/>
                  <w:listItem w:displayText="Risco alto" w:value="Risco alto"/>
                  <w:listItem w:displayText="Risco extremo" w:value="Risco extremo"/>
                </w:dropDownList>
              </w:sdtPr>
              <w:sdtEndPr/>
              <w:sdtContent>
                <w:r w:rsidR="008A2AC8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Risco baixo</w:t>
                </w:r>
              </w:sdtContent>
            </w:sdt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BA30" w14:textId="1D0CB0E5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Revisar a planilha compilada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74A28435" w14:textId="19B6CAC9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D990098" w14:textId="4E4A8CE9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Disponibilizar a planilha compilada para conferência dos demandantes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148E394B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5F1E677E" w14:textId="7534F8F4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D981E" w14:textId="14319C6C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Aquisição dos quantitativos insuficientes por meio de compra direta, se técnica e juridicamente viável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4DE17CBB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E7AF6DC" w14:textId="5928FAFD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Compartilhamento dos quantitativos entre os centros demandantes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2E5D4976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C75299C" w14:textId="605FE033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→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Exercício da prerrogativa de acréscimo unilateral dos contratos prevista no art. 125 da Lei 14.133/21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  <w:tr w:rsidR="008A2AC8" w:rsidRPr="008A2AC8" w14:paraId="46BF83BC" w14:textId="77777777" w:rsidTr="00C27B2F"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D6E0" w14:textId="26F8B1C9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4. Elaboração inadequada da pesquisa de preços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2A1A" w14:textId="0AEB0A66" w:rsidR="008A2AC8" w:rsidRPr="008A2AC8" w:rsidRDefault="008A2AC8" w:rsidP="008A2AC8">
            <w:pPr>
              <w:pStyle w:val="PargrafodaLista"/>
              <w:widowControl w:val="0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Contratação com sobrepreço, gerando desperdício de recursos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br/>
            </w:r>
          </w:p>
          <w:p w14:paraId="0E01B484" w14:textId="75FAB049" w:rsidR="008A2AC8" w:rsidRPr="008A2AC8" w:rsidRDefault="008A2AC8" w:rsidP="008A2AC8">
            <w:pPr>
              <w:pStyle w:val="PargrafodaLista"/>
              <w:widowControl w:val="0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Ausência de interessados, gerando licitação deserta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722C25B1" w14:textId="476CB589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DABC" w14:textId="294311EA" w:rsidR="008A2AC8" w:rsidRPr="008A2AC8" w:rsidRDefault="00297DE7" w:rsidP="008A2AC8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Probabilidade"/>
                <w:id w:val="-2063662716"/>
                <w:dropDownList>
                  <w:listItem w:displayText="Selecionar" w:value="Selecionar"/>
                  <w:listItem w:displayText="Muito baixa" w:value="Muito baixa"/>
                  <w:listItem w:displayText="Baixa" w:value="Baixa"/>
                  <w:listItem w:displayText="Média" w:value="Média"/>
                  <w:listItem w:displayText="Alta" w:value="Alta"/>
                  <w:listItem w:displayText="Muito alta" w:value="Muito alta"/>
                </w:dropDownList>
              </w:sdtPr>
              <w:sdtEndPr/>
              <w:sdtContent>
                <w:r w:rsidR="008A2AC8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Média</w:t>
                </w:r>
              </w:sdtContent>
            </w:sdt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1346" w14:textId="2EC365CF" w:rsidR="008A2AC8" w:rsidRPr="008A2AC8" w:rsidRDefault="00297DE7" w:rsidP="008A2AC8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Configuração 1"/>
                <w:id w:val="-790903301"/>
                <w:dropDownList>
                  <w:listItem w:displayText="Selecionar" w:value="Selecionar"/>
                  <w:listItem w:displayText="Muito baixo" w:value="Muito baixo"/>
                  <w:listItem w:displayText="Baixo" w:value="Baixo"/>
                  <w:listItem w:displayText="Médio" w:value="Médio"/>
                  <w:listItem w:displayText="Alto" w:value="Alto"/>
                  <w:listItem w:displayText="Muito alto" w:value="Muito alto"/>
                </w:dropDownList>
              </w:sdtPr>
              <w:sdtEndPr/>
              <w:sdtContent>
                <w:r w:rsidR="008A2AC8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Médio</w:t>
                </w:r>
              </w:sdtContent>
            </w:sdt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805" w14:textId="503C0B01" w:rsidR="008A2AC8" w:rsidRPr="008A2AC8" w:rsidRDefault="00297DE7" w:rsidP="008A2AC8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Risco"/>
                <w:id w:val="-1941576532"/>
                <w:dropDownList>
                  <w:listItem w:displayText="Selecionar" w:value="Selecionar"/>
                  <w:listItem w:displayText="Risco baixo" w:value="Risco baixo"/>
                  <w:listItem w:displayText="Risco médio" w:value="Risco médio"/>
                  <w:listItem w:displayText="Risco alto" w:value="Risco alto"/>
                  <w:listItem w:displayText="Risco extremo" w:value="Risco extremo"/>
                </w:dropDownList>
              </w:sdtPr>
              <w:sdtEndPr/>
              <w:sdtContent>
                <w:r w:rsidR="008A2AC8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Risco médio</w:t>
                </w:r>
              </w:sdtContent>
            </w:sdt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B0D5F" w14:textId="787739AD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Utilização dos preços registrados na licitação anterior na cesta, se dentro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lastRenderedPageBreak/>
              <w:t>da validade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;</w:t>
            </w:r>
          </w:p>
          <w:p w14:paraId="727882EB" w14:textId="14436883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790D15DF" w14:textId="4122C97E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Utilização do modo de disputa aberto, ampliando o número de licitantes aptos a etapa de lances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;</w:t>
            </w:r>
          </w:p>
          <w:p w14:paraId="3431E4C0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4AF35CC" w14:textId="0F8245E4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Capacitação anual dos agentes públicos,</w:t>
            </w:r>
          </w:p>
          <w:p w14:paraId="3C15F526" w14:textId="6E98B632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i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especificamente sobre os requisitos para elaboração de pesquisa de preços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316A8887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70DE" w14:textId="4F9D1358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 xml:space="preserve">→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Relançamento da licitação, com nova pesquisa de preços e sem a exclusividade de 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Micro e Pequenas Empresas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</w:p>
          <w:p w14:paraId="75C4AED5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0465BA" w14:textId="3B3793D2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→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Revogação da licitação, caso constatada a disparidade de preços com a média de mercado após a adjudicação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  <w:tr w:rsidR="008A2AC8" w:rsidRPr="008A2AC8" w14:paraId="1ECF1C22" w14:textId="77777777" w:rsidTr="00C27B2F"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A41B" w14:textId="2DC93753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5. Recebimento de materiais incompatíveis com a especificação técnica ou qualidade inferior à requisitada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510D" w14:textId="41CBB5BB" w:rsidR="008A2AC8" w:rsidRPr="008A2AC8" w:rsidRDefault="008A2AC8" w:rsidP="008A2AC8">
            <w:pPr>
              <w:pStyle w:val="PargrafodaLista"/>
              <w:widowControl w:val="0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Desperdício dos recursos públicos utilizados para a compra de materiais inservíveis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</w:t>
            </w: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br/>
            </w:r>
          </w:p>
          <w:p w14:paraId="3DFD6D5C" w14:textId="58212611" w:rsidR="008A2AC8" w:rsidRPr="008A2AC8" w:rsidRDefault="008A2AC8" w:rsidP="008A2AC8">
            <w:pPr>
              <w:pStyle w:val="PargrafodaLista"/>
              <w:widowControl w:val="0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sz w:val="22"/>
                <w:szCs w:val="22"/>
              </w:rPr>
              <w:t>Prejuízo à higienização da UDESC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3C30" w14:textId="405F92A1" w:rsidR="008A2AC8" w:rsidRPr="008A2AC8" w:rsidRDefault="00297DE7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Probabilidade"/>
                <w:id w:val="-1650384940"/>
                <w:dropDownList>
                  <w:listItem w:displayText="Selecionar" w:value="Selecionar"/>
                  <w:listItem w:displayText="Muito baixa" w:value="Muito baixa"/>
                  <w:listItem w:displayText="Baixa" w:value="Baixa"/>
                  <w:listItem w:displayText="Média" w:value="Média"/>
                  <w:listItem w:displayText="Alta" w:value="Alta"/>
                  <w:listItem w:displayText="Muito alta" w:value="Muito alta"/>
                </w:dropDownList>
              </w:sdtPr>
              <w:sdtEndPr/>
              <w:sdtContent>
                <w:r w:rsidR="008A2AC8">
                  <w:rPr>
                    <w:rFonts w:asciiTheme="majorHAnsi" w:hAnsiTheme="majorHAnsi" w:cstheme="majorHAnsi"/>
                    <w:sz w:val="22"/>
                    <w:szCs w:val="22"/>
                  </w:rPr>
                  <w:t>Baixa</w:t>
                </w:r>
              </w:sdtContent>
            </w:sdt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C825" w14:textId="057F852D" w:rsidR="008A2AC8" w:rsidRPr="008A2AC8" w:rsidRDefault="00297DE7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Configuração 1"/>
                <w:id w:val="693278745"/>
                <w:dropDownList>
                  <w:listItem w:displayText="Selecionar" w:value="Selecionar"/>
                  <w:listItem w:displayText="Muito baixo" w:value="Muito baixo"/>
                  <w:listItem w:displayText="Baixo" w:value="Baixo"/>
                  <w:listItem w:displayText="Médio" w:value="Médio"/>
                  <w:listItem w:displayText="Alto" w:value="Alto"/>
                  <w:listItem w:displayText="Muito alto" w:value="Muito alto"/>
                </w:dropDownList>
              </w:sdtPr>
              <w:sdtEndPr/>
              <w:sdtContent>
                <w:r w:rsidR="008A2AC8" w:rsidRPr="008A2AC8">
                  <w:rPr>
                    <w:rFonts w:asciiTheme="majorHAnsi" w:hAnsiTheme="majorHAnsi" w:cstheme="majorHAnsi"/>
                    <w:sz w:val="22"/>
                    <w:szCs w:val="22"/>
                  </w:rPr>
                  <w:t>Médio</w:t>
                </w:r>
              </w:sdtContent>
            </w:sdt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EA98" w14:textId="7BEB0285" w:rsidR="008A2AC8" w:rsidRPr="008A2AC8" w:rsidRDefault="00297DE7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alias w:val="Risco"/>
                <w:id w:val="-1628056069"/>
                <w:dropDownList>
                  <w:listItem w:displayText="Selecionar" w:value="Selecionar"/>
                  <w:listItem w:displayText="Risco baixo" w:value="Risco baixo"/>
                  <w:listItem w:displayText="Risco médio" w:value="Risco médio"/>
                  <w:listItem w:displayText="Risco alto" w:value="Risco alto"/>
                  <w:listItem w:displayText="Risco extremo" w:value="Risco extremo"/>
                </w:dropDownList>
              </w:sdtPr>
              <w:sdtEndPr/>
              <w:sdtContent>
                <w:r w:rsidR="008A2AC8">
                  <w:rPr>
                    <w:rFonts w:asciiTheme="majorHAnsi" w:hAnsiTheme="majorHAnsi" w:cstheme="majorHAnsi"/>
                    <w:sz w:val="22"/>
                    <w:szCs w:val="22"/>
                  </w:rPr>
                  <w:t>Risco baixo</w:t>
                </w:r>
              </w:sdtContent>
            </w:sdt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E51F" w14:textId="21650C7A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Exigência do contratado dispor da estrutura 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necessária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ao cumprimento das especificações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;</w:t>
            </w:r>
          </w:p>
          <w:p w14:paraId="5985E022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9ACAD67" w14:textId="4378A3CE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Exigência do contratado entregar amostra sujeita à aprovação antes da 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aceitação de todo quantitativo.</w:t>
            </w: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C010" w14:textId="56D80826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Não liquidação da nota fiscal referente aos materiais 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entregues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em desconformidade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;</w:t>
            </w:r>
          </w:p>
          <w:p w14:paraId="799F8FE8" w14:textId="77777777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0852451" w14:textId="1D819BDE" w:rsidR="008A2AC8" w:rsidRPr="008A2AC8" w:rsidRDefault="008A2AC8" w:rsidP="008A2AC8">
            <w:pPr>
              <w:widowControl w:val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8A2AC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→ </w:t>
            </w:r>
            <w:r w:rsidRPr="008A2AC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Abertura de processo de responsabilização em desfavor do contratado</w:t>
            </w: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</w:tc>
      </w:tr>
    </w:tbl>
    <w:p w14:paraId="0A76FCA0" w14:textId="77777777" w:rsidR="00655A77" w:rsidRDefault="00655A77">
      <w:pPr>
        <w:spacing w:before="240" w:line="360" w:lineRule="auto"/>
        <w:jc w:val="both"/>
        <w:rPr>
          <w:rFonts w:ascii="Arial" w:eastAsia="Arial" w:hAnsi="Arial" w:cs="Arial"/>
          <w:sz w:val="22"/>
          <w:szCs w:val="22"/>
        </w:rPr>
        <w:sectPr w:rsidR="00655A77">
          <w:pgSz w:w="20160" w:h="12240" w:orient="landscape"/>
          <w:pgMar w:top="1133" w:right="850" w:bottom="1417" w:left="1417" w:header="283" w:footer="0" w:gutter="0"/>
          <w:cols w:space="720"/>
        </w:sectPr>
      </w:pPr>
    </w:p>
    <w:p w14:paraId="11C6496A" w14:textId="77777777" w:rsidR="00655A77" w:rsidRDefault="00655A77">
      <w:pPr>
        <w:tabs>
          <w:tab w:val="left" w:pos="709"/>
        </w:tabs>
        <w:ind w:firstLine="85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FB1F53" w14:textId="77777777" w:rsidR="00655A77" w:rsidRDefault="005F75F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 - ESTIMATIVA DE RISCOS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footnoteReference w:id="3"/>
      </w:r>
    </w:p>
    <w:p w14:paraId="02EDBFB9" w14:textId="77777777" w:rsidR="00655A77" w:rsidRDefault="00655A7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5E0C664" w14:textId="77777777" w:rsidR="00655A77" w:rsidRDefault="005F75F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1. ESCALA DE PROBABILIDADE</w:t>
      </w:r>
    </w:p>
    <w:p w14:paraId="4B27CE49" w14:textId="77777777" w:rsidR="00655A77" w:rsidRDefault="00655A77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4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6930"/>
        <w:gridCol w:w="945"/>
      </w:tblGrid>
      <w:tr w:rsidR="00655A77" w14:paraId="153AD413" w14:textId="77777777" w:rsidTr="005F75F7">
        <w:tc>
          <w:tcPr>
            <w:tcW w:w="207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9CE9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PROBABILIDADE (P)</w:t>
            </w:r>
          </w:p>
        </w:tc>
        <w:tc>
          <w:tcPr>
            <w:tcW w:w="693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810C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DESCRIÇÃO </w:t>
            </w:r>
          </w:p>
        </w:tc>
        <w:tc>
          <w:tcPr>
            <w:tcW w:w="945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5A22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PESO</w:t>
            </w:r>
          </w:p>
        </w:tc>
      </w:tr>
      <w:tr w:rsidR="00655A77" w14:paraId="55F646E5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8AFD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Muito baixa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B43A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Improvável.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 situações excepcionais, o evento poderá até ocorrer, mas nada nas circunstâncias indica essa possibilidade.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BDE8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655A77" w14:paraId="2C7F51E7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A252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Baixa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098C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Rara.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forma inesperada ou casual, o evento poderá ocorrer, pois as circunstâncias pouco indicam essa possibilidade.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E698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655A77" w14:paraId="7B9FF586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7FC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Média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E9CF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Possível.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alguma forma, o evento poderá ocorrer, pois as circunstâncias indicam moderadamente essa possibilidade.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8D2F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655A77" w14:paraId="15F6D6BE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1163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Alta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D89B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Provável.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forma até esperada, o evento poderá ocorrer, pois as circunstâncias indicam fortemente essa possibilidade.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A3C1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</w:tr>
      <w:tr w:rsidR="00655A77" w14:paraId="32D1EFB7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F045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Muita alta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5837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Praticamente certa.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forma inequívoca, o evento ocorrerá, pois as circunstâncias indicam claramente essa possibilidade.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04F5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</w:tr>
    </w:tbl>
    <w:p w14:paraId="3AE6089C" w14:textId="77777777" w:rsidR="00655A77" w:rsidRDefault="00655A77">
      <w:pPr>
        <w:rPr>
          <w:rFonts w:ascii="Arial" w:eastAsia="Arial" w:hAnsi="Arial" w:cs="Arial"/>
          <w:b/>
          <w:sz w:val="22"/>
          <w:szCs w:val="22"/>
        </w:rPr>
      </w:pPr>
    </w:p>
    <w:p w14:paraId="25E52D4D" w14:textId="77777777" w:rsidR="00655A77" w:rsidRDefault="005F75F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2. ESCALA DE IMPACTO</w:t>
      </w:r>
    </w:p>
    <w:p w14:paraId="6407BAA3" w14:textId="77777777" w:rsidR="00655A77" w:rsidRDefault="00655A77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5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6930"/>
        <w:gridCol w:w="945"/>
      </w:tblGrid>
      <w:tr w:rsidR="00655A77" w14:paraId="2964BED0" w14:textId="77777777" w:rsidTr="005F75F7">
        <w:tc>
          <w:tcPr>
            <w:tcW w:w="207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ECFD" w14:textId="77777777" w:rsidR="00655A77" w:rsidRDefault="005F75F7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IMPACTO (I)</w:t>
            </w:r>
          </w:p>
        </w:tc>
        <w:tc>
          <w:tcPr>
            <w:tcW w:w="6930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5D5C" w14:textId="77777777" w:rsidR="00655A77" w:rsidRDefault="005F75F7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DESCRIÇÃO </w:t>
            </w:r>
          </w:p>
        </w:tc>
        <w:tc>
          <w:tcPr>
            <w:tcW w:w="945" w:type="dxa"/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55C8" w14:textId="77777777" w:rsidR="00655A77" w:rsidRDefault="005F75F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PESO</w:t>
            </w:r>
          </w:p>
        </w:tc>
      </w:tr>
      <w:tr w:rsidR="00655A77" w14:paraId="7001FB19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ED48" w14:textId="77777777" w:rsidR="00655A77" w:rsidRDefault="005F75F7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Muito baixo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B415" w14:textId="77777777" w:rsidR="00655A77" w:rsidRDefault="005F75F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Mínimo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impacto nos objetivos (estratégicos, operacionais, de informação/ comunicação/divulgação ou de conformidade).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043B3" w14:textId="77777777" w:rsidR="00655A77" w:rsidRDefault="005F75F7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655A77" w14:paraId="030BC4AA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DC74" w14:textId="77777777" w:rsidR="00655A77" w:rsidRDefault="005F75F7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Baixo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170C" w14:textId="77777777" w:rsidR="00655A77" w:rsidRDefault="005F75F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Pequeno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impacto nos objetivos (idem).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F716" w14:textId="77777777" w:rsidR="00655A77" w:rsidRDefault="005F75F7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655A77" w14:paraId="28D2B539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4DAD" w14:textId="77777777" w:rsidR="00655A77" w:rsidRDefault="005F75F7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Médio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CE39" w14:textId="77777777" w:rsidR="00655A77" w:rsidRDefault="005F75F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Moderado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impacto nos objetivos (idem), porém recuperável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5286" w14:textId="77777777" w:rsidR="00655A77" w:rsidRDefault="005F75F7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655A77" w14:paraId="6415720B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1DAE" w14:textId="77777777" w:rsidR="00655A77" w:rsidRDefault="005F75F7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Alto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6B1C" w14:textId="77777777" w:rsidR="00655A77" w:rsidRDefault="005F75F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Significativo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impacto nos objetivos (idem), de difícil reversão.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F548" w14:textId="77777777" w:rsidR="00655A77" w:rsidRDefault="005F75F7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</w:tr>
      <w:tr w:rsidR="00655A77" w14:paraId="35F78566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F441" w14:textId="77777777" w:rsidR="00655A77" w:rsidRDefault="005F75F7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Muito alto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2D72" w14:textId="77777777" w:rsidR="00655A77" w:rsidRDefault="005F75F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Catastrófico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impacto nos objetivos (idem), de forma irreversível.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1AFF" w14:textId="77777777" w:rsidR="00655A77" w:rsidRDefault="005F75F7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</w:tr>
    </w:tbl>
    <w:p w14:paraId="783E3265" w14:textId="77777777" w:rsidR="00655A77" w:rsidRDefault="00655A77">
      <w:pPr>
        <w:rPr>
          <w:rFonts w:ascii="Arial" w:eastAsia="Arial" w:hAnsi="Arial" w:cs="Arial"/>
          <w:b/>
          <w:sz w:val="22"/>
          <w:szCs w:val="22"/>
        </w:rPr>
      </w:pPr>
    </w:p>
    <w:p w14:paraId="05204FE5" w14:textId="77777777" w:rsidR="00655A77" w:rsidRDefault="005F75F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3. CLASSIFICAÇÃO DE NÍVEIS DE RISCO (RISCO = P * I)</w:t>
      </w:r>
    </w:p>
    <w:p w14:paraId="43A5B9C4" w14:textId="77777777" w:rsidR="00655A77" w:rsidRDefault="00655A77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6"/>
        <w:tblW w:w="99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4"/>
        <w:gridCol w:w="2493"/>
        <w:gridCol w:w="2493"/>
        <w:gridCol w:w="2493"/>
      </w:tblGrid>
      <w:tr w:rsidR="00655A77" w14:paraId="5D11E3B1" w14:textId="77777777"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CCCCCC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692C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Risco baixo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CCCCCC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9613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Risco médio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CCCCCC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2F9E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Risco alto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CCCCCC"/>
              <w:right w:val="single" w:sz="8" w:space="0" w:color="FFFFFF"/>
            </w:tcBorders>
            <w:shd w:val="clear" w:color="auto" w:fill="D842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9CA3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Risco extremo</w:t>
            </w:r>
          </w:p>
        </w:tc>
      </w:tr>
      <w:tr w:rsidR="00655A77" w14:paraId="7D1B8D03" w14:textId="77777777">
        <w:tc>
          <w:tcPr>
            <w:tcW w:w="24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EC46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0 - 9,99</w:t>
            </w:r>
          </w:p>
        </w:tc>
        <w:tc>
          <w:tcPr>
            <w:tcW w:w="24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ED47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10 - 39,99</w:t>
            </w:r>
          </w:p>
        </w:tc>
        <w:tc>
          <w:tcPr>
            <w:tcW w:w="24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B14F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40 - 79,99</w:t>
            </w:r>
          </w:p>
        </w:tc>
        <w:tc>
          <w:tcPr>
            <w:tcW w:w="24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E88F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80 - 100</w:t>
            </w:r>
          </w:p>
        </w:tc>
      </w:tr>
    </w:tbl>
    <w:p w14:paraId="24FDAED7" w14:textId="77777777" w:rsidR="00655A77" w:rsidRDefault="00655A77">
      <w:pPr>
        <w:rPr>
          <w:rFonts w:ascii="Arial" w:eastAsia="Arial" w:hAnsi="Arial" w:cs="Arial"/>
          <w:b/>
          <w:sz w:val="22"/>
          <w:szCs w:val="22"/>
        </w:rPr>
      </w:pPr>
    </w:p>
    <w:p w14:paraId="33294699" w14:textId="02B37BD6" w:rsidR="00655A77" w:rsidRDefault="005F75F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4. MATRIZ DE RISCOS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7D89DE65" wp14:editId="3E2CFB68">
                <wp:simplePos x="0" y="0"/>
                <wp:positionH relativeFrom="column">
                  <wp:posOffset>781050</wp:posOffset>
                </wp:positionH>
                <wp:positionV relativeFrom="paragraph">
                  <wp:posOffset>266700</wp:posOffset>
                </wp:positionV>
                <wp:extent cx="714375" cy="1362297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5401356">
                          <a:off x="3077281" y="1235975"/>
                          <a:ext cx="760500" cy="39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2F2A3" w14:textId="77777777" w:rsidR="00655A77" w:rsidRDefault="005F75F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>IMPACTO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9DE6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1.5pt;margin-top:21pt;width:56.25pt;height:107.25pt;rotation:-5899721fd;z-index: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" filled="f" stroked="f">
                <v:textbox inset="2.53958mm,2.53958mm,2.53958mm,2.53958mm">
                  <w:txbxContent>
                    <w:p w14:paraId="3622F2A3" w14:textId="77777777" w:rsidR="00655A77" w:rsidRDefault="005F75F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>IMPACTO</w:t>
                      </w:r>
                    </w:p>
                  </w:txbxContent>
                </v:textbox>
              </v:shape>
            </w:pict>
          </mc:Fallback>
        </mc:AlternateContent>
      </w:r>
    </w:p>
    <w:p w14:paraId="518622EA" w14:textId="586A53C4" w:rsidR="00655A77" w:rsidRDefault="00655A77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7"/>
        <w:tblW w:w="7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275"/>
        <w:gridCol w:w="1170"/>
        <w:gridCol w:w="1095"/>
        <w:gridCol w:w="1050"/>
        <w:gridCol w:w="1035"/>
        <w:gridCol w:w="1020"/>
      </w:tblGrid>
      <w:tr w:rsidR="00655A77" w14:paraId="1C109CA7" w14:textId="77777777" w:rsidTr="005F75F7">
        <w:trPr>
          <w:trHeight w:val="380"/>
          <w:jc w:val="center"/>
        </w:trPr>
        <w:tc>
          <w:tcPr>
            <w:tcW w:w="55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41DA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0FAC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Muito alto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44A1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93CD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70BF8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42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0389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42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5B77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655A77" w14:paraId="055B23EB" w14:textId="77777777" w:rsidTr="005F75F7">
        <w:trPr>
          <w:trHeight w:val="380"/>
          <w:jc w:val="center"/>
        </w:trPr>
        <w:tc>
          <w:tcPr>
            <w:tcW w:w="5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83E4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97C5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Alto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4785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82D2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9365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40</w:t>
            </w:r>
          </w:p>
        </w:tc>
        <w:tc>
          <w:tcPr>
            <w:tcW w:w="1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731E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64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42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0F2D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80</w:t>
            </w:r>
          </w:p>
        </w:tc>
      </w:tr>
      <w:tr w:rsidR="00655A77" w14:paraId="043D33D3" w14:textId="77777777" w:rsidTr="005F75F7">
        <w:trPr>
          <w:trHeight w:val="380"/>
          <w:jc w:val="center"/>
        </w:trPr>
        <w:tc>
          <w:tcPr>
            <w:tcW w:w="5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9782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255A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Médio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C058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B0DC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A6F0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15D0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911F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50</w:t>
            </w:r>
          </w:p>
        </w:tc>
      </w:tr>
      <w:tr w:rsidR="00655A77" w14:paraId="7E23E606" w14:textId="77777777" w:rsidTr="005F75F7">
        <w:trPr>
          <w:trHeight w:val="380"/>
          <w:jc w:val="center"/>
        </w:trPr>
        <w:tc>
          <w:tcPr>
            <w:tcW w:w="5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C5CC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FA07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Baixo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ACFF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6CEE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CC70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C6B1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649D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</w:p>
        </w:tc>
      </w:tr>
      <w:tr w:rsidR="00655A77" w14:paraId="192DCDC1" w14:textId="77777777" w:rsidTr="005F75F7">
        <w:trPr>
          <w:trHeight w:val="380"/>
          <w:jc w:val="center"/>
        </w:trPr>
        <w:tc>
          <w:tcPr>
            <w:tcW w:w="5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7249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28F9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Muito Baixo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92C1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BB5BA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8294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31B9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4466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655A77" w14:paraId="48D3EF50" w14:textId="77777777" w:rsidTr="005F75F7">
        <w:trPr>
          <w:trHeight w:val="503"/>
          <w:jc w:val="center"/>
        </w:trPr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30A5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E104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1D55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Muita baixa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03FA3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Baixa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63080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Média</w:t>
            </w:r>
          </w:p>
        </w:tc>
        <w:tc>
          <w:tcPr>
            <w:tcW w:w="1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F61A2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Alta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17A76" w14:textId="77777777" w:rsidR="00655A77" w:rsidRDefault="005F7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Muito alta</w:t>
            </w:r>
          </w:p>
        </w:tc>
      </w:tr>
      <w:tr w:rsidR="00655A77" w14:paraId="1A3009F2" w14:textId="77777777" w:rsidTr="005F75F7">
        <w:trPr>
          <w:trHeight w:val="503"/>
          <w:jc w:val="center"/>
        </w:trPr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9FDD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A5EC" w14:textId="77777777" w:rsidR="00655A77" w:rsidRDefault="00655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24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10E6" w14:textId="77777777" w:rsidR="00655A77" w:rsidRDefault="005F75F7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PROBABILIDADE</w:t>
            </w:r>
          </w:p>
        </w:tc>
      </w:tr>
    </w:tbl>
    <w:p w14:paraId="3FFA39D8" w14:textId="753BADD6" w:rsidR="00655A77" w:rsidRDefault="00655A77">
      <w:pPr>
        <w:rPr>
          <w:rFonts w:ascii="Arial" w:eastAsia="Arial" w:hAnsi="Arial" w:cs="Arial"/>
          <w:sz w:val="22"/>
          <w:szCs w:val="22"/>
        </w:rPr>
      </w:pPr>
    </w:p>
    <w:p w14:paraId="0D88DA9D" w14:textId="563773DA" w:rsidR="005F75F7" w:rsidRDefault="005F75F7">
      <w:pPr>
        <w:rPr>
          <w:rFonts w:ascii="Arial" w:eastAsia="Arial" w:hAnsi="Arial" w:cs="Arial"/>
          <w:sz w:val="22"/>
          <w:szCs w:val="22"/>
        </w:rPr>
      </w:pPr>
    </w:p>
    <w:p w14:paraId="28646297" w14:textId="2E270004" w:rsidR="005F75F7" w:rsidRDefault="005F75F7">
      <w:pPr>
        <w:rPr>
          <w:rFonts w:ascii="Arial" w:eastAsia="Arial" w:hAnsi="Arial" w:cs="Arial"/>
          <w:sz w:val="22"/>
          <w:szCs w:val="22"/>
        </w:rPr>
      </w:pPr>
    </w:p>
    <w:p w14:paraId="29386608" w14:textId="73AF0CCE" w:rsidR="005F75F7" w:rsidRDefault="005F75F7">
      <w:pPr>
        <w:rPr>
          <w:rFonts w:ascii="Arial" w:eastAsia="Arial" w:hAnsi="Arial" w:cs="Arial"/>
          <w:sz w:val="22"/>
          <w:szCs w:val="22"/>
        </w:rPr>
      </w:pPr>
    </w:p>
    <w:p w14:paraId="1D8B3B1E" w14:textId="77777777" w:rsidR="005F75F7" w:rsidRDefault="005F75F7">
      <w:pPr>
        <w:rPr>
          <w:rFonts w:ascii="Arial" w:eastAsia="Arial" w:hAnsi="Arial" w:cs="Arial"/>
          <w:sz w:val="22"/>
          <w:szCs w:val="22"/>
        </w:rPr>
      </w:pPr>
    </w:p>
    <w:sectPr w:rsidR="005F75F7">
      <w:pgSz w:w="12240" w:h="20160"/>
      <w:pgMar w:top="1133" w:right="850" w:bottom="1417" w:left="1417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DD98" w14:textId="77777777" w:rsidR="00121E47" w:rsidRDefault="005F75F7">
      <w:r>
        <w:separator/>
      </w:r>
    </w:p>
  </w:endnote>
  <w:endnote w:type="continuationSeparator" w:id="0">
    <w:p w14:paraId="5E5BA95D" w14:textId="77777777" w:rsidR="00121E47" w:rsidRDefault="005F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E2BD" w14:textId="77777777" w:rsidR="00121E47" w:rsidRDefault="005F75F7">
      <w:r>
        <w:separator/>
      </w:r>
    </w:p>
  </w:footnote>
  <w:footnote w:type="continuationSeparator" w:id="0">
    <w:p w14:paraId="1D08D4A8" w14:textId="77777777" w:rsidR="00121E47" w:rsidRDefault="005F75F7">
      <w:r>
        <w:continuationSeparator/>
      </w:r>
    </w:p>
  </w:footnote>
  <w:footnote w:id="1">
    <w:p w14:paraId="304FD1B9" w14:textId="77777777" w:rsidR="00655A77" w:rsidRDefault="005F75F7">
      <w:r>
        <w:rPr>
          <w:vertAlign w:val="superscript"/>
        </w:rPr>
        <w:footnoteRef/>
      </w:r>
      <w:r>
        <w:t xml:space="preserve"> Disponível em </w:t>
      </w:r>
      <w:hyperlink r:id="rId1">
        <w:r>
          <w:rPr>
            <w:color w:val="1155CC"/>
            <w:u w:val="single"/>
          </w:rPr>
          <w:t>https://wordpress.sea.sc.gov.br/site.cge/wp-content/uploads/2023/08/REFERENCIAL-DE-PREVENCAO-A-FRAUDE.pdf</w:t>
        </w:r>
      </w:hyperlink>
      <w:r>
        <w:t>. Acesso em 27/03/2024.</w:t>
      </w:r>
    </w:p>
  </w:footnote>
  <w:footnote w:id="2">
    <w:p w14:paraId="012D7E54" w14:textId="77777777" w:rsidR="00655A77" w:rsidRDefault="005F75F7">
      <w:r>
        <w:rPr>
          <w:vertAlign w:val="superscript"/>
        </w:rPr>
        <w:footnoteRef/>
      </w:r>
      <w:r>
        <w:t xml:space="preserve"> Disponível em </w:t>
      </w:r>
      <w:hyperlink r:id="rId2">
        <w:r>
          <w:rPr>
            <w:color w:val="1155CC"/>
            <w:u w:val="single"/>
          </w:rPr>
          <w:t>https://portal.tcu.gov.br/data/files/0F/A3/1D/0E/64A1F6107AD96FE6F18818A8/Gestao_riscos_avaliacao_maturidade.pdf</w:t>
        </w:r>
      </w:hyperlink>
      <w:r>
        <w:t>. Acesso em 27/03/2024.</w:t>
      </w:r>
    </w:p>
  </w:footnote>
  <w:footnote w:id="3">
    <w:p w14:paraId="49540101" w14:textId="77777777" w:rsidR="00655A77" w:rsidRDefault="005F75F7">
      <w:pPr>
        <w:rPr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</w:rPr>
        <w:t xml:space="preserve">Fonte:  Brasil. Tribunal de Contas da União. Roteiro de Avaliação de Maturidade da Gestão de Riscos / Tribunal de Contas da União. – Brasília: TCU, Secretaria de Métodos e Suporte ao Controle Externo, 2018.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62C2" w14:textId="77777777" w:rsidR="00655A77" w:rsidRDefault="00655A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8"/>
      <w:tblW w:w="11110" w:type="dxa"/>
      <w:tblInd w:w="-1145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Layout w:type="fixed"/>
      <w:tblLook w:val="0400" w:firstRow="0" w:lastRow="0" w:firstColumn="0" w:lastColumn="0" w:noHBand="0" w:noVBand="1"/>
    </w:tblPr>
    <w:tblGrid>
      <w:gridCol w:w="1134"/>
      <w:gridCol w:w="9976"/>
    </w:tblGrid>
    <w:tr w:rsidR="00B67ADD" w14:paraId="4CC469AE" w14:textId="77777777">
      <w:trPr>
        <w:trHeight w:val="879"/>
      </w:trPr>
      <w:tc>
        <w:tcPr>
          <w:tcW w:w="113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3ED8E69" w14:textId="5CBB7B30" w:rsidR="00B67ADD" w:rsidRDefault="00B67ADD" w:rsidP="00B67ADD">
          <w:pPr>
            <w:rPr>
              <w:rFonts w:ascii="Arial" w:eastAsia="Arial" w:hAnsi="Arial" w:cs="Arial"/>
            </w:rPr>
          </w:pPr>
        </w:p>
      </w:tc>
      <w:tc>
        <w:tcPr>
          <w:tcW w:w="99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FB4F915" w14:textId="1F71BABA" w:rsidR="00B67ADD" w:rsidRDefault="00B67ADD" w:rsidP="00B67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7143"/>
              <w:tab w:val="right" w:pos="14287"/>
            </w:tabs>
            <w:ind w:right="73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91546B0" wp14:editId="7045B4F6">
                <wp:extent cx="1488622" cy="604299"/>
                <wp:effectExtent l="0" t="0" r="0" b="5715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246" cy="622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1703E4" w14:textId="77777777" w:rsidR="00655A77" w:rsidRDefault="00655A77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4DDF"/>
    <w:multiLevelType w:val="hybridMultilevel"/>
    <w:tmpl w:val="3D241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50374"/>
    <w:multiLevelType w:val="hybridMultilevel"/>
    <w:tmpl w:val="50C4E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545BB"/>
    <w:multiLevelType w:val="multilevel"/>
    <w:tmpl w:val="D1287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3895116">
    <w:abstractNumId w:val="2"/>
  </w:num>
  <w:num w:numId="2" w16cid:durableId="1430396094">
    <w:abstractNumId w:val="0"/>
  </w:num>
  <w:num w:numId="3" w16cid:durableId="54895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77"/>
    <w:rsid w:val="00121E47"/>
    <w:rsid w:val="001D22BA"/>
    <w:rsid w:val="00297DE7"/>
    <w:rsid w:val="0031725F"/>
    <w:rsid w:val="003A36B8"/>
    <w:rsid w:val="004A11E1"/>
    <w:rsid w:val="00536656"/>
    <w:rsid w:val="005F75F7"/>
    <w:rsid w:val="00655A77"/>
    <w:rsid w:val="006D660C"/>
    <w:rsid w:val="008A2AC8"/>
    <w:rsid w:val="00B337DC"/>
    <w:rsid w:val="00B67ADD"/>
    <w:rsid w:val="00C27B2F"/>
    <w:rsid w:val="00F311E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909E"/>
  <w15:docId w15:val="{7CEBC8BA-6E88-417B-B2D1-9F70B4D1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Arial" w:eastAsia="Arial" w:hAnsi="Arial" w:cs="Arial"/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Arial" w:eastAsia="Arial" w:hAnsi="Arial" w:cs="Arial"/>
      <w:b/>
      <w:color w:val="000000"/>
      <w:sz w:val="40"/>
      <w:szCs w:val="4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Arial" w:eastAsia="Arial" w:hAnsi="Arial" w:cs="Arial"/>
      <w:b/>
      <w:i/>
      <w:color w:val="000000"/>
      <w:sz w:val="36"/>
      <w:szCs w:val="3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4"/>
    </w:pPr>
    <w:rPr>
      <w:rFonts w:ascii="Arial" w:eastAsia="Arial" w:hAnsi="Arial" w:cs="Arial"/>
      <w:b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5"/>
    </w:pPr>
    <w:rPr>
      <w:rFonts w:ascii="Arial" w:eastAsia="Arial" w:hAnsi="Arial" w:cs="Arial"/>
      <w:i/>
      <w:color w:val="232323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Liberation Serif" w:eastAsia="Liberation Serif" w:hAnsi="Liberation Serif" w:cs="Liberation Serif"/>
      <w:i/>
      <w:color w:val="444444"/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color w:val="404040"/>
    </w:r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B67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ADD"/>
  </w:style>
  <w:style w:type="paragraph" w:styleId="Rodap">
    <w:name w:val="footer"/>
    <w:basedOn w:val="Normal"/>
    <w:link w:val="RodapChar"/>
    <w:uiPriority w:val="99"/>
    <w:unhideWhenUsed/>
    <w:rsid w:val="00B67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ADD"/>
  </w:style>
  <w:style w:type="paragraph" w:styleId="PargrafodaLista">
    <w:name w:val="List Paragraph"/>
    <w:basedOn w:val="Normal"/>
    <w:uiPriority w:val="34"/>
    <w:qFormat/>
    <w:rsid w:val="00B67AD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F75F7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75F7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tcu.gov.br/data/files/0F/A3/1D/0E/64A1F6107AD96FE6F18818A8/Gestao_riscos_avaliacao_maturidade.pdf" TargetMode="External"/><Relationship Id="rId1" Type="http://schemas.openxmlformats.org/officeDocument/2006/relationships/hyperlink" Target="https://wordpress.sea.sc.gov.br/site.cge/wp-content/uploads/2023/08/REFERENCIAL-DE-PREVENCAO-A-FRAU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1126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OLIVO FURTADO</cp:lastModifiedBy>
  <cp:revision>7</cp:revision>
  <dcterms:created xsi:type="dcterms:W3CDTF">2024-10-02T19:32:00Z</dcterms:created>
  <dcterms:modified xsi:type="dcterms:W3CDTF">2025-05-20T14:20:00Z</dcterms:modified>
</cp:coreProperties>
</file>