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50"/>
        <w:gridCol w:w="12954"/>
      </w:tblGrid>
      <w:tr>
        <w:tc>
          <w:tcPr>
            <w:tcW w:type="dxa" w:w="2750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314000" cy="45930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_p1.jpe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000" cy="45930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2954"/>
            <w:tcMar>
              <w:top w:w="0" w:type="dxa"/>
              <w:start w:w="180" w:type="dxa"/>
              <w:bottom w:w="0" w:type="dxa"/>
              <w:end w:w="0" w:type="dxa"/>
            </w:tcMar>
            <w:tcBorders>
              <w:top w:val="nil"/>
              <w:start w:val="nil"/>
              <w:bottom w:val="single" w:sz="7" w:color="8A919B"/>
              <w:end w:val="nil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Liberation Sans Narrow" w:hAnsi="Liberation Sans Narrow"/>
                <w:b/>
                <w:i w:val="0"/>
                <w:color w:val="1F2937"/>
                <w:sz w:val="16"/>
              </w:rPr>
              <w:t>UNIVERSIDADE DO ESTADO DE SANTA CATARINA - UDESC</w:t>
            </w:r>
            <w:r>
              <w:br/>
            </w:r>
            <w:r>
              <w:rPr>
                <w:rFonts w:ascii="Liberation Sans Narrow" w:hAnsi="Liberation Sans Narrow"/>
                <w:b/>
                <w:i w:val="0"/>
                <w:color w:val="1F2937"/>
                <w:sz w:val="16"/>
              </w:rPr>
              <w:t>CENTRO DE EDUCAÇÃO SUPERIOR DO ALTO VALE DO ITAJAÍ - CEAVI</w:t>
            </w:r>
            <w:r>
              <w:br/>
            </w:r>
            <w:r>
              <w:rPr>
                <w:rFonts w:ascii="Liberation Sans Narrow" w:hAnsi="Liberation Sans Narrow"/>
                <w:b/>
                <w:i w:val="0"/>
                <w:color w:val="1F2937"/>
                <w:sz w:val="16"/>
              </w:rPr>
              <w:t>DIREÇÃO DE ENSINO DE GRADUAÇÃO - DEG</w:t>
            </w:r>
          </w:p>
        </w:tc>
      </w:tr>
    </w:tbl>
    <w:p>
      <w:pPr>
        <w:keepNext w:val="0"/>
        <w:spacing w:before="0" w:after="0" w:line="144" w:lineRule="auto"/>
      </w:pPr>
    </w:p>
    <w:p>
      <w:pPr>
        <w:keepNext/>
        <w:spacing w:before="40" w:after="20" w:line="240" w:lineRule="auto"/>
        <w:jc w:val="center"/>
      </w:pPr>
      <w:r>
        <w:rPr>
          <w:rFonts w:ascii="Liberation Serif" w:hAnsi="Liberation Serif"/>
          <w:b/>
          <w:i w:val="0"/>
          <w:color w:val="1F2937"/>
          <w:sz w:val="24"/>
        </w:rPr>
        <w:t>ANEXO II</w:t>
      </w:r>
    </w:p>
    <w:p>
      <w:pPr>
        <w:keepNext/>
        <w:spacing w:before="0" w:after="20" w:line="240" w:lineRule="auto"/>
        <w:jc w:val="center"/>
      </w:pPr>
      <w:r>
        <w:rPr>
          <w:rFonts w:ascii="Liberation Serif" w:hAnsi="Liberation Serif"/>
          <w:b/>
          <w:i w:val="0"/>
          <w:color w:val="1F2937"/>
          <w:sz w:val="28"/>
        </w:rPr>
        <w:t>QUADRO DE EQUIVALÊNCIA</w:t>
      </w:r>
    </w:p>
    <w:p>
      <w:pPr>
        <w:keepNext/>
        <w:spacing w:before="0" w:after="120" w:line="240" w:lineRule="auto"/>
        <w:jc w:val="center"/>
      </w:pPr>
      <w:r>
        <w:rPr>
          <w:rFonts w:ascii="Liberation Serif" w:hAnsi="Liberation Serif"/>
          <w:b w:val="0"/>
          <w:i/>
          <w:color w:val="1F2937"/>
          <w:sz w:val="20"/>
        </w:rPr>
        <w:t>(elaborado pela chefia)</w:t>
      </w:r>
    </w:p>
    <w:p>
      <w:pPr>
        <w:keepNext/>
        <w:spacing w:before="0" w:after="100" w:line="252" w:lineRule="auto"/>
        <w:jc w:val="both"/>
      </w:pPr>
      <w:r>
        <w:rPr>
          <w:rFonts w:ascii="Liberation Serif" w:hAnsi="Liberation Serif"/>
          <w:b w:val="0"/>
          <w:i w:val="0"/>
          <w:color w:val="1F2937"/>
          <w:sz w:val="18"/>
        </w:rPr>
        <w:t xml:space="preserve">Considerando o requerimento de aproveitamento de estudos apresentado pelo(a) acadêmico(a) </w:t>
      </w:r>
      <w:r>
        <w:rPr>
          <w:rFonts w:ascii="Liberation Serif" w:hAnsi="Liberation Serif"/>
          <w:b w:val="0"/>
          <w:i w:val="0"/>
          <w:color w:val="1F2937"/>
          <w:sz w:val="18"/>
        </w:rPr>
        <w:t>________________________________</w:t>
      </w:r>
      <w:r>
        <w:rPr>
          <w:rFonts w:ascii="Liberation Serif" w:hAnsi="Liberation Serif"/>
          <w:b w:val="0"/>
          <w:i w:val="0"/>
          <w:color w:val="1F2937"/>
          <w:sz w:val="18"/>
        </w:rPr>
        <w:t>, apresenta-se, no Quadro de Equivalência, a relação das disciplinas cursadas em outra IES que atendem ao mínimo de 75% do conteúdo programático e da carga horária exigidos para a disciplina correspondente na Udesc.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3090"/>
        <w:gridCol w:w="1276"/>
        <w:gridCol w:w="822"/>
        <w:gridCol w:w="879"/>
        <w:gridCol w:w="1332"/>
        <w:gridCol w:w="6208"/>
        <w:gridCol w:w="822"/>
      </w:tblGrid>
      <w:tr>
        <w:trPr>
          <w:cantSplit/>
          <w:trHeight w:val="652" w:hRule="atLeast"/>
          <w:tblHeader w:val="true"/>
        </w:trPr>
        <w:tc>
          <w:tcPr>
            <w:tcW w:type="dxa" w:w="1191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shd w:fill="DDE6F4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28" w:lineRule="auto"/>
              <w:jc w:val="center"/>
            </w:pPr>
            <w:r>
              <w:rPr>
                <w:rFonts w:ascii="Liberation Serif" w:hAnsi="Liberation Serif"/>
                <w:b/>
                <w:i w:val="0"/>
                <w:color w:val="1F2937"/>
                <w:sz w:val="16"/>
              </w:rPr>
              <w:t>Semestre/</w:t>
              <w:br/>
              <w:t>Ano</w:t>
            </w:r>
          </w:p>
        </w:tc>
        <w:tc>
          <w:tcPr>
            <w:tcW w:type="dxa" w:w="3090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shd w:fill="DDE6F4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28" w:lineRule="auto"/>
              <w:jc w:val="center"/>
            </w:pPr>
            <w:r>
              <w:rPr>
                <w:rFonts w:ascii="Liberation Serif" w:hAnsi="Liberation Serif"/>
                <w:b/>
                <w:i w:val="0"/>
                <w:color w:val="1F2937"/>
                <w:sz w:val="16"/>
              </w:rPr>
              <w:t>Disciplinas cursadas</w:t>
              <w:br/>
              <w:t>outra IES</w:t>
            </w:r>
          </w:p>
        </w:tc>
        <w:tc>
          <w:tcPr>
            <w:tcW w:type="dxa" w:w="1276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shd w:fill="DDE6F4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28" w:lineRule="auto"/>
              <w:jc w:val="center"/>
            </w:pPr>
            <w:r>
              <w:rPr>
                <w:rFonts w:ascii="Liberation Serif" w:hAnsi="Liberation Serif"/>
                <w:b/>
                <w:i w:val="0"/>
                <w:color w:val="1F2937"/>
                <w:sz w:val="16"/>
              </w:rPr>
              <w:t>IES</w:t>
            </w:r>
          </w:p>
        </w:tc>
        <w:tc>
          <w:tcPr>
            <w:tcW w:type="dxa" w:w="82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shd w:fill="DDE6F4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28" w:lineRule="auto"/>
              <w:jc w:val="center"/>
            </w:pPr>
            <w:r>
              <w:rPr>
                <w:rFonts w:ascii="Liberation Serif" w:hAnsi="Liberation Serif"/>
                <w:b/>
                <w:i w:val="0"/>
                <w:color w:val="1F2937"/>
                <w:sz w:val="16"/>
              </w:rPr>
              <w:t>CH</w:t>
            </w:r>
          </w:p>
        </w:tc>
        <w:tc>
          <w:tcPr>
            <w:tcW w:type="dxa" w:w="879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shd w:fill="DDE6F4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28" w:lineRule="auto"/>
              <w:jc w:val="center"/>
            </w:pPr>
            <w:r>
              <w:rPr>
                <w:rFonts w:ascii="Liberation Serif" w:hAnsi="Liberation Serif"/>
                <w:b/>
                <w:i w:val="0"/>
                <w:color w:val="1F2937"/>
                <w:sz w:val="16"/>
              </w:rPr>
              <w:t>Nota</w:t>
            </w:r>
          </w:p>
        </w:tc>
        <w:tc>
          <w:tcPr>
            <w:tcW w:type="dxa" w:w="133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shd w:fill="DDE6F4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28" w:lineRule="auto"/>
              <w:jc w:val="center"/>
            </w:pPr>
            <w:r>
              <w:rPr>
                <w:rFonts w:ascii="Liberation Serif" w:hAnsi="Liberation Serif"/>
                <w:b/>
                <w:i w:val="0"/>
                <w:color w:val="1F2937"/>
                <w:sz w:val="16"/>
              </w:rPr>
              <w:t>Fase na Udesc</w:t>
            </w:r>
          </w:p>
        </w:tc>
        <w:tc>
          <w:tcPr>
            <w:tcW w:type="dxa" w:w="6208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shd w:fill="DDE6F4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28" w:lineRule="auto"/>
              <w:jc w:val="center"/>
            </w:pPr>
            <w:r>
              <w:rPr>
                <w:rFonts w:ascii="Liberation Serif" w:hAnsi="Liberation Serif"/>
                <w:b/>
                <w:i w:val="0"/>
                <w:color w:val="1F2937"/>
                <w:sz w:val="16"/>
              </w:rPr>
              <w:t>Disciplina validada na Udesc</w:t>
            </w:r>
          </w:p>
        </w:tc>
        <w:tc>
          <w:tcPr>
            <w:tcW w:type="dxa" w:w="82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shd w:fill="DDE6F4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28" w:lineRule="auto"/>
              <w:jc w:val="center"/>
            </w:pPr>
            <w:r>
              <w:rPr>
                <w:rFonts w:ascii="Liberation Serif" w:hAnsi="Liberation Serif"/>
                <w:b/>
                <w:i w:val="0"/>
                <w:color w:val="1F2937"/>
                <w:sz w:val="16"/>
              </w:rPr>
              <w:t>CH</w:t>
            </w:r>
          </w:p>
        </w:tc>
      </w:tr>
      <w:tr>
        <w:trPr>
          <w:cantSplit/>
          <w:trHeight w:val="737" w:hRule="atLeast"/>
        </w:trPr>
        <w:tc>
          <w:tcPr>
            <w:tcW w:type="dxa" w:w="1191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3090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1276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2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79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133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6208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2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</w:tr>
      <w:tr>
        <w:trPr>
          <w:cantSplit/>
          <w:trHeight w:val="737" w:hRule="atLeast"/>
        </w:trPr>
        <w:tc>
          <w:tcPr>
            <w:tcW w:type="dxa" w:w="1191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3090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1276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2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79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133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6208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2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</w:tr>
      <w:tr>
        <w:trPr>
          <w:cantSplit/>
          <w:trHeight w:val="737" w:hRule="atLeast"/>
        </w:trPr>
        <w:tc>
          <w:tcPr>
            <w:tcW w:type="dxa" w:w="1191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3090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1276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2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79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133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6208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2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</w:tr>
      <w:tr>
        <w:trPr>
          <w:cantSplit/>
          <w:trHeight w:val="737" w:hRule="atLeast"/>
        </w:trPr>
        <w:tc>
          <w:tcPr>
            <w:tcW w:type="dxa" w:w="1191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3090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1276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2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79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133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6208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2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</w:tr>
      <w:tr>
        <w:trPr>
          <w:cantSplit/>
          <w:trHeight w:val="737" w:hRule="atLeast"/>
        </w:trPr>
        <w:tc>
          <w:tcPr>
            <w:tcW w:type="dxa" w:w="1191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3090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1276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2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79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133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6208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  <w:tc>
          <w:tcPr>
            <w:tcW w:type="dxa" w:w="822"/>
            <w:tcMar>
              <w:top w:w="55" w:type="dxa"/>
              <w:start w:w="45" w:type="dxa"/>
              <w:bottom w:w="55" w:type="dxa"/>
              <w:end w:w="45" w:type="dxa"/>
            </w:tcMar>
            <w:vAlign w:val="center"/>
            <w:tcBorders>
              <w:top w:val="single" w:sz="6" w:color="AAB1BA"/>
              <w:start w:val="single" w:sz="6" w:color="AAB1BA"/>
              <w:bottom w:val="single" w:sz="6" w:color="AAB1BA"/>
              <w:end w:val="single" w:sz="6" w:color="AAB1B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FFFFF"/>
                <w:sz w:val="20"/>
              </w:rPr>
              <w:t xml:space="preserve"> </w:t>
            </w:r>
          </w:p>
        </w:tc>
      </w:tr>
    </w:tbl>
    <w:p>
      <w:pPr>
        <w:keepNext w:val="0"/>
        <w:spacing w:before="20" w:after="160" w:line="240" w:lineRule="auto"/>
      </w:pPr>
      <w:r>
        <w:rPr>
          <w:rFonts w:ascii="Liberation Serif" w:hAnsi="Liberation Serif"/>
          <w:b w:val="0"/>
          <w:i/>
          <w:color w:val="1F2937"/>
          <w:sz w:val="17"/>
        </w:rPr>
        <w:t>OBS: acrescente linhas necessárias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5"/>
        <w:gridCol w:w="5339"/>
      </w:tblGrid>
      <w:tr>
        <w:tc>
          <w:tcPr>
            <w:tcW w:type="dxa" w:w="10365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start w:val="nil"/>
              <w:bottom w:val="nil"/>
              <w:end w:val="nil"/>
            </w:tcBorders>
          </w:tcPr>
          <w:p/>
        </w:tc>
        <w:tc>
          <w:tcPr>
            <w:tcW w:type="dxa" w:w="5339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start w:val="nil"/>
              <w:bottom w:val="nil"/>
              <w:end w:val="nil"/>
            </w:tcBorders>
          </w:tcPr>
          <w:p>
            <w:pPr>
              <w:keepNext w:val="0"/>
              <w:spacing w:before="180" w:after="0" w:line="240" w:lineRule="auto"/>
              <w:jc w:val="center"/>
            </w:pPr>
            <w:r>
              <w:rPr>
                <w:rFonts w:ascii="Liberation Serif" w:hAnsi="Liberation Serif"/>
                <w:b w:val="0"/>
                <w:i w:val="0"/>
                <w:color w:val="1F2937"/>
                <w:sz w:val="19"/>
              </w:rPr>
              <w:t>Assinatura Digital da Chefia</w:t>
            </w:r>
          </w:p>
        </w:tc>
      </w:tr>
    </w:tbl>
    <w:sectPr w:rsidR="00FC693F" w:rsidRPr="0006063C" w:rsidSect="00034616">
      <w:footerReference w:type="default" r:id="rId9"/>
      <w:pgSz w:w="16838" w:h="11906" w:orient="landscape"/>
      <w:pgMar w:top="482" w:right="567" w:bottom="567" w:left="567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center"/>
    </w:pPr>
    <w:r>
      <w:rPr>
        <w:rFonts w:ascii="Liberation Sans" w:hAnsi="Liberation Sans"/>
        <w:b w:val="0"/>
        <w:i w:val="0"/>
        <w:color w:val="6B7280"/>
        <w:sz w:val="16"/>
      </w:rPr>
      <w:t xml:space="preserve">Página </w:t>
    </w:r>
    <w:r>
      <w:rPr>
        <w:rFonts w:ascii="Liberation Sans" w:hAnsi="Liberation Sans"/>
        <w:b w:val="0"/>
        <w:i w:val="0"/>
        <w:color w:val="6B7280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Liberation Sans" w:hAnsi="Liberation Sans"/>
        <w:b w:val="0"/>
        <w:i w:val="0"/>
        <w:color w:val="6B7280"/>
        <w:sz w:val="16"/>
      </w:rPr>
      <w:t xml:space="preserve"> de </w:t>
    </w:r>
    <w:r>
      <w:rPr>
        <w:rFonts w:ascii="Liberation Sans" w:hAnsi="Liberation Sans"/>
        <w:b w:val="0"/>
        <w:i w:val="0"/>
        <w:color w:val="6B7280"/>
        <w:sz w:val="16"/>
      </w:rP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iberation Serif" w:hAnsi="Liberation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- Quadro de Equivalência</dc:title>
  <dc:subject>Formulários editáveis para aproveitamento de estudos</dc:subject>
  <dc:creator>UDESC - CEAVI - Direção de Ensino de Graduação</dc:creator>
  <cp:keywords>UDESC, CEAVI, DEG, aproveitamento de estudos, equivalência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