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2335200A" w:rsidR="00EF44A4" w:rsidRPr="003D710A" w:rsidRDefault="00F079E0" w:rsidP="009852F8">
      <w:pPr>
        <w:pStyle w:val="Ttulo1"/>
        <w:spacing w:before="93"/>
        <w:ind w:left="0" w:firstLine="0"/>
        <w:jc w:val="center"/>
      </w:pPr>
      <w:r>
        <w:t xml:space="preserve">ANEXO XII - </w:t>
      </w:r>
      <w:r w:rsidR="00DE5EB0" w:rsidRPr="003D710A">
        <w:t>TERMO</w:t>
      </w:r>
      <w:r w:rsidR="00DE5EB0" w:rsidRPr="003D710A">
        <w:rPr>
          <w:spacing w:val="-4"/>
        </w:rPr>
        <w:t xml:space="preserve"> </w:t>
      </w:r>
      <w:r w:rsidR="00DE5EB0" w:rsidRPr="003D710A">
        <w:t>DE</w:t>
      </w:r>
      <w:r w:rsidR="00DE5EB0" w:rsidRPr="003D710A">
        <w:rPr>
          <w:spacing w:val="-4"/>
        </w:rPr>
        <w:t xml:space="preserve"> </w:t>
      </w:r>
      <w:r w:rsidR="00DE5EB0" w:rsidRPr="003D710A">
        <w:t>REFERÊNCIA</w:t>
      </w:r>
    </w:p>
    <w:p w14:paraId="191FC22B" w14:textId="0C35199D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DE5EB0" w:rsidRPr="003D710A">
        <w:rPr>
          <w:rFonts w:ascii="Arial" w:hAnsi="Arial" w:cs="Arial"/>
        </w:rPr>
        <w:t>20</w:t>
      </w:r>
      <w:r w:rsidRPr="003D710A">
        <w:rPr>
          <w:rFonts w:ascii="Arial" w:hAnsi="Arial" w:cs="Arial"/>
        </w:rPr>
        <w:t>2</w:t>
      </w:r>
      <w:r w:rsidR="00F53EAE">
        <w:rPr>
          <w:rFonts w:ascii="Arial" w:hAnsi="Arial" w:cs="Arial"/>
        </w:rPr>
        <w:t>4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F53EAE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3D710A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3D710A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3D710A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3D710A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3D710A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1A7E0286" w:rsidR="00616899" w:rsidRPr="00F53EAE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F53EAE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- </w:t>
            </w:r>
            <w:r w:rsidRPr="00F53EA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 resumidamente (ex. Inscrição do servidor profº xxxxx, no evento xxxx</w:t>
            </w:r>
            <w:r w:rsidRPr="00F53E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F53EAE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3D710A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3D710A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3D710A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3D710A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3D710A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3D710A" w:rsidRDefault="008F5338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3D710A" w:rsidRDefault="008F5338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3D710A" w:rsidRDefault="008F5338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3D710A" w:rsidRDefault="008F5338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8F5338" w:rsidRPr="003D710A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3D710A" w:rsidRDefault="00616899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3D710A" w:rsidRDefault="00616899" w:rsidP="00F53EAE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Inscrição no </w:t>
                  </w:r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 xxxx</w:t>
                  </w:r>
                </w:p>
                <w:p w14:paraId="6CB7D588" w14:textId="1829ACB1" w:rsidR="00616899" w:rsidRPr="003D710A" w:rsidRDefault="003D710A" w:rsidP="00F53EA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3D710A" w:rsidRDefault="003D710A" w:rsidP="00F53EA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3D710A" w:rsidRDefault="008F5338" w:rsidP="00F53EA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3D710A" w:rsidRDefault="003D710A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3D710A" w:rsidRDefault="00616899" w:rsidP="00F53EA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3D710A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3D710A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3D710A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3D710A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3D710A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3D710A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3D710A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3D710A">
              <w:rPr>
                <w:rFonts w:ascii="Arial" w:hAnsi="Arial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3D71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D960B0C" w14:textId="77777777" w:rsidR="00715A69" w:rsidRPr="003D710A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3D710A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3D710A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3D710A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3D710A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3D710A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753D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autorização prevista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3D710A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3D710A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3D710A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3D710A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</w:rPr>
            </w:pPr>
            <w:r w:rsidRPr="0038753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3D710A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3D710A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3D710A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3D710A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3D710A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 xml:space="preserve">( </w:t>
            </w:r>
            <w:r w:rsidR="00616899" w:rsidRPr="003D710A">
              <w:rPr>
                <w:rFonts w:ascii="Arial" w:hAnsi="Arial" w:cs="Arial"/>
                <w:spacing w:val="-1"/>
              </w:rPr>
              <w:t>x</w:t>
            </w:r>
            <w:r w:rsidRPr="003D710A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3D710A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3D710A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3D710A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3D710A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</w:t>
            </w:r>
            <w:r w:rsidR="00616899" w:rsidRPr="003D710A">
              <w:rPr>
                <w:rFonts w:ascii="Arial" w:hAnsi="Arial" w:cs="Arial"/>
              </w:rPr>
              <w:t>x</w:t>
            </w:r>
            <w:r w:rsidRPr="003D710A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3D710A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3D710A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3D710A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3D710A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3D710A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3D710A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Justificativa:  Não se aplica</w:t>
            </w:r>
          </w:p>
          <w:p w14:paraId="7962371B" w14:textId="2D466C27" w:rsidR="00070E5E" w:rsidRPr="003D710A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3D710A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3D710A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38753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8CB101" w14:textId="77777777" w:rsidR="00070E5E" w:rsidRPr="0038753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8753D"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exigidos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adicionais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juntamente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com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753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(para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análise da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equipe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final de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preços):</w:t>
            </w:r>
          </w:p>
          <w:p w14:paraId="716F560B" w14:textId="49D4588F" w:rsidR="00070E5E" w:rsidRPr="0038753D" w:rsidRDefault="00070E5E" w:rsidP="00070E5E">
            <w:pPr>
              <w:pStyle w:val="Corpodetexto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( </w:t>
            </w:r>
            <w:r w:rsidR="00616899" w:rsidRPr="0038753D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 ) Não</w:t>
            </w:r>
          </w:p>
          <w:p w14:paraId="5744C64D" w14:textId="00B2F4C1" w:rsidR="00070E5E" w:rsidRPr="0038753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04785DCE" w14:textId="77777777" w:rsidR="00070E5E" w:rsidRPr="003D710A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06600C32" w14:textId="77777777" w:rsidR="00070E5E" w:rsidRPr="003D710A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3D710A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6F9A1" w14:textId="6F846FED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>Físicas, conforme o caso;</w:t>
            </w:r>
          </w:p>
          <w:p w14:paraId="1F7438BF" w14:textId="21E54F72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  ) Certidão Negativa de débitos da </w:t>
            </w:r>
            <w:r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Fazenda Nacional;</w:t>
            </w:r>
          </w:p>
          <w:p w14:paraId="545E093A" w14:textId="6F90C239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do Estado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de Santa Catarina e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418E5687" w14:textId="0B78D615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 Certidão Negativa de débitos municipal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64BA6139" w14:textId="56436115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perante o FGTS;</w:t>
            </w:r>
          </w:p>
          <w:p w14:paraId="1EABE2C6" w14:textId="70271D84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A53759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520DA87A" w14:textId="297D6E01" w:rsidR="00070E5E" w:rsidRPr="0038753D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)  Fornecedor estrangeiro - Invoice </w:t>
            </w:r>
          </w:p>
          <w:p w14:paraId="0117AD60" w14:textId="77777777" w:rsidR="00070E5E" w:rsidRPr="0038753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F9DB0" w14:textId="77777777" w:rsidR="00070E5E" w:rsidRPr="003D710A" w:rsidRDefault="00070E5E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E0FEB" w14:textId="23892E8B" w:rsidR="00070E5E" w:rsidRPr="003D710A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3D710A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BB4080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 “xxx", a ser realizado no período de xxxx,  na cidade de xxxxx.</w:t>
            </w:r>
          </w:p>
          <w:p w14:paraId="58CE7702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 evento será realizado no período de xxxxx, conforme proposta anexada: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xxxx – apresentação xxx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xxxx – palestras xxxx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6.3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Não será admitida a subcontratação do objeto do presente processo. </w:t>
            </w:r>
          </w:p>
          <w:p w14:paraId="3F45FEFA" w14:textId="5F73371D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6.4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Será emitida Nota de Empenho 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estimado em reais 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>do objeto.</w:t>
            </w:r>
          </w:p>
          <w:p w14:paraId="560E659E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3D710A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3D710A" w:rsidRDefault="00070E5E" w:rsidP="00F53EA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Default="00F76851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3D710A" w:rsidRDefault="00F76851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3D710A" w:rsidRDefault="00F76851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Default="00F76851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3D710A" w:rsidRDefault="00070E5E" w:rsidP="00F53EA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3D710A" w:rsidRDefault="00070E5E" w:rsidP="00F53EA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3D710A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0D0FAC" w:rsidRDefault="00070E5E" w:rsidP="00F53EA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3D710A" w:rsidRDefault="00070E5E" w:rsidP="00F53EA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3D710A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3D710A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3D710A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3D710A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3D710A">
              <w:rPr>
                <w:b/>
                <w:sz w:val="22"/>
                <w:szCs w:val="22"/>
              </w:rPr>
              <w:t>INSTRUMENTO</w:t>
            </w:r>
            <w:r w:rsidRPr="003D710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D710A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3D710A">
              <w:rPr>
                <w:spacing w:val="-5"/>
                <w:sz w:val="22"/>
                <w:szCs w:val="22"/>
              </w:rPr>
              <w:t xml:space="preserve">(       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Somente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por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assinatura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de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3D710A">
              <w:rPr>
                <w:spacing w:val="-57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(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="00486B29" w:rsidRPr="003D710A">
              <w:rPr>
                <w:spacing w:val="-11"/>
                <w:sz w:val="22"/>
                <w:szCs w:val="22"/>
              </w:rPr>
              <w:t>X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="000F21BF" w:rsidRPr="003D710A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3D710A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C2040BE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9BFBC4" w14:textId="7C96ABEB" w:rsidR="00070E5E" w:rsidRPr="003D710A" w:rsidRDefault="00070E5E" w:rsidP="00070E5E">
            <w:pPr>
              <w:tabs>
                <w:tab w:val="left" w:pos="621"/>
              </w:tabs>
              <w:ind w:left="196" w:right="228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  ) O prazo de vigência da contratação é de ............. (12 meses ou o máximo de 5 anos) contados da sua assinatura, prorrogável por até 10 anos, na forma dos artigos 106 e 107 da Lei n° 14.133, de 2021.</w:t>
            </w:r>
          </w:p>
          <w:p w14:paraId="36168ABC" w14:textId="3B81C606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(  ) O fornecimento de bens/prestação dos serviços é enquadrado como continuado tendo em vista que </w:t>
            </w:r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3D710A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lastRenderedPageBreak/>
              <w:t>GESTÃO E FISCALIZAÇÃO</w:t>
            </w:r>
          </w:p>
          <w:p w14:paraId="5ED9D0ED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3D710A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3D710A" w:rsidRDefault="00070E5E" w:rsidP="00F53EA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3D710A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3D710A" w:rsidRDefault="00070E5E" w:rsidP="00F53EA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3D710A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3D710A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3D710A" w:rsidRDefault="00070E5E" w:rsidP="00F53EA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3D710A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3D710A" w:rsidRDefault="00070E5E" w:rsidP="00F53EA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email docente</w:t>
                  </w:r>
                </w:p>
              </w:tc>
            </w:tr>
          </w:tbl>
          <w:p w14:paraId="10921658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3D710A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3D710A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>
              <w:rPr>
                <w:rFonts w:ascii="Arial" w:hAnsi="Arial" w:cs="Arial"/>
                <w:bCs/>
                <w:sz w:val="22"/>
                <w:szCs w:val="22"/>
              </w:rPr>
              <w:t>conforme data de vencimento da Invoice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3D710A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3D710A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3D710A" w:rsidRDefault="00070E5E" w:rsidP="00F53EA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3D710A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3D710A" w:rsidRDefault="00070E5E" w:rsidP="00F53EA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3D710A" w:rsidRDefault="00070E5E" w:rsidP="00F53EA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3D710A" w:rsidRDefault="00070E5E" w:rsidP="00F53EA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3D710A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3D710A" w:rsidRDefault="00486B29" w:rsidP="00F53EA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3D710A" w:rsidRDefault="00486B29" w:rsidP="00F53EA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3D710A" w:rsidRDefault="00486B29" w:rsidP="00F53EA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3D710A" w:rsidRDefault="00486B29" w:rsidP="00F53EA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3D710A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valor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máximo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estimado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será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de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3D710A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3D710A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3D710A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3D710A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3D710A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3D710A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3D710A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3D710A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 Marcello Beckert Zappelilini</w:t>
            </w:r>
          </w:p>
          <w:p w14:paraId="327FE90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Matrícula: 3015637-01</w:t>
            </w:r>
          </w:p>
          <w:p w14:paraId="701CB4F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3D710A" w:rsidRDefault="00011481" w:rsidP="000F21BF">
      <w:pPr>
        <w:pStyle w:val="Ttulo1"/>
        <w:ind w:left="0" w:firstLine="0"/>
        <w:sectPr w:rsidR="00011481" w:rsidRPr="003D710A" w:rsidSect="00743706">
          <w:headerReference w:type="default" r:id="rId9"/>
          <w:footerReference w:type="default" r:id="rId10"/>
          <w:pgSz w:w="11900" w:h="16840" w:code="9"/>
          <w:pgMar w:top="1843" w:right="618" w:bottom="851" w:left="618" w:header="851" w:footer="0" w:gutter="0"/>
          <w:cols w:space="720"/>
          <w:docGrid w:linePitch="326"/>
        </w:sectPr>
      </w:pPr>
    </w:p>
    <w:p w14:paraId="54EB0233" w14:textId="56C03CC9" w:rsidR="00011481" w:rsidRPr="003D710A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3D710A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9A8F" w14:textId="77777777" w:rsidR="00743706" w:rsidRDefault="00743706">
      <w:r>
        <w:separator/>
      </w:r>
    </w:p>
  </w:endnote>
  <w:endnote w:type="continuationSeparator" w:id="0">
    <w:p w14:paraId="0315FED0" w14:textId="77777777" w:rsidR="00743706" w:rsidRDefault="0074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6374" w14:textId="77777777" w:rsidR="00743706" w:rsidRDefault="00743706">
      <w:r>
        <w:separator/>
      </w:r>
    </w:p>
  </w:footnote>
  <w:footnote w:type="continuationSeparator" w:id="0">
    <w:p w14:paraId="410C5255" w14:textId="77777777" w:rsidR="00743706" w:rsidRDefault="0074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5C72FA89" w:rsidR="001B7589" w:rsidRPr="000B479B" w:rsidRDefault="003D710A" w:rsidP="001B7589">
    <w:pPr>
      <w:tabs>
        <w:tab w:val="left" w:pos="10800"/>
      </w:tabs>
      <w:ind w:left="1080"/>
      <w:rPr>
        <w:sz w:val="20"/>
        <w:szCs w:val="20"/>
      </w:rPr>
    </w:pPr>
    <w:r w:rsidRPr="00864D2E">
      <w:rPr>
        <w:noProof/>
      </w:rPr>
      <w:drawing>
        <wp:anchor distT="0" distB="0" distL="114300" distR="114300" simplePos="0" relativeHeight="251660288" behindDoc="0" locked="0" layoutInCell="1" allowOverlap="1" wp14:anchorId="0F70878D" wp14:editId="1A765DDA">
          <wp:simplePos x="0" y="0"/>
          <wp:positionH relativeFrom="margin">
            <wp:posOffset>5494020</wp:posOffset>
          </wp:positionH>
          <wp:positionV relativeFrom="paragraph">
            <wp:posOffset>-254000</wp:posOffset>
          </wp:positionV>
          <wp:extent cx="1247140" cy="700405"/>
          <wp:effectExtent l="0" t="0" r="0" b="4445"/>
          <wp:wrapNone/>
          <wp:docPr id="2074065869" name="Imagem 2074065869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1B2D2D" wp14:editId="66D71CBE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723390" cy="699602"/>
          <wp:effectExtent l="0" t="0" r="0" b="5715"/>
          <wp:wrapNone/>
          <wp:docPr id="764484388" name="Imagem 76448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9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13F4"/>
    <w:rsid w:val="008C28CC"/>
    <w:rsid w:val="008F02DA"/>
    <w:rsid w:val="008F5338"/>
    <w:rsid w:val="008F7506"/>
    <w:rsid w:val="00902897"/>
    <w:rsid w:val="009041C0"/>
    <w:rsid w:val="0090623D"/>
    <w:rsid w:val="0091292B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3A38"/>
    <w:rsid w:val="00B74E61"/>
    <w:rsid w:val="00BB3FD4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079E0"/>
    <w:rsid w:val="00F11A4D"/>
    <w:rsid w:val="00F53EAE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A6EE2-9F34-4279-8FF8-6C7A0A43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1157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5</cp:revision>
  <cp:lastPrinted>2023-11-30T17:29:00Z</cp:lastPrinted>
  <dcterms:created xsi:type="dcterms:W3CDTF">2024-02-23T17:23:00Z</dcterms:created>
  <dcterms:modified xsi:type="dcterms:W3CDTF">2024-06-24T21:28:00Z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