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09851850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563752">
        <w:rPr>
          <w:rFonts w:ascii="Arial" w:hAnsi="Arial" w:cs="Arial"/>
        </w:rPr>
        <w:t>xxx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563752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563752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563752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563752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563752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563752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23EB829A" w:rsidR="00616899" w:rsidRPr="00563752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</w:t>
            </w:r>
            <w:proofErr w:type="gramStart"/>
            <w:r w:rsidRPr="00563752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- </w:t>
            </w:r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</w:t>
            </w:r>
            <w:proofErr w:type="gramEnd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resumidamente (ex. Inscrição do servidor</w:t>
            </w:r>
            <w:r w:rsidR="00B234BC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="00B234BC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ou aluno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Pr="005637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563752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563752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563752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563752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563752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4253"/>
              <w:gridCol w:w="1659"/>
              <w:gridCol w:w="1683"/>
            </w:tblGrid>
            <w:tr w:rsidR="008F5338" w:rsidRPr="00563752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563752" w:rsidRDefault="008F5338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563752" w:rsidRDefault="008F5338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563752" w:rsidRDefault="008F5338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563752" w:rsidRDefault="008F5338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QUANTIDADE</w:t>
                  </w:r>
                </w:p>
              </w:tc>
            </w:tr>
            <w:tr w:rsidR="008F5338" w:rsidRPr="00563752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563752" w:rsidRDefault="00616899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563752" w:rsidRDefault="00616899" w:rsidP="00563752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proofErr w:type="spellStart"/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1829ACB1" w:rsidR="00616899" w:rsidRPr="00563752" w:rsidRDefault="003D710A" w:rsidP="00563752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563752" w:rsidRDefault="003D710A" w:rsidP="00563752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563752" w:rsidRDefault="008F5338" w:rsidP="00563752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563752" w:rsidRDefault="003D710A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563752" w:rsidRDefault="00616899" w:rsidP="00563752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563752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563752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563752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563752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563752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563752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563752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5637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</w:p>
          <w:p w14:paraId="6D960B0C" w14:textId="77777777" w:rsidR="00715A69" w:rsidRPr="00563752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563752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563752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563752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563752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563752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</w:t>
            </w:r>
            <w:r w:rsidR="00616899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753D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autorização prevista</w:t>
            </w:r>
            <w:r w:rsidR="00616899" w:rsidRPr="0056375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563752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563752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563752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563752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  <w:r w:rsidRPr="00563752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563752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563752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5637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563752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563752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563752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563752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 xml:space="preserve">( </w:t>
            </w:r>
            <w:r w:rsidR="00616899" w:rsidRPr="00563752">
              <w:rPr>
                <w:rFonts w:ascii="Arial" w:hAnsi="Arial" w:cs="Arial"/>
                <w:spacing w:val="-1"/>
              </w:rPr>
              <w:t>x</w:t>
            </w:r>
            <w:r w:rsidRPr="00563752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563752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563752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Justificativa: </w:t>
            </w:r>
            <w:r w:rsidR="0038753D" w:rsidRPr="00563752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563752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563752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563752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(  </w:t>
            </w:r>
            <w:r w:rsidR="00616899" w:rsidRPr="00563752">
              <w:rPr>
                <w:rFonts w:ascii="Arial" w:hAnsi="Arial" w:cs="Arial"/>
              </w:rPr>
              <w:t>x</w:t>
            </w:r>
            <w:r w:rsidRPr="00563752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563752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t xml:space="preserve">Justificativa: </w:t>
            </w:r>
            <w:r w:rsidR="0038753D" w:rsidRPr="00563752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563752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563752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563752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563752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563752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563752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</w:rPr>
              <w:lastRenderedPageBreak/>
              <w:t>Justificativa:  Não se aplica</w:t>
            </w:r>
          </w:p>
          <w:p w14:paraId="7962371B" w14:textId="2D466C27" w:rsidR="00070E5E" w:rsidRPr="00563752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563752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563752" w14:paraId="2DC09522" w14:textId="77777777" w:rsidTr="00563752">
        <w:trPr>
          <w:trHeight w:val="2986"/>
        </w:trPr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563752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563752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63752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563752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563752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563752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351EA912" w:rsidR="00070E5E" w:rsidRPr="00563752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563752">
              <w:rPr>
                <w:rFonts w:ascii="Arial" w:hAnsi="Arial" w:cs="Arial"/>
                <w:spacing w:val="-1"/>
              </w:rPr>
              <w:t xml:space="preserve">( </w:t>
            </w:r>
            <w:r w:rsidR="00563752" w:rsidRPr="00563752">
              <w:rPr>
                <w:rFonts w:ascii="Arial" w:hAnsi="Arial" w:cs="Arial"/>
                <w:spacing w:val="-1"/>
              </w:rPr>
              <w:t xml:space="preserve">   </w:t>
            </w:r>
            <w:r w:rsidRPr="00563752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3AEF07AE" w:rsidR="00070E5E" w:rsidRPr="00563752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563752" w:rsidRPr="00563752">
              <w:rPr>
                <w:rFonts w:ascii="Arial" w:hAnsi="Arial" w:cs="Arial"/>
                <w:sz w:val="22"/>
                <w:szCs w:val="22"/>
              </w:rPr>
              <w:t>x</w:t>
            </w:r>
            <w:r w:rsidRPr="00563752">
              <w:rPr>
                <w:rFonts w:ascii="Arial" w:hAnsi="Arial" w:cs="Arial"/>
                <w:sz w:val="22"/>
                <w:szCs w:val="22"/>
              </w:rPr>
              <w:t xml:space="preserve"> ) Sim</w:t>
            </w:r>
          </w:p>
          <w:p w14:paraId="04785DCE" w14:textId="77777777" w:rsidR="00070E5E" w:rsidRPr="00563752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16AD8338" w14:textId="77777777" w:rsidR="00563752" w:rsidRPr="00563752" w:rsidRDefault="00563752" w:rsidP="00563752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563752" w:rsidRPr="00563752" w14:paraId="39240C1A" w14:textId="77777777" w:rsidTr="0099714E">
              <w:trPr>
                <w:trHeight w:val="1084"/>
              </w:trPr>
              <w:tc>
                <w:tcPr>
                  <w:tcW w:w="9567" w:type="dxa"/>
                  <w:shd w:val="clear" w:color="auto" w:fill="auto"/>
                </w:tcPr>
                <w:p w14:paraId="198FB51E" w14:textId="77777777" w:rsidR="00563752" w:rsidRPr="00563752" w:rsidRDefault="00563752" w:rsidP="00563752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 e valores praticados conforme apresentado na proposta sob pena de desclassificação, com a identificação precisa e inequívoca do bem que se 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06600C32" w14:textId="77777777" w:rsidR="00070E5E" w:rsidRPr="00563752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563752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563752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563752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0DA87A" w14:textId="297D6E01" w:rsidR="00070E5E" w:rsidRPr="00563752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(X)  Fornecedor estrangeiro -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2E0FEB" w14:textId="23892E8B" w:rsidR="00070E5E" w:rsidRPr="00563752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563752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563752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gram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563752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</w:t>
            </w:r>
            <w:proofErr w:type="gram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“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563752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</w:t>
            </w:r>
            <w:proofErr w:type="gram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evento será realizado no período de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 w:rsidRPr="00563752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6.3 Não será admitida a subcontratação do objeto do presente processo. </w:t>
            </w:r>
          </w:p>
          <w:p w14:paraId="3F45FEFA" w14:textId="7C6C591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6.4 Será emitida Nota de Empenho no</w:t>
            </w:r>
            <w:r w:rsidR="00B234BC" w:rsidRPr="00563752">
              <w:rPr>
                <w:rFonts w:ascii="Arial" w:hAnsi="Arial" w:cs="Arial"/>
                <w:bCs/>
                <w:sz w:val="22"/>
                <w:szCs w:val="22"/>
              </w:rPr>
              <w:t xml:space="preserve"> valor</w:t>
            </w: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 estimado em reais do objeto.</w:t>
            </w:r>
          </w:p>
          <w:p w14:paraId="560E659E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563752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563752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563752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563752" w:rsidRDefault="00070E5E" w:rsidP="00563752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Pr="00563752" w:rsidRDefault="00F76851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563752" w:rsidRDefault="00F76851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563752" w:rsidRDefault="00F76851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Pr="00563752" w:rsidRDefault="00F76851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563752" w:rsidRDefault="00070E5E" w:rsidP="00563752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563752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563752" w:rsidRDefault="00070E5E" w:rsidP="00563752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563752" w:rsidRDefault="00070E5E" w:rsidP="00563752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563752" w:rsidRDefault="00070E5E" w:rsidP="00563752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563752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563752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563752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563752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563752">
              <w:rPr>
                <w:b/>
                <w:sz w:val="22"/>
                <w:szCs w:val="22"/>
              </w:rPr>
              <w:t>INSTRUMENTO</w:t>
            </w:r>
            <w:r w:rsidRPr="00563752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563752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563752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563752">
              <w:rPr>
                <w:spacing w:val="-5"/>
                <w:sz w:val="22"/>
                <w:szCs w:val="22"/>
              </w:rPr>
              <w:t xml:space="preserve">(       </w:t>
            </w:r>
            <w:r w:rsidRPr="00563752">
              <w:rPr>
                <w:spacing w:val="-11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)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Somente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por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assinatura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de</w:t>
            </w:r>
            <w:r w:rsidRPr="00563752">
              <w:rPr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563752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563752">
              <w:rPr>
                <w:spacing w:val="-57"/>
                <w:sz w:val="22"/>
                <w:szCs w:val="22"/>
              </w:rPr>
              <w:t xml:space="preserve"> </w:t>
            </w:r>
            <w:r w:rsidRPr="00563752">
              <w:rPr>
                <w:spacing w:val="-5"/>
                <w:sz w:val="22"/>
                <w:szCs w:val="22"/>
              </w:rPr>
              <w:t>(</w:t>
            </w:r>
            <w:r w:rsidRPr="00563752">
              <w:rPr>
                <w:spacing w:val="-11"/>
                <w:sz w:val="22"/>
                <w:szCs w:val="22"/>
              </w:rPr>
              <w:t xml:space="preserve">   </w:t>
            </w:r>
            <w:r w:rsidR="00486B29" w:rsidRPr="00563752">
              <w:rPr>
                <w:spacing w:val="-11"/>
                <w:sz w:val="22"/>
                <w:szCs w:val="22"/>
              </w:rPr>
              <w:t>X</w:t>
            </w:r>
            <w:r w:rsidRPr="00563752">
              <w:rPr>
                <w:spacing w:val="-11"/>
                <w:sz w:val="22"/>
                <w:szCs w:val="22"/>
              </w:rPr>
              <w:t xml:space="preserve">   </w:t>
            </w:r>
            <w:r w:rsidRPr="00563752">
              <w:rPr>
                <w:spacing w:val="-5"/>
                <w:sz w:val="22"/>
                <w:szCs w:val="22"/>
              </w:rPr>
              <w:t>)</w:t>
            </w:r>
            <w:r w:rsidRPr="00563752">
              <w:rPr>
                <w:spacing w:val="-11"/>
                <w:sz w:val="22"/>
                <w:szCs w:val="22"/>
              </w:rPr>
              <w:t xml:space="preserve"> </w:t>
            </w:r>
            <w:r w:rsidR="000F21BF" w:rsidRPr="00563752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563752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563752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563752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563752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0F607D08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 w:rsidRPr="005637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563752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563752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563752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563752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563752" w:rsidRDefault="00070E5E" w:rsidP="00563752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563752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563752" w:rsidRDefault="00070E5E" w:rsidP="00563752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563752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563752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563752" w:rsidRDefault="00070E5E" w:rsidP="00563752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563752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563752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563752" w:rsidRDefault="00070E5E" w:rsidP="00563752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563752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563752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563752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563752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563752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563752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563752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 w:rsidRPr="00563752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56375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563752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3752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563752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563752" w:rsidRDefault="00070E5E" w:rsidP="00563752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563752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563752" w:rsidRDefault="00070E5E" w:rsidP="00563752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563752" w:rsidRDefault="00070E5E" w:rsidP="00563752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563752" w:rsidRDefault="00070E5E" w:rsidP="00563752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3752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563752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563752" w:rsidRDefault="00486B29" w:rsidP="00563752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40B48A0" w14:textId="77777777" w:rsidR="00533619" w:rsidRPr="00563752" w:rsidRDefault="00533619" w:rsidP="00563752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2"/>
                      <w:szCs w:val="22"/>
                    </w:rPr>
                  </w:pPr>
                  <w:r w:rsidRPr="00563752">
                    <w:rPr>
                      <w:rFonts w:ascii="Verdana" w:hAnsi="Verdana"/>
                      <w:sz w:val="22"/>
                      <w:szCs w:val="22"/>
                      <w:highlight w:val="yellow"/>
                    </w:rPr>
                    <w:t>5852 (para servidor)</w:t>
                  </w:r>
                  <w:r w:rsidRPr="00563752">
                    <w:rPr>
                      <w:rFonts w:ascii="Verdana" w:hAnsi="Verdana"/>
                      <w:sz w:val="22"/>
                      <w:szCs w:val="22"/>
                      <w:highlight w:val="yellow"/>
                    </w:rPr>
                    <w:br/>
                    <w:t>14842 (para aluno)</w:t>
                  </w:r>
                </w:p>
                <w:p w14:paraId="56C72C39" w14:textId="4B576D5C" w:rsidR="00486B29" w:rsidRPr="00563752" w:rsidRDefault="00486B29" w:rsidP="00563752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563752" w:rsidRDefault="00486B29" w:rsidP="00563752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717CCD2C" w:rsidR="00486B29" w:rsidRPr="00563752" w:rsidRDefault="00533619" w:rsidP="00563752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563752">
                    <w:rPr>
                      <w:rFonts w:ascii="Verdana" w:hAnsi="Verdana"/>
                      <w:sz w:val="22"/>
                      <w:szCs w:val="22"/>
                    </w:rPr>
                    <w:t>2.501.240.000</w:t>
                  </w:r>
                </w:p>
              </w:tc>
            </w:tr>
          </w:tbl>
          <w:p w14:paraId="51211ABD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563752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563752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Pr="00563752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O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valor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máximo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estimado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será</w:t>
            </w:r>
            <w:r w:rsidRPr="00563752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sz w:val="22"/>
                <w:szCs w:val="22"/>
              </w:rPr>
              <w:t>de</w:t>
            </w:r>
            <w:r w:rsidRPr="00563752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563752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563752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563752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563752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563752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563752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563752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Pr="00563752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E814BDE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</w:t>
            </w:r>
            <w:proofErr w:type="gramStart"/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 </w:t>
            </w:r>
            <w:r w:rsidR="00533619"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</w:t>
            </w:r>
            <w:proofErr w:type="gramEnd"/>
            <w:r w:rsidR="00533619" w:rsidRPr="0056375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solicitante ou docente responsável/orientador</w:t>
            </w:r>
          </w:p>
          <w:p w14:paraId="1F3CB310" w14:textId="1264F731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56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563752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563752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563752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563752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563752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563752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637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563752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56375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563752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 xml:space="preserve">Nome: Marcello Beckert </w:t>
            </w:r>
            <w:proofErr w:type="spellStart"/>
            <w:r w:rsidRPr="00563752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327FE90F" w14:textId="77777777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563752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563752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563752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563752" w:rsidRDefault="00011481" w:rsidP="000F21BF">
      <w:pPr>
        <w:pStyle w:val="Ttulo1"/>
        <w:ind w:left="0" w:firstLine="0"/>
        <w:sectPr w:rsidR="00011481" w:rsidRPr="00563752" w:rsidSect="00563752">
          <w:headerReference w:type="default" r:id="rId9"/>
          <w:footerReference w:type="default" r:id="rId10"/>
          <w:pgSz w:w="11900" w:h="16840" w:code="9"/>
          <w:pgMar w:top="1843" w:right="618" w:bottom="851" w:left="618" w:header="568" w:footer="0" w:gutter="0"/>
          <w:cols w:space="720"/>
          <w:docGrid w:linePitch="326"/>
        </w:sectPr>
      </w:pPr>
    </w:p>
    <w:p w14:paraId="54EB0233" w14:textId="56C03CC9" w:rsidR="00011481" w:rsidRPr="00563752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563752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423D03BF" w:rsidR="001B7589" w:rsidRPr="000B479B" w:rsidRDefault="00563752" w:rsidP="00563752">
    <w:pPr>
      <w:tabs>
        <w:tab w:val="left" w:pos="10800"/>
      </w:tabs>
      <w:ind w:left="1080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9C583A3" wp14:editId="6957E877">
          <wp:extent cx="2800350" cy="900236"/>
          <wp:effectExtent l="0" t="0" r="0" b="0"/>
          <wp:docPr id="187002006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6617684">
    <w:abstractNumId w:val="33"/>
  </w:num>
  <w:num w:numId="2" w16cid:durableId="712073190">
    <w:abstractNumId w:val="17"/>
  </w:num>
  <w:num w:numId="3" w16cid:durableId="1616446113">
    <w:abstractNumId w:val="21"/>
  </w:num>
  <w:num w:numId="4" w16cid:durableId="948705999">
    <w:abstractNumId w:val="32"/>
  </w:num>
  <w:num w:numId="5" w16cid:durableId="939030039">
    <w:abstractNumId w:val="11"/>
  </w:num>
  <w:num w:numId="6" w16cid:durableId="82340047">
    <w:abstractNumId w:val="13"/>
  </w:num>
  <w:num w:numId="7" w16cid:durableId="809126794">
    <w:abstractNumId w:val="19"/>
  </w:num>
  <w:num w:numId="8" w16cid:durableId="891968065">
    <w:abstractNumId w:val="16"/>
  </w:num>
  <w:num w:numId="9" w16cid:durableId="1980111639">
    <w:abstractNumId w:val="1"/>
  </w:num>
  <w:num w:numId="10" w16cid:durableId="269165707">
    <w:abstractNumId w:val="27"/>
  </w:num>
  <w:num w:numId="11" w16cid:durableId="915433570">
    <w:abstractNumId w:val="0"/>
  </w:num>
  <w:num w:numId="12" w16cid:durableId="355154029">
    <w:abstractNumId w:val="30"/>
  </w:num>
  <w:num w:numId="13" w16cid:durableId="1173061609">
    <w:abstractNumId w:val="29"/>
  </w:num>
  <w:num w:numId="14" w16cid:durableId="2119906972">
    <w:abstractNumId w:val="34"/>
  </w:num>
  <w:num w:numId="15" w16cid:durableId="173956708">
    <w:abstractNumId w:val="28"/>
  </w:num>
  <w:num w:numId="16" w16cid:durableId="1426999481">
    <w:abstractNumId w:val="12"/>
  </w:num>
  <w:num w:numId="17" w16cid:durableId="1449818780">
    <w:abstractNumId w:val="22"/>
  </w:num>
  <w:num w:numId="18" w16cid:durableId="908075635">
    <w:abstractNumId w:val="18"/>
  </w:num>
  <w:num w:numId="19" w16cid:durableId="389499505">
    <w:abstractNumId w:val="3"/>
  </w:num>
  <w:num w:numId="20" w16cid:durableId="1954090613">
    <w:abstractNumId w:val="15"/>
  </w:num>
  <w:num w:numId="21" w16cid:durableId="190845956">
    <w:abstractNumId w:val="14"/>
  </w:num>
  <w:num w:numId="22" w16cid:durableId="1600139712">
    <w:abstractNumId w:val="10"/>
  </w:num>
  <w:num w:numId="23" w16cid:durableId="936330221">
    <w:abstractNumId w:val="24"/>
  </w:num>
  <w:num w:numId="24" w16cid:durableId="362484018">
    <w:abstractNumId w:val="8"/>
  </w:num>
  <w:num w:numId="25" w16cid:durableId="1030495240">
    <w:abstractNumId w:val="4"/>
  </w:num>
  <w:num w:numId="26" w16cid:durableId="1106267366">
    <w:abstractNumId w:val="20"/>
  </w:num>
  <w:num w:numId="27" w16cid:durableId="1412002761">
    <w:abstractNumId w:val="6"/>
  </w:num>
  <w:num w:numId="28" w16cid:durableId="1832020703">
    <w:abstractNumId w:val="23"/>
  </w:num>
  <w:num w:numId="29" w16cid:durableId="1537306908">
    <w:abstractNumId w:val="5"/>
  </w:num>
  <w:num w:numId="30" w16cid:durableId="25982806">
    <w:abstractNumId w:val="2"/>
  </w:num>
  <w:num w:numId="31" w16cid:durableId="97723019">
    <w:abstractNumId w:val="25"/>
  </w:num>
  <w:num w:numId="32" w16cid:durableId="1578588006">
    <w:abstractNumId w:val="26"/>
  </w:num>
  <w:num w:numId="33" w16cid:durableId="714935704">
    <w:abstractNumId w:val="31"/>
  </w:num>
  <w:num w:numId="34" w16cid:durableId="1371417150">
    <w:abstractNumId w:val="9"/>
  </w:num>
  <w:num w:numId="35" w16cid:durableId="1904750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33619"/>
    <w:rsid w:val="00556DB0"/>
    <w:rsid w:val="00563752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B6C1D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234BC"/>
    <w:rsid w:val="00B41E2F"/>
    <w:rsid w:val="00B73263"/>
    <w:rsid w:val="00B74E61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76F33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B6C1D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1080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6902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9</cp:revision>
  <cp:lastPrinted>2023-11-30T17:29:00Z</cp:lastPrinted>
  <dcterms:created xsi:type="dcterms:W3CDTF">2024-02-15T18:51:00Z</dcterms:created>
  <dcterms:modified xsi:type="dcterms:W3CDTF">2025-01-08T18:17:00Z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