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7C" w:rsidRDefault="009F3D7C" w:rsidP="009F3D7C">
      <w:pPr>
        <w:pStyle w:val="Ttulo2"/>
        <w:shd w:val="clear" w:color="auto" w:fill="FFFFFF"/>
        <w:jc w:val="center"/>
        <w:rPr>
          <w:color w:val="666666"/>
          <w:sz w:val="36"/>
          <w:szCs w:val="36"/>
        </w:rPr>
      </w:pPr>
      <w:r>
        <w:rPr>
          <w:rStyle w:val="Forte"/>
          <w:b/>
          <w:bCs/>
          <w:color w:val="666666"/>
        </w:rPr>
        <w:t>EMENTÁRIO DE DISCIPLINAS DO CURSO DE BACHARELADO EM CIÊNCIAS ECONÔMICAS - 2008.1</w:t>
      </w:r>
    </w:p>
    <w:p w:rsidR="009F3D7C" w:rsidRDefault="009F3D7C" w:rsidP="009F3D7C">
      <w:pPr>
        <w:shd w:val="clear" w:color="auto" w:fill="FFFFFF"/>
        <w:rPr>
          <w:color w:val="666666"/>
          <w:sz w:val="17"/>
          <w:szCs w:val="17"/>
        </w:rPr>
      </w:pPr>
    </w:p>
    <w:p w:rsidR="009F3D7C" w:rsidRDefault="009F3D7C" w:rsidP="009F3D7C">
      <w:pPr>
        <w:shd w:val="clear" w:color="auto" w:fill="FFFFFF"/>
        <w:spacing w:before="100" w:beforeAutospacing="1" w:after="100" w:afterAutospacing="1"/>
        <w:rPr>
          <w:rFonts w:ascii="Verdana" w:hAnsi="Verdana"/>
          <w:color w:val="666666"/>
          <w:sz w:val="17"/>
          <w:szCs w:val="17"/>
        </w:rPr>
      </w:pPr>
      <w:bookmarkStart w:id="0" w:name="_GoBack"/>
      <w:bookmarkEnd w:id="0"/>
      <w:r>
        <w:rPr>
          <w:rStyle w:val="Forte"/>
          <w:rFonts w:ascii="Verdana" w:hAnsi="Verdana"/>
          <w:color w:val="666666"/>
          <w:sz w:val="17"/>
          <w:szCs w:val="17"/>
        </w:rPr>
        <w:t>1º Termo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Instituições de Direito Público e Privado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Administração/empresa e administração pública. Legislação básica. Aspectos teóricos e práticos. Novas tendências do Direito Público frente ao contexto brasileiro e internacional. Direito Civil e Comercial. Aspectos teóricos e práticos. Novas tendências do Direito Civil e Comercial frente ao contexto brasileiro e internacional.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Matemática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Conjuntos. Relações. Funções. Limites. Continuidade. Derivação. Integração. Sistemas de equações lineares.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Tecnologia Básica de Informação e da Comunicação Aplicada às Ciências Econômicas (</w:t>
      </w:r>
      <w:proofErr w:type="spellStart"/>
      <w:r>
        <w:rPr>
          <w:rStyle w:val="Forte"/>
          <w:rFonts w:ascii="Verdana" w:hAnsi="Verdana"/>
          <w:color w:val="666666"/>
          <w:sz w:val="17"/>
          <w:szCs w:val="17"/>
        </w:rPr>
        <w:t>Ead</w:t>
      </w:r>
      <w:proofErr w:type="spellEnd"/>
      <w:r>
        <w:rPr>
          <w:rStyle w:val="Forte"/>
          <w:rFonts w:ascii="Verdana" w:hAnsi="Verdana"/>
          <w:color w:val="666666"/>
          <w:sz w:val="17"/>
          <w:szCs w:val="17"/>
        </w:rPr>
        <w:t>)</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Conceitos de </w:t>
      </w:r>
      <w:proofErr w:type="spellStart"/>
      <w:r>
        <w:rPr>
          <w:rFonts w:ascii="Verdana" w:hAnsi="Verdana"/>
          <w:color w:val="666666"/>
          <w:sz w:val="17"/>
          <w:szCs w:val="17"/>
        </w:rPr>
        <w:t>infra-estrutura</w:t>
      </w:r>
      <w:proofErr w:type="spellEnd"/>
      <w:r>
        <w:rPr>
          <w:rFonts w:ascii="Verdana" w:hAnsi="Verdana"/>
          <w:color w:val="666666"/>
          <w:sz w:val="17"/>
          <w:szCs w:val="17"/>
        </w:rPr>
        <w:t xml:space="preserve"> de tecnologia da informação e comunicação – TIC; Sistema de apoio a aprendizagem; Sistemas de busca de informações científicas; Conceitos de Sistemas Operacionais; Uso </w:t>
      </w:r>
      <w:proofErr w:type="gramStart"/>
      <w:r>
        <w:rPr>
          <w:rFonts w:ascii="Verdana" w:hAnsi="Verdana"/>
          <w:color w:val="666666"/>
          <w:sz w:val="17"/>
          <w:szCs w:val="17"/>
        </w:rPr>
        <w:t>de</w:t>
      </w:r>
      <w:proofErr w:type="gramEnd"/>
      <w:r>
        <w:rPr>
          <w:rFonts w:ascii="Verdana" w:hAnsi="Verdana"/>
          <w:color w:val="666666"/>
          <w:sz w:val="17"/>
          <w:szCs w:val="17"/>
        </w:rPr>
        <w:t xml:space="preserve"> editores de textos aplicado às Ciências Econômicas; Uso de planilhas de cálculo aplicados às Ciências Econômicas; Conceitos de Bancos de Dados; uso de softwares proprietários e abertos; relacionamento do usuário com o setor de TIC.</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Filosofia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Fundamentos da filosofia. Filosofia, ciência e sociedade.  Filosofia, lógica e argumentação. Correntes filosóficas. Análise de temáticas a partir de correntes filosóficas.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Metodologia Científica e da Pesquisa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Ciência, conhecimento e método. O processo de leitura. Trabalhos acadêmicos. Normas da ABNT. Citações. </w:t>
      </w:r>
      <w:proofErr w:type="gramStart"/>
      <w:r>
        <w:rPr>
          <w:rFonts w:ascii="Verdana" w:hAnsi="Verdana"/>
          <w:color w:val="666666"/>
          <w:sz w:val="17"/>
          <w:szCs w:val="17"/>
        </w:rPr>
        <w:t>Referências e Apresentação Gráfica</w:t>
      </w:r>
      <w:proofErr w:type="gramEnd"/>
      <w:r>
        <w:rPr>
          <w:rFonts w:ascii="Verdana" w:hAnsi="Verdana"/>
          <w:color w:val="666666"/>
          <w:sz w:val="17"/>
          <w:szCs w:val="17"/>
        </w:rPr>
        <w:t>. Projeto de pesquisa: etapas básicas.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História Econômica Geral</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Economias antigas. Economia feudal. Transição do feudalismo para o capitalismo. Revolução industrial. Socialismo e Capitalismo. Transformações do final do século XX.</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Introdução à Economia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As questões econômicas: escassez dos recursos, escolha e restrições, economia positiva e normativa. Conceitos econômicos básicos: mercados, agentes econômicos, custo de oportunidade. Princípios de oferta e demanda, fronteira de possibilidades de produção, função de produção, lei dos rendimentos decrescentes. Noções de micro e macroeconomia. Noções de economia internacional.</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2º Termo</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Contabilidade Geral</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Contabilidade e suas finalidades. Patrimônio e patrimônio líquido. Inventário patrimonial. </w:t>
      </w:r>
      <w:r>
        <w:rPr>
          <w:rFonts w:ascii="Verdana" w:hAnsi="Verdana"/>
          <w:color w:val="666666"/>
          <w:sz w:val="17"/>
          <w:szCs w:val="17"/>
        </w:rPr>
        <w:lastRenderedPageBreak/>
        <w:t>Registros contábeis por meio de balanços sucessivos. Registros contábeis por meio de partidas dobradas. Estruturação das demonstrações contábeis a partir do registro de operações: Balanço Patrimonial, Demonstração do Resultado do Exercício, Demonstração dos Lucros ou Prejuízos Acumulados, Demonstração das Mutações do Patrimônio Líquido e Demonstração das Origens e Aplicações de Recursos. Operações com mercadorias. Princípios contábeis.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Ética Humana e Profissional</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Fundamentos éticos e morais do comportamento humano. Panorama das relações humanas na sociedade.  Ética, moral e sociedade. Função da ética. Ética como prescrição de condutas. Ética nas Ciências Econômicas. Código de ética. Conduta profissional. Indicadores da responsabilidade social.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Sociologia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O contexto histórico do surgimento da sociologia. A sociologia como ciência e sua relação com as outras ciências sociais. A evolução do pensamento </w:t>
      </w:r>
      <w:proofErr w:type="spellStart"/>
      <w:proofErr w:type="gramStart"/>
      <w:r>
        <w:rPr>
          <w:rFonts w:ascii="Verdana" w:hAnsi="Verdana"/>
          <w:color w:val="666666"/>
          <w:sz w:val="17"/>
          <w:szCs w:val="17"/>
        </w:rPr>
        <w:t>sociológico:referenciais</w:t>
      </w:r>
      <w:proofErr w:type="spellEnd"/>
      <w:proofErr w:type="gramEnd"/>
      <w:r>
        <w:rPr>
          <w:rFonts w:ascii="Verdana" w:hAnsi="Verdana"/>
          <w:color w:val="666666"/>
          <w:sz w:val="17"/>
          <w:szCs w:val="17"/>
        </w:rPr>
        <w:t>  teóricos clássicos  para o estudo da sociedade. Conceitos Básicos da Sociologia. Cultura Política, classes sociais e questões sociais. Organização política dos grupos, da comunidade e da sociedade. Estudos antropológicos.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Funções Administrativas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Teorias da administração. Enfoque clássico, humanista, burocrático, comportamentalista, estruturalista, sistêmico, desenvolvimento organizacional e contingencial. Ambiente externo das organizações. Organização estratégica. Planejamento estratégico empresarial. Poder, liderança, autoridade, comunicação e tomada de decisão.  Processo de controle organizacional. Auditorias estratégicas.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História do Pensamento Econômico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Mercantilismo, Escola Fisiocrata, os economistas clássicos, socialistas utópicos, Marx. A revolução marginalista e o desenvolvimento da escola neoclássica. O pensamento </w:t>
      </w:r>
      <w:proofErr w:type="spellStart"/>
      <w:r>
        <w:rPr>
          <w:rFonts w:ascii="Verdana" w:hAnsi="Verdana"/>
          <w:color w:val="666666"/>
          <w:sz w:val="17"/>
          <w:szCs w:val="17"/>
        </w:rPr>
        <w:t>Keynesiano</w:t>
      </w:r>
      <w:proofErr w:type="spellEnd"/>
      <w:r>
        <w:rPr>
          <w:rFonts w:ascii="Verdana" w:hAnsi="Verdana"/>
          <w:color w:val="666666"/>
          <w:sz w:val="17"/>
          <w:szCs w:val="17"/>
        </w:rPr>
        <w:t>.</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 xml:space="preserve">Matemática </w:t>
      </w:r>
      <w:proofErr w:type="spellStart"/>
      <w:r>
        <w:rPr>
          <w:rStyle w:val="Forte"/>
          <w:rFonts w:ascii="Verdana" w:hAnsi="Verdana"/>
          <w:color w:val="666666"/>
          <w:sz w:val="17"/>
          <w:szCs w:val="17"/>
        </w:rPr>
        <w:t>lI</w:t>
      </w:r>
      <w:proofErr w:type="spellEnd"/>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Matrizes. Determinantes. Sistemas de Equações Lineares. Modelos Econômicos. Análise Estática.</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3º Termo</w:t>
      </w:r>
    </w:p>
    <w:p w:rsidR="009F3D7C" w:rsidRDefault="009F3D7C" w:rsidP="009F3D7C">
      <w:pPr>
        <w:shd w:val="clear" w:color="auto" w:fill="FFFFFF"/>
        <w:spacing w:before="100" w:beforeAutospacing="1" w:after="100" w:afterAutospacing="1"/>
        <w:ind w:firstLine="300"/>
        <w:rPr>
          <w:rFonts w:ascii="Verdana" w:hAnsi="Verdana"/>
          <w:color w:val="666666"/>
          <w:sz w:val="17"/>
          <w:szCs w:val="17"/>
        </w:rPr>
      </w:pPr>
      <w:r>
        <w:rPr>
          <w:rFonts w:ascii="Verdana" w:hAnsi="Verdana"/>
          <w:vanish/>
          <w:color w:val="666666"/>
          <w:sz w:val="17"/>
          <w:szCs w:val="17"/>
        </w:rPr>
        <w:t> </w:t>
      </w:r>
      <w:r>
        <w:rPr>
          <w:rFonts w:ascii="Verdana" w:hAnsi="Verdana"/>
          <w:color w:val="666666"/>
          <w:sz w:val="17"/>
          <w:szCs w:val="17"/>
        </w:rPr>
        <w:br/>
      </w:r>
      <w:r>
        <w:rPr>
          <w:rStyle w:val="Forte"/>
          <w:rFonts w:ascii="Verdana" w:hAnsi="Verdana"/>
          <w:color w:val="666666"/>
          <w:sz w:val="17"/>
          <w:szCs w:val="17"/>
        </w:rPr>
        <w:t xml:space="preserve">Contabilidade de Custos </w:t>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Natureza da contabilidade de custos e conceitos básicos. Custos de produção: materiais diretos, mão-de-obra direta e custos indiretos de fabricação. Classificação dos custos. Custos de produtos vendidos, de mercadorias vendidas e de serviços prestados. Sistema de custeamento por processo. Sistema de custeamento por ordem de produção. Custeio dos produtos conjuntos e de subprodutos. Métodos de custeio. Custos para controle. Custos para decisão. Aspectos técnicos e práticos de sistemas de custos.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Métodos Estatísticos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Arredondamento estatístico. Séries estatísticas. Preparação de dados para análise estatística. Representação gráfica. Medidas de localização e de dispersão. Probabilidade. Distribuições de probabilidades. Previsões.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Formação Econômica do Brasil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Brasil Colônia. Ciclos econômicos. Crise do sistema colonial. Independência do Brasil: a economia cafeeira e a abolição da escravatura. Início da industrialização. O Governo Provisório. A era Vargas. Estrangulamento externo e o processo de substituição de importações. Governo Juscelino Kubitschek.  Governo militar. O “Milagre Econômico”. O primeiro choque do petróleo e o II PND. Segundo choque do petróleo e a crise da dívida.</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Microeconomia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Teoria do Consumidor. Efeito renda e efeito substituição. Teoria da firma. Elasticidades. Tipos de bens. Maximização de lucros e minimização de custos.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Matemática III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Otimização. Análise dinâmica. Programação Linear.</w:t>
      </w:r>
    </w:p>
    <w:p w:rsidR="009F3D7C" w:rsidRDefault="009F3D7C" w:rsidP="009F3D7C">
      <w:pPr>
        <w:shd w:val="clear" w:color="auto" w:fill="FFFFFF"/>
        <w:spacing w:before="100" w:beforeAutospacing="1" w:after="100" w:afterAutospacing="1"/>
        <w:ind w:firstLine="300"/>
        <w:rPr>
          <w:rFonts w:ascii="Verdana" w:hAnsi="Verdana"/>
          <w:color w:val="666666"/>
          <w:sz w:val="17"/>
          <w:szCs w:val="17"/>
        </w:rPr>
      </w:pP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4º Termo</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Administração Financeira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Significado e objetivo da administração financeira. Administração do ativo circulante e do passivo circulante. Fontes de recursos a longo prazo. Análise das demonstrações financeiras.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Matemática Financeira</w:t>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Juros Simples. Desconto. Juros Compostos. Taxas de Juros. Séries de Pagamentos. Amortização de Empréstimos. </w:t>
      </w:r>
      <w:r>
        <w:rPr>
          <w:rFonts w:ascii="Verdana" w:hAnsi="Verdana"/>
          <w:color w:val="666666"/>
          <w:sz w:val="17"/>
          <w:szCs w:val="17"/>
        </w:rPr>
        <w:br/>
      </w:r>
      <w:r>
        <w:rPr>
          <w:rFonts w:ascii="Verdana" w:hAnsi="Verdana"/>
          <w:color w:val="666666"/>
          <w:sz w:val="17"/>
          <w:szCs w:val="17"/>
        </w:rPr>
        <w:br/>
      </w:r>
      <w:r>
        <w:rPr>
          <w:rFonts w:ascii="Verdana" w:hAnsi="Verdana"/>
          <w:vanish/>
          <w:color w:val="666666"/>
          <w:sz w:val="17"/>
          <w:szCs w:val="17"/>
        </w:rPr>
        <w:t>,</w:t>
      </w:r>
      <w:r>
        <w:rPr>
          <w:rFonts w:ascii="Verdana" w:hAnsi="Verdana"/>
          <w:color w:val="666666"/>
          <w:sz w:val="17"/>
          <w:szCs w:val="17"/>
        </w:rPr>
        <w:br/>
      </w:r>
      <w:r>
        <w:rPr>
          <w:rStyle w:val="Forte"/>
          <w:rFonts w:ascii="Verdana" w:hAnsi="Verdana"/>
          <w:color w:val="666666"/>
          <w:sz w:val="17"/>
          <w:szCs w:val="17"/>
        </w:rPr>
        <w:t>Contas Nacionais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Contas Nacionais: conceitos básicos; o sistema de contas nacionais; contabilidade nominal e contabilidade real; o déficit público e o seu financiamento; contas nacionais do Brasil. Balanço de Pagamentos: estrutura do balanço de pagamentos; contas externas; reservas internacionais; conta corrente e conta capital; regimes cambiais; ligações com o sistema monetário internacional.</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Estatística Econômica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Medidas de desigualdade. Índices de preço e quantidade. Índices agregativos simples. Índices agregativos ponderados. Números – índice.  Valores nominais e reais. Séries Temporais.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Formação Econômica do Brasil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A crise dos anos 80. O fim do governo militar. Planos econômicos da década de 80. Os Planos Collor I e II. O Plano Real e a estabilização da moeda. Programa de desestatização e o fluxo de capital. Globalização.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Microeconomia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Estruturas de mercado. Modelos de Bertrand, </w:t>
      </w:r>
      <w:proofErr w:type="spellStart"/>
      <w:r>
        <w:rPr>
          <w:rFonts w:ascii="Verdana" w:hAnsi="Verdana"/>
          <w:color w:val="666666"/>
          <w:sz w:val="17"/>
          <w:szCs w:val="17"/>
        </w:rPr>
        <w:t>Cournot</w:t>
      </w:r>
      <w:proofErr w:type="spellEnd"/>
      <w:r>
        <w:rPr>
          <w:rFonts w:ascii="Verdana" w:hAnsi="Verdana"/>
          <w:color w:val="666666"/>
          <w:sz w:val="17"/>
          <w:szCs w:val="17"/>
        </w:rPr>
        <w:t xml:space="preserve"> e </w:t>
      </w:r>
      <w:proofErr w:type="spellStart"/>
      <w:r>
        <w:rPr>
          <w:rFonts w:ascii="Verdana" w:hAnsi="Verdana"/>
          <w:color w:val="666666"/>
          <w:sz w:val="17"/>
          <w:szCs w:val="17"/>
        </w:rPr>
        <w:t>Stackelberg</w:t>
      </w:r>
      <w:proofErr w:type="spellEnd"/>
      <w:r>
        <w:rPr>
          <w:rFonts w:ascii="Verdana" w:hAnsi="Verdana"/>
          <w:color w:val="666666"/>
          <w:sz w:val="17"/>
          <w:szCs w:val="17"/>
        </w:rPr>
        <w:t>. Teoria dos Jogos. Eficiência econômica. Falhas de mercado.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5º Termo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Administração Financeira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Relação custo-volume-lucro; custo de capital; alavancagem; estrutura de capital; política de dividendos; risco e retorno; fusões e aquisições; formação de preço de venda.</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 xml:space="preserve">Legislação </w:t>
      </w:r>
      <w:proofErr w:type="spellStart"/>
      <w:r>
        <w:rPr>
          <w:rStyle w:val="Forte"/>
          <w:rFonts w:ascii="Verdana" w:hAnsi="Verdana"/>
          <w:color w:val="666666"/>
          <w:sz w:val="17"/>
          <w:szCs w:val="17"/>
        </w:rPr>
        <w:t>Tributaria</w:t>
      </w:r>
      <w:proofErr w:type="spellEnd"/>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Atividade financeira do Estado. Conceito de tributo. Espécies </w:t>
      </w:r>
      <w:proofErr w:type="spellStart"/>
      <w:r>
        <w:rPr>
          <w:rFonts w:ascii="Verdana" w:hAnsi="Verdana"/>
          <w:color w:val="666666"/>
          <w:sz w:val="17"/>
          <w:szCs w:val="17"/>
        </w:rPr>
        <w:t>tributárias.Fontes</w:t>
      </w:r>
      <w:proofErr w:type="spellEnd"/>
      <w:r>
        <w:rPr>
          <w:rFonts w:ascii="Verdana" w:hAnsi="Verdana"/>
          <w:color w:val="666666"/>
          <w:sz w:val="17"/>
          <w:szCs w:val="17"/>
        </w:rPr>
        <w:t xml:space="preserve"> do Direito Tributário. Princípios Constitucionais tributários. Obrigação tributária. Crédito tributário: lançamento, suspensão, exclusão e extinção. Garantia e privilégios do crédito tributário. Administração tributária. Processo administrativo. Processo judicial tributário.  Tributos incidentes sobre a formação do preço: fundamentos e contabilização. Tributos incidentes sobre o patrimônio e a renda: fundamentos e contabilização. Tributos decorrentes da remuneração do trabalho.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Econometria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Distribuições de probabilidades. Teste de hipóteses. Estimadores. O modelo clássico de regressão linear simples. Coeficiente de correlação e de determinação. Regressão linear múltipla. Coeficiente de determinação ajustado.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Finanças Públicas e Orçamento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Conceituação. Funções fiscais. Teoria dos Bens públicos. Política Fiscal. Estrutura e crescimento dos Gatos Públicos. Orçamento público: princípios, estrutura e classificações. Ciclos orçamentários. Elaboração do Orçamento: Plano Plurianual, Lei de Diretrizes Orçamentárias e Lei Orçamentária Anual. Controle e execução.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Macroeconomia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Cálculo do produto. Agregados econômicos. Produto a preços de mercado e custo de fatores. Produto bruto e líquido. Produto de pleno emprego. Taxa natural de desemprego. A demanda agregada. Produto de equilíbrio. Multiplicador </w:t>
      </w:r>
      <w:proofErr w:type="spellStart"/>
      <w:r>
        <w:rPr>
          <w:rFonts w:ascii="Verdana" w:hAnsi="Verdana"/>
          <w:color w:val="666666"/>
          <w:sz w:val="17"/>
          <w:szCs w:val="17"/>
        </w:rPr>
        <w:t>keynesiano</w:t>
      </w:r>
      <w:proofErr w:type="spellEnd"/>
      <w:r>
        <w:rPr>
          <w:rFonts w:ascii="Verdana" w:hAnsi="Verdana"/>
          <w:color w:val="666666"/>
          <w:sz w:val="17"/>
          <w:szCs w:val="17"/>
        </w:rPr>
        <w:t>. Mercado de bens e monetário. O modelo clássico. Efeito deslocamento. Política econômica.</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6º Termo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Administração Financeira III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Planejamento financeiro: fluxo de caixa; orçamento de resultado econômico; balanço patrimonial projetado. Análise de investimento: fluxo de caixa; técnicas de análise; técnicas de ajuste ao risco. Finanças internacionais: empresas multinacionais, inflação, taxas de juros e taxas de câmbio.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Economia Brasileira Contemporânea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Política econômica no Brasil. Dívida Nacional e carga tributária. Política comercial e a inserção do Brasil. Emprego e mercado de trabalho. Distribuição de renda. Transição demográfica e reforma previdenciária. O custo Brasil. Problemas de </w:t>
      </w:r>
      <w:proofErr w:type="spellStart"/>
      <w:r>
        <w:rPr>
          <w:rFonts w:ascii="Verdana" w:hAnsi="Verdana"/>
          <w:color w:val="666666"/>
          <w:sz w:val="17"/>
          <w:szCs w:val="17"/>
        </w:rPr>
        <w:t>infra-estrutura</w:t>
      </w:r>
      <w:proofErr w:type="spellEnd"/>
      <w:r>
        <w:rPr>
          <w:rFonts w:ascii="Verdana" w:hAnsi="Verdana"/>
          <w:color w:val="666666"/>
          <w:sz w:val="17"/>
          <w:szCs w:val="17"/>
        </w:rPr>
        <w:t>. Diferenças econômico-regionais. Economia informal.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Econometria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w:t>
      </w:r>
      <w:proofErr w:type="spellStart"/>
      <w:r>
        <w:rPr>
          <w:rFonts w:ascii="Verdana" w:hAnsi="Verdana"/>
          <w:color w:val="666666"/>
          <w:sz w:val="17"/>
          <w:szCs w:val="17"/>
        </w:rPr>
        <w:t>Multicolinearidade</w:t>
      </w:r>
      <w:proofErr w:type="spellEnd"/>
      <w:r>
        <w:rPr>
          <w:rFonts w:ascii="Verdana" w:hAnsi="Verdana"/>
          <w:color w:val="666666"/>
          <w:sz w:val="17"/>
          <w:szCs w:val="17"/>
        </w:rPr>
        <w:t xml:space="preserve"> dos </w:t>
      </w:r>
      <w:proofErr w:type="spellStart"/>
      <w:r>
        <w:rPr>
          <w:rFonts w:ascii="Verdana" w:hAnsi="Verdana"/>
          <w:color w:val="666666"/>
          <w:sz w:val="17"/>
          <w:szCs w:val="17"/>
        </w:rPr>
        <w:t>regressores</w:t>
      </w:r>
      <w:proofErr w:type="spellEnd"/>
      <w:r>
        <w:rPr>
          <w:rFonts w:ascii="Verdana" w:hAnsi="Verdana"/>
          <w:color w:val="666666"/>
          <w:sz w:val="17"/>
          <w:szCs w:val="17"/>
        </w:rPr>
        <w:t xml:space="preserve">. </w:t>
      </w:r>
      <w:proofErr w:type="spellStart"/>
      <w:r>
        <w:rPr>
          <w:rFonts w:ascii="Verdana" w:hAnsi="Verdana"/>
          <w:color w:val="666666"/>
          <w:sz w:val="17"/>
          <w:szCs w:val="17"/>
        </w:rPr>
        <w:t>Heteroscedasticidade</w:t>
      </w:r>
      <w:proofErr w:type="spellEnd"/>
      <w:r>
        <w:rPr>
          <w:rFonts w:ascii="Verdana" w:hAnsi="Verdana"/>
          <w:color w:val="666666"/>
          <w:sz w:val="17"/>
          <w:szCs w:val="17"/>
        </w:rPr>
        <w:t xml:space="preserve">, </w:t>
      </w:r>
      <w:proofErr w:type="spellStart"/>
      <w:r>
        <w:rPr>
          <w:rFonts w:ascii="Verdana" w:hAnsi="Verdana"/>
          <w:color w:val="666666"/>
          <w:sz w:val="17"/>
          <w:szCs w:val="17"/>
        </w:rPr>
        <w:t>autocorrelação</w:t>
      </w:r>
      <w:proofErr w:type="spellEnd"/>
      <w:r>
        <w:rPr>
          <w:rFonts w:ascii="Verdana" w:hAnsi="Verdana"/>
          <w:color w:val="666666"/>
          <w:sz w:val="17"/>
          <w:szCs w:val="17"/>
        </w:rPr>
        <w:t xml:space="preserve"> e ausência de normalidade dos resíduos. Especificação de modelos. Regressão com variáveis </w:t>
      </w:r>
      <w:proofErr w:type="spellStart"/>
      <w:r>
        <w:rPr>
          <w:rFonts w:ascii="Verdana" w:hAnsi="Verdana"/>
          <w:color w:val="666666"/>
          <w:sz w:val="17"/>
          <w:szCs w:val="17"/>
        </w:rPr>
        <w:t>dummy</w:t>
      </w:r>
      <w:proofErr w:type="spellEnd"/>
      <w:r>
        <w:rPr>
          <w:rFonts w:ascii="Verdana" w:hAnsi="Verdana"/>
          <w:color w:val="666666"/>
          <w:sz w:val="17"/>
          <w:szCs w:val="17"/>
        </w:rPr>
        <w:t>. Modelos econométricos dinâmicos. Introdução à econometria de séries temporais.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Finanças Corporativas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Eficiência de mercado. Modelos de precificação de ativos. Custo de agência. Políticas financeiras. Opções reais. </w:t>
      </w:r>
      <w:proofErr w:type="gramStart"/>
      <w:r>
        <w:rPr>
          <w:rFonts w:ascii="Verdana" w:hAnsi="Verdana"/>
          <w:color w:val="666666"/>
          <w:sz w:val="17"/>
          <w:szCs w:val="17"/>
        </w:rPr>
        <w:t>gestão</w:t>
      </w:r>
      <w:proofErr w:type="gramEnd"/>
      <w:r>
        <w:rPr>
          <w:rFonts w:ascii="Verdana" w:hAnsi="Verdana"/>
          <w:color w:val="666666"/>
          <w:sz w:val="17"/>
          <w:szCs w:val="17"/>
        </w:rPr>
        <w:t xml:space="preserve"> do valor. Capital de risco. </w:t>
      </w:r>
      <w:r>
        <w:rPr>
          <w:rStyle w:val="nfase"/>
          <w:rFonts w:ascii="Verdana" w:hAnsi="Verdana"/>
          <w:color w:val="666666"/>
          <w:sz w:val="17"/>
          <w:szCs w:val="17"/>
        </w:rPr>
        <w:t xml:space="preserve">Project </w:t>
      </w:r>
      <w:proofErr w:type="spellStart"/>
      <w:r>
        <w:rPr>
          <w:rStyle w:val="nfase"/>
          <w:rFonts w:ascii="Verdana" w:hAnsi="Verdana"/>
          <w:color w:val="666666"/>
          <w:sz w:val="17"/>
          <w:szCs w:val="17"/>
        </w:rPr>
        <w:t>finance</w:t>
      </w:r>
      <w:proofErr w:type="spellEnd"/>
      <w:r>
        <w:rPr>
          <w:rStyle w:val="nfase"/>
          <w:rFonts w:ascii="Verdana" w:hAnsi="Verdana"/>
          <w:color w:val="666666"/>
          <w:sz w:val="17"/>
          <w:szCs w:val="17"/>
        </w:rPr>
        <w:t xml:space="preserve">. </w:t>
      </w:r>
      <w:r>
        <w:rPr>
          <w:rFonts w:ascii="Verdana" w:hAnsi="Verdana"/>
          <w:color w:val="666666"/>
          <w:sz w:val="17"/>
          <w:szCs w:val="17"/>
        </w:rPr>
        <w:t>Falência, reorganização e liquidação. Governança corporativa. Avaliação de empresas. Emissão de títulos.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Macroeconomia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Oferta e demanda agregada. Inflação e desemprego. Déficits orçamentários e dívida pública. Moeda, déficits e inflação. Crescimento e produtividade: o longo prazo. Ciclo de negócios. Modelos de crescimento.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7º Termo</w:t>
      </w:r>
      <w:r>
        <w:rPr>
          <w:rStyle w:val="Forte"/>
          <w:rFonts w:ascii="Verdana" w:hAnsi="Verdana"/>
          <w:vanish/>
          <w:color w:val="666666"/>
          <w:sz w:val="17"/>
          <w:szCs w:val="17"/>
        </w:rPr>
        <w:t> </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Programação e Projetos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Conceitos de Planejamento (planos, projetos, programas), estudos de mercado, tamanho, localização, engenharia, investimentos, custos e receitas, fluxo de caixa, financiamentos, análise de investimento, organização e controle de projetos.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Desenvolvimento Socioeconômico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Crescimento e desenvolvimento sustentável. Índices de desenvolvimento. O papel do estado, da iniciativa privada e do terceiro setor no desenvolvimento.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Economia Internacional</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Teorias do comércio internacional. Política comercial. Mobilidade de fatores. Regimes cambiais. Mercado cambial. Paridade do poder de compra e taxa real de câmbio. Fluxo de capitais e taxa de juros. Política fiscal e monetária com economia aberta: modelo Mundell – </w:t>
      </w:r>
      <w:proofErr w:type="spellStart"/>
      <w:r>
        <w:rPr>
          <w:rFonts w:ascii="Verdana" w:hAnsi="Verdana"/>
          <w:color w:val="666666"/>
          <w:sz w:val="17"/>
          <w:szCs w:val="17"/>
        </w:rPr>
        <w:t>Flemming</w:t>
      </w:r>
      <w:proofErr w:type="spellEnd"/>
      <w:r>
        <w:rPr>
          <w:rFonts w:ascii="Verdana" w:hAnsi="Verdana"/>
          <w:color w:val="666666"/>
          <w:sz w:val="17"/>
          <w:szCs w:val="17"/>
        </w:rPr>
        <w:t>. Investimentos diretos externos, Arbitragem internacional de moedas.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Economia Monetária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Moeda. Teorias da demanda por moeda. Base monetária e meios de pagamento. Política monetária. Instrumentos de política monetária. Teoria quantitativa da moeda. Canais de transmissão da política monetária. Regime de metas de inflação. Metas de juros.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Estágio Curricular Supervisionado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 xml:space="preserve">Ementa: </w:t>
      </w:r>
      <w:r>
        <w:rPr>
          <w:rFonts w:ascii="Verdana" w:hAnsi="Verdana"/>
          <w:color w:val="666666"/>
          <w:sz w:val="17"/>
          <w:szCs w:val="17"/>
        </w:rPr>
        <w:t>O acadêmico deverá desenvolver estágio em uma Instituição pública ou privada tendo como produto final o relatório de estágio. Para tanto, como ementa tem-se: Plano de estágios. Composição estrutural do relatório de estágio.</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Estratégias de Mercado</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Marketing e Posicionamento Estratégico. Procedimentos e técnicas de análise de posicionamento estratégico de mercado. Análise estratégica de mercados e </w:t>
      </w:r>
      <w:proofErr w:type="spellStart"/>
      <w:r>
        <w:rPr>
          <w:rFonts w:ascii="Verdana" w:hAnsi="Verdana"/>
          <w:color w:val="666666"/>
          <w:sz w:val="17"/>
          <w:szCs w:val="17"/>
        </w:rPr>
        <w:t>produtos.Estratégias</w:t>
      </w:r>
      <w:proofErr w:type="spellEnd"/>
      <w:r>
        <w:rPr>
          <w:rFonts w:ascii="Verdana" w:hAnsi="Verdana"/>
          <w:color w:val="666666"/>
          <w:sz w:val="17"/>
          <w:szCs w:val="17"/>
        </w:rPr>
        <w:t xml:space="preserve"> e posicionamento competitivo.</w:t>
      </w:r>
      <w:r>
        <w:rPr>
          <w:rFonts w:ascii="Verdana" w:hAnsi="Verdana"/>
          <w:color w:val="666666"/>
          <w:sz w:val="17"/>
          <w:szCs w:val="17"/>
        </w:rPr>
        <w:br/>
      </w:r>
      <w:r>
        <w:rPr>
          <w:rFonts w:ascii="Verdana" w:hAnsi="Verdana"/>
          <w:color w:val="666666"/>
          <w:sz w:val="17"/>
          <w:szCs w:val="17"/>
        </w:rPr>
        <w:br/>
      </w:r>
      <w:r>
        <w:rPr>
          <w:rFonts w:ascii="Verdana" w:hAnsi="Verdana"/>
          <w:color w:val="666666"/>
          <w:sz w:val="17"/>
          <w:szCs w:val="17"/>
        </w:rPr>
        <w:br/>
      </w:r>
      <w:r>
        <w:rPr>
          <w:rStyle w:val="Forte"/>
          <w:rFonts w:ascii="Verdana" w:hAnsi="Verdana"/>
          <w:color w:val="666666"/>
          <w:sz w:val="17"/>
          <w:szCs w:val="17"/>
        </w:rPr>
        <w:t>Mercado de Capitais 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Poupança, investimento e intermediação financeira; Sistema Financeiro Nacional; títulos de renda fixa; taxa de juros; política monetária; mercados de ações à vista e de opções; mercados futuros; mercado financeiro internacional.</w:t>
      </w:r>
      <w:r>
        <w:rPr>
          <w:rFonts w:ascii="Verdana" w:hAnsi="Verdana"/>
          <w:color w:val="666666"/>
          <w:sz w:val="17"/>
          <w:szCs w:val="17"/>
        </w:rPr>
        <w:br/>
        <w:t> </w:t>
      </w:r>
      <w:r>
        <w:rPr>
          <w:rFonts w:ascii="Verdana" w:hAnsi="Verdana"/>
          <w:color w:val="666666"/>
          <w:sz w:val="17"/>
          <w:szCs w:val="17"/>
        </w:rPr>
        <w:br/>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8º Termo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Programação e Projetos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Elaboração do plano do projeto. Ciclo de vida do projeto. Gerência de escopo, tempo, custos, qualidade. Recursos humanos, comunicações e riscos do projeto. Mecanismo de acompanhamento e gerenciamento de projetos. Gerência de projetos públicos.</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Economia Industrial</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Estratégias industriais. Economia de escala e de escopo. Economia de aglomeração e arranjos produtivos locais. Integração vertical e horizontal. Terceirização. Concentração de firmas, fusões, holdings. Cooperação entre firmas e redes de firmas. Joint ventures. Teoria da agência e custos de transação.  A regulação dos mercados, política industrial. A empresa multinacional.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Trabalho de Conclusão de Curso – TCC</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 xml:space="preserve">Ementa: </w:t>
      </w:r>
      <w:r>
        <w:rPr>
          <w:rFonts w:ascii="Verdana" w:hAnsi="Verdana"/>
          <w:color w:val="666666"/>
          <w:sz w:val="17"/>
          <w:szCs w:val="17"/>
        </w:rPr>
        <w:t xml:space="preserve">Estudo teórico e prático acerca de conteúdos estratégicos das Ciências Econômicas. Elementos </w:t>
      </w:r>
      <w:proofErr w:type="spellStart"/>
      <w:r>
        <w:rPr>
          <w:rFonts w:ascii="Verdana" w:hAnsi="Verdana"/>
          <w:color w:val="666666"/>
          <w:sz w:val="17"/>
          <w:szCs w:val="17"/>
        </w:rPr>
        <w:t>pré</w:t>
      </w:r>
      <w:proofErr w:type="spellEnd"/>
      <w:r>
        <w:rPr>
          <w:rFonts w:ascii="Verdana" w:hAnsi="Verdana"/>
          <w:color w:val="666666"/>
          <w:sz w:val="17"/>
          <w:szCs w:val="17"/>
        </w:rPr>
        <w:t>-textuais. Desenvolvimento. Elementos pós-textuais. Composição estrutural do trabalho de conclusão de curso.</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Logística</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Introdução à logística. Gerenciamento da cadeia de suprimentos. Funções de compras. Ciclo de um pedido de compras. Relacionamento com fornecedores. Custos de estoques. Lotes econômicos. Estoque de Segurança. Controle de estoques. Distribuição física. Modalidades de entrega. Armazenagem. Transportes. Noções de logística internacional.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Mercado de Capitais II</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xml:space="preserve">: Renda fixa. Mercados Futuros. Precificação de opções e derivativos. Estratégias de </w:t>
      </w:r>
      <w:r>
        <w:rPr>
          <w:rStyle w:val="nfase"/>
          <w:rFonts w:ascii="Verdana" w:hAnsi="Verdana"/>
          <w:color w:val="666666"/>
          <w:sz w:val="17"/>
          <w:szCs w:val="17"/>
        </w:rPr>
        <w:t>hedge.</w:t>
      </w:r>
      <w:r>
        <w:rPr>
          <w:rFonts w:ascii="Verdana" w:hAnsi="Verdana"/>
          <w:color w:val="666666"/>
          <w:sz w:val="17"/>
          <w:szCs w:val="17"/>
        </w:rPr>
        <w:t xml:space="preserve">  Gestão do Risco. Medidas do desempenho. Finanças comportamentais. Diversificação internacional.</w:t>
      </w:r>
      <w:r>
        <w:rPr>
          <w:rFonts w:ascii="Verdana" w:hAnsi="Verdana"/>
          <w:color w:val="666666"/>
          <w:sz w:val="17"/>
          <w:szCs w:val="17"/>
        </w:rPr>
        <w:br/>
        <w:t> </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Negócios Internacionais</w:t>
      </w:r>
      <w:r>
        <w:rPr>
          <w:rFonts w:ascii="Verdana" w:hAnsi="Verdana"/>
          <w:color w:val="666666"/>
          <w:sz w:val="17"/>
          <w:szCs w:val="17"/>
        </w:rPr>
        <w:br/>
        <w:t> </w:t>
      </w:r>
      <w:r>
        <w:rPr>
          <w:rFonts w:ascii="Verdana" w:hAnsi="Verdana"/>
          <w:color w:val="666666"/>
          <w:sz w:val="17"/>
          <w:szCs w:val="17"/>
        </w:rPr>
        <w:br/>
      </w:r>
      <w:r>
        <w:rPr>
          <w:rStyle w:val="Forte"/>
          <w:rFonts w:ascii="Verdana" w:hAnsi="Verdana"/>
          <w:color w:val="666666"/>
          <w:sz w:val="17"/>
          <w:szCs w:val="17"/>
        </w:rPr>
        <w:t>Ementa</w:t>
      </w:r>
      <w:r>
        <w:rPr>
          <w:rFonts w:ascii="Verdana" w:hAnsi="Verdana"/>
          <w:color w:val="666666"/>
          <w:sz w:val="17"/>
          <w:szCs w:val="17"/>
        </w:rPr>
        <w:t>: Geopolítica. Organismos internacionais. Processo de internacionalização de empresas. Estratégias de internacionalização. Fatores ambientais de marketing internacional. Comércio exterior brasileiro. Sistemática de exportação e importação.</w:t>
      </w:r>
    </w:p>
    <w:p w:rsidR="002A0A2F" w:rsidRDefault="002A0A2F" w:rsidP="009F3D7C">
      <w:pPr>
        <w:rPr>
          <w:rFonts w:ascii="Arial" w:hAnsi="Arial" w:cs="Arial"/>
          <w:sz w:val="22"/>
        </w:rPr>
      </w:pPr>
    </w:p>
    <w:sectPr w:rsidR="002A0A2F" w:rsidSect="00B10836">
      <w:headerReference w:type="default" r:id="rId8"/>
      <w:footerReference w:type="default" r:id="rId9"/>
      <w:pgSz w:w="11905" w:h="16837" w:code="9"/>
      <w:pgMar w:top="2268" w:right="1134" w:bottom="851"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B2" w:rsidRDefault="00934DB2">
      <w:r>
        <w:separator/>
      </w:r>
    </w:p>
  </w:endnote>
  <w:endnote w:type="continuationSeparator" w:id="0">
    <w:p w:rsidR="00934DB2" w:rsidRDefault="0093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aramond SS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EF" w:rsidRDefault="004335EF">
    <w:pPr>
      <w:autoSpaceDE w:val="0"/>
      <w:autoSpaceDN w:val="0"/>
      <w:adjustRightInd w:val="0"/>
      <w:jc w:val="center"/>
      <w:rPr>
        <w:rFonts w:ascii="Helvetica" w:hAnsi="Helvetica"/>
        <w:sz w:val="20"/>
        <w:szCs w:val="20"/>
      </w:rPr>
    </w:pPr>
    <w:r>
      <w:rPr>
        <w:rFonts w:ascii="Garamond SSi" w:hAnsi="Garamond SSi"/>
        <w:color w:val="5F5F5F"/>
        <w:sz w:val="16"/>
        <w:lang w:eastAsia="ar-SA"/>
      </w:rPr>
      <w:t>Centro de Ciências da Administração e Sócio-Econômicas – ESAG;</w:t>
    </w:r>
  </w:p>
  <w:p w:rsidR="004335EF" w:rsidRDefault="004335EF">
    <w:pPr>
      <w:pStyle w:val="Rodap"/>
      <w:jc w:val="center"/>
      <w:rPr>
        <w:rFonts w:ascii="Garamond SSi" w:hAnsi="Garamond SSi"/>
        <w:color w:val="5F5F5F"/>
        <w:sz w:val="16"/>
      </w:rPr>
    </w:pPr>
    <w:r>
      <w:rPr>
        <w:rFonts w:ascii="Garamond SSi" w:hAnsi="Garamond SSi"/>
        <w:color w:val="5F5F5F"/>
        <w:sz w:val="16"/>
      </w:rPr>
      <w:t xml:space="preserve">Av. Madre </w:t>
    </w:r>
    <w:proofErr w:type="spellStart"/>
    <w:r>
      <w:rPr>
        <w:rFonts w:ascii="Garamond SSi" w:hAnsi="Garamond SSi"/>
        <w:color w:val="5F5F5F"/>
        <w:sz w:val="16"/>
      </w:rPr>
      <w:t>Benvenuta</w:t>
    </w:r>
    <w:proofErr w:type="spellEnd"/>
    <w:r>
      <w:rPr>
        <w:rFonts w:ascii="Garamond SSi" w:hAnsi="Garamond SSi"/>
        <w:color w:val="5F5F5F"/>
        <w:sz w:val="16"/>
      </w:rPr>
      <w:t xml:space="preserve">, 2037 – </w:t>
    </w:r>
    <w:proofErr w:type="spellStart"/>
    <w:r>
      <w:rPr>
        <w:rFonts w:ascii="Garamond SSi" w:hAnsi="Garamond SSi"/>
        <w:color w:val="5F5F5F"/>
        <w:sz w:val="16"/>
      </w:rPr>
      <w:t>Itacorubi</w:t>
    </w:r>
    <w:proofErr w:type="spellEnd"/>
    <w:r>
      <w:rPr>
        <w:rFonts w:ascii="Garamond SSi" w:hAnsi="Garamond SSi"/>
        <w:color w:val="5F5F5F"/>
        <w:sz w:val="16"/>
      </w:rPr>
      <w:t xml:space="preserve"> – 88.035-001</w:t>
    </w:r>
  </w:p>
  <w:p w:rsidR="004335EF" w:rsidRDefault="004335EF">
    <w:pPr>
      <w:pStyle w:val="Rodap"/>
      <w:jc w:val="center"/>
    </w:pPr>
    <w:r>
      <w:rPr>
        <w:rFonts w:ascii="Garamond SSi" w:hAnsi="Garamond SSi"/>
        <w:color w:val="5F5F5F"/>
        <w:sz w:val="16"/>
      </w:rPr>
      <w:t xml:space="preserve">Florianópolis </w:t>
    </w:r>
    <w:proofErr w:type="gramStart"/>
    <w:r>
      <w:rPr>
        <w:rFonts w:ascii="Garamond SSi" w:hAnsi="Garamond SSi"/>
        <w:color w:val="5F5F5F"/>
        <w:sz w:val="16"/>
      </w:rPr>
      <w:t>SC  Fone</w:t>
    </w:r>
    <w:proofErr w:type="gramEnd"/>
    <w:r>
      <w:rPr>
        <w:rFonts w:ascii="Garamond SSi" w:hAnsi="Garamond SSi"/>
        <w:color w:val="5F5F5F"/>
        <w:sz w:val="16"/>
      </w:rPr>
      <w:t xml:space="preserve"> (48) 3221 8200 – www.esag.udesc.br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B2" w:rsidRDefault="00934DB2">
      <w:r>
        <w:separator/>
      </w:r>
    </w:p>
  </w:footnote>
  <w:footnote w:type="continuationSeparator" w:id="0">
    <w:p w:rsidR="00934DB2" w:rsidRDefault="0093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EF" w:rsidRDefault="00934DB2">
    <w:pPr>
      <w:pStyle w:val="Cabealho"/>
      <w:ind w:left="600"/>
      <w:jc w:val="center"/>
      <w:rPr>
        <w:sz w:val="20"/>
      </w:rPr>
    </w:pPr>
    <w:r>
      <w:rPr>
        <w:noProof/>
        <w:sz w:val="20"/>
        <w:lang w:val="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2pt;margin-top:5.4pt;width:83.25pt;height:51.75pt;z-index:251658240">
          <v:imagedata r:id="rId1" o:title=""/>
        </v:shape>
        <o:OLEObject Type="Embed" ProgID="Word.Document.8" ShapeID="_x0000_s2051" DrawAspect="Content" ObjectID="_1603286586" r:id="rId2">
          <o:FieldCodes>\s</o:FieldCodes>
        </o:OLEObject>
      </w:object>
    </w:r>
    <w:r w:rsidR="00C3266A">
      <w:rPr>
        <w:noProof/>
        <w:sz w:val="20"/>
        <w:lang w:eastAsia="pt-BR"/>
      </w:rPr>
      <w:drawing>
        <wp:anchor distT="0" distB="0" distL="114300" distR="114300" simplePos="0" relativeHeight="251657216" behindDoc="0" locked="0" layoutInCell="1" allowOverlap="1">
          <wp:simplePos x="0" y="0"/>
          <wp:positionH relativeFrom="column">
            <wp:posOffset>-6985</wp:posOffset>
          </wp:positionH>
          <wp:positionV relativeFrom="paragraph">
            <wp:posOffset>57150</wp:posOffset>
          </wp:positionV>
          <wp:extent cx="1600200" cy="542925"/>
          <wp:effectExtent l="19050" t="0" r="0" b="0"/>
          <wp:wrapSquare wrapText="bothSides"/>
          <wp:docPr id="1" name="Imagem 1" descr="Marca UDESC e assina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DESC e assinatura "/>
                  <pic:cNvPicPr>
                    <a:picLocks noChangeAspect="1" noChangeArrowheads="1"/>
                  </pic:cNvPicPr>
                </pic:nvPicPr>
                <pic:blipFill>
                  <a:blip r:embed="rId3"/>
                  <a:srcRect/>
                  <a:stretch>
                    <a:fillRect/>
                  </a:stretch>
                </pic:blipFill>
                <pic:spPr bwMode="auto">
                  <a:xfrm>
                    <a:off x="0" y="0"/>
                    <a:ext cx="1600200" cy="542925"/>
                  </a:xfrm>
                  <a:prstGeom prst="rect">
                    <a:avLst/>
                  </a:prstGeom>
                  <a:noFill/>
                  <a:ln w="9525">
                    <a:noFill/>
                    <a:miter lim="800000"/>
                    <a:headEnd/>
                    <a:tailEnd/>
                  </a:ln>
                </pic:spPr>
              </pic:pic>
            </a:graphicData>
          </a:graphic>
        </wp:anchor>
      </w:drawing>
    </w:r>
  </w:p>
  <w:p w:rsidR="004335EF" w:rsidRDefault="004335EF">
    <w:pPr>
      <w:pStyle w:val="Cabealho"/>
      <w:ind w:left="600"/>
      <w:jc w:val="center"/>
      <w:rPr>
        <w:rFonts w:ascii="Verdana" w:hAnsi="Verdana"/>
        <w:sz w:val="14"/>
      </w:rPr>
    </w:pPr>
  </w:p>
  <w:p w:rsidR="004335EF" w:rsidRDefault="004335EF">
    <w:pPr>
      <w:pStyle w:val="Cabealho"/>
      <w:ind w:left="840"/>
      <w:jc w:val="center"/>
      <w:rPr>
        <w:rFonts w:ascii="Verdana" w:hAnsi="Verdana"/>
        <w:sz w:val="14"/>
      </w:rPr>
    </w:pPr>
    <w:r>
      <w:rPr>
        <w:rFonts w:ascii="Verdana" w:hAnsi="Verdana"/>
        <w:sz w:val="14"/>
      </w:rPr>
      <w:t>UNIVERSIDADE DO ESTADO DE SANTA CATARINA</w:t>
    </w:r>
  </w:p>
  <w:p w:rsidR="004335EF" w:rsidRDefault="004335EF">
    <w:pPr>
      <w:pStyle w:val="Cabealho"/>
      <w:ind w:left="840"/>
      <w:jc w:val="center"/>
      <w:rPr>
        <w:rFonts w:ascii="Verdana" w:hAnsi="Verdana"/>
        <w:sz w:val="14"/>
      </w:rPr>
    </w:pPr>
    <w:r>
      <w:rPr>
        <w:rFonts w:ascii="Verdana" w:hAnsi="Verdana"/>
        <w:sz w:val="14"/>
      </w:rPr>
      <w:t>CENTRO DE CIÊNCIAS DA ADMINISTRAÇÃO</w:t>
    </w:r>
  </w:p>
  <w:p w:rsidR="004335EF" w:rsidRDefault="004335EF">
    <w:pPr>
      <w:pStyle w:val="Cabealho"/>
      <w:ind w:left="840"/>
      <w:jc w:val="center"/>
      <w:rPr>
        <w:rFonts w:ascii="Helvetica" w:hAnsi="Helvetica"/>
        <w:sz w:val="20"/>
        <w:szCs w:val="20"/>
      </w:rPr>
    </w:pPr>
    <w:r>
      <w:rPr>
        <w:rFonts w:ascii="Verdana" w:hAnsi="Verdana"/>
        <w:sz w:val="14"/>
      </w:rPr>
      <w:t>E SÓCIO-ECONÔMICAS – ESAG</w:t>
    </w:r>
  </w:p>
  <w:p w:rsidR="004335EF" w:rsidRDefault="004335EF">
    <w:pPr>
      <w:pStyle w:val="Cabealho"/>
      <w:ind w:left="840"/>
      <w:jc w:val="center"/>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B249E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2232075"/>
    <w:multiLevelType w:val="hybridMultilevel"/>
    <w:tmpl w:val="DE980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2F97896"/>
    <w:multiLevelType w:val="hybridMultilevel"/>
    <w:tmpl w:val="AF20D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C2"/>
    <w:rsid w:val="00006B47"/>
    <w:rsid w:val="000074F5"/>
    <w:rsid w:val="00010902"/>
    <w:rsid w:val="00021DD9"/>
    <w:rsid w:val="0002238A"/>
    <w:rsid w:val="00027D6E"/>
    <w:rsid w:val="00035435"/>
    <w:rsid w:val="00047C69"/>
    <w:rsid w:val="00064B53"/>
    <w:rsid w:val="00083700"/>
    <w:rsid w:val="00090C58"/>
    <w:rsid w:val="000C0411"/>
    <w:rsid w:val="000C1DD1"/>
    <w:rsid w:val="000C55F8"/>
    <w:rsid w:val="000D700C"/>
    <w:rsid w:val="000D7C3C"/>
    <w:rsid w:val="000F50FB"/>
    <w:rsid w:val="00103E95"/>
    <w:rsid w:val="00121C4A"/>
    <w:rsid w:val="00134C4B"/>
    <w:rsid w:val="00141451"/>
    <w:rsid w:val="00162BCD"/>
    <w:rsid w:val="001634AE"/>
    <w:rsid w:val="0017416E"/>
    <w:rsid w:val="00181579"/>
    <w:rsid w:val="00181CAC"/>
    <w:rsid w:val="00182890"/>
    <w:rsid w:val="00183566"/>
    <w:rsid w:val="00183FF5"/>
    <w:rsid w:val="001A68A4"/>
    <w:rsid w:val="001B1A51"/>
    <w:rsid w:val="001C01CD"/>
    <w:rsid w:val="001D3F01"/>
    <w:rsid w:val="001D5F5D"/>
    <w:rsid w:val="001D621F"/>
    <w:rsid w:val="001E0966"/>
    <w:rsid w:val="001F2445"/>
    <w:rsid w:val="00213F52"/>
    <w:rsid w:val="00221F06"/>
    <w:rsid w:val="00227A4C"/>
    <w:rsid w:val="00234E4D"/>
    <w:rsid w:val="00252248"/>
    <w:rsid w:val="00256055"/>
    <w:rsid w:val="00285FFB"/>
    <w:rsid w:val="00294485"/>
    <w:rsid w:val="0029506E"/>
    <w:rsid w:val="00295B01"/>
    <w:rsid w:val="002A0A2F"/>
    <w:rsid w:val="002A41FD"/>
    <w:rsid w:val="002B497E"/>
    <w:rsid w:val="002C1E37"/>
    <w:rsid w:val="002E2FD8"/>
    <w:rsid w:val="002E5410"/>
    <w:rsid w:val="002F05AB"/>
    <w:rsid w:val="003018A9"/>
    <w:rsid w:val="00303BD3"/>
    <w:rsid w:val="00313D4C"/>
    <w:rsid w:val="00322494"/>
    <w:rsid w:val="0032472D"/>
    <w:rsid w:val="00331740"/>
    <w:rsid w:val="00332394"/>
    <w:rsid w:val="00335502"/>
    <w:rsid w:val="00341B6B"/>
    <w:rsid w:val="00344068"/>
    <w:rsid w:val="003576F5"/>
    <w:rsid w:val="00380F2B"/>
    <w:rsid w:val="0039429E"/>
    <w:rsid w:val="003A3465"/>
    <w:rsid w:val="003C18A8"/>
    <w:rsid w:val="003C370A"/>
    <w:rsid w:val="003C5D16"/>
    <w:rsid w:val="003C6D6A"/>
    <w:rsid w:val="003D2CE2"/>
    <w:rsid w:val="00402E78"/>
    <w:rsid w:val="0041263A"/>
    <w:rsid w:val="00430E8B"/>
    <w:rsid w:val="004335EF"/>
    <w:rsid w:val="0044047A"/>
    <w:rsid w:val="00447498"/>
    <w:rsid w:val="004538E7"/>
    <w:rsid w:val="00454B4A"/>
    <w:rsid w:val="00457FCF"/>
    <w:rsid w:val="00461F12"/>
    <w:rsid w:val="00474B60"/>
    <w:rsid w:val="00476976"/>
    <w:rsid w:val="00494208"/>
    <w:rsid w:val="004964DD"/>
    <w:rsid w:val="00497098"/>
    <w:rsid w:val="004B0DCC"/>
    <w:rsid w:val="004B11E3"/>
    <w:rsid w:val="00510CA3"/>
    <w:rsid w:val="00516D72"/>
    <w:rsid w:val="00530169"/>
    <w:rsid w:val="005354A6"/>
    <w:rsid w:val="0054472A"/>
    <w:rsid w:val="005455F4"/>
    <w:rsid w:val="0055187E"/>
    <w:rsid w:val="00563BD5"/>
    <w:rsid w:val="00563BD7"/>
    <w:rsid w:val="00566834"/>
    <w:rsid w:val="00575455"/>
    <w:rsid w:val="005852EB"/>
    <w:rsid w:val="00585CD1"/>
    <w:rsid w:val="005928F7"/>
    <w:rsid w:val="00595726"/>
    <w:rsid w:val="005B6027"/>
    <w:rsid w:val="00611490"/>
    <w:rsid w:val="006247AD"/>
    <w:rsid w:val="00637A70"/>
    <w:rsid w:val="00641F6E"/>
    <w:rsid w:val="0064255D"/>
    <w:rsid w:val="0064450A"/>
    <w:rsid w:val="006644E1"/>
    <w:rsid w:val="0067271E"/>
    <w:rsid w:val="00674733"/>
    <w:rsid w:val="006775BD"/>
    <w:rsid w:val="00693026"/>
    <w:rsid w:val="006A15D8"/>
    <w:rsid w:val="006B3150"/>
    <w:rsid w:val="006B44DC"/>
    <w:rsid w:val="006B4B88"/>
    <w:rsid w:val="006B6D98"/>
    <w:rsid w:val="006D2194"/>
    <w:rsid w:val="006D3528"/>
    <w:rsid w:val="006D71D3"/>
    <w:rsid w:val="006E2769"/>
    <w:rsid w:val="006F01E0"/>
    <w:rsid w:val="00704361"/>
    <w:rsid w:val="00717D63"/>
    <w:rsid w:val="0072149E"/>
    <w:rsid w:val="00721DFD"/>
    <w:rsid w:val="007222E0"/>
    <w:rsid w:val="007320F9"/>
    <w:rsid w:val="00736E7B"/>
    <w:rsid w:val="007614C2"/>
    <w:rsid w:val="007615E0"/>
    <w:rsid w:val="007663B0"/>
    <w:rsid w:val="00781452"/>
    <w:rsid w:val="007904DE"/>
    <w:rsid w:val="00797223"/>
    <w:rsid w:val="007B2BCA"/>
    <w:rsid w:val="007C6D35"/>
    <w:rsid w:val="007D35FF"/>
    <w:rsid w:val="007D5A29"/>
    <w:rsid w:val="007E4987"/>
    <w:rsid w:val="007E656D"/>
    <w:rsid w:val="007F0EB4"/>
    <w:rsid w:val="007F1C21"/>
    <w:rsid w:val="00802D51"/>
    <w:rsid w:val="00832E9C"/>
    <w:rsid w:val="0084417D"/>
    <w:rsid w:val="00860126"/>
    <w:rsid w:val="00860F74"/>
    <w:rsid w:val="00863746"/>
    <w:rsid w:val="00874EA1"/>
    <w:rsid w:val="00880B13"/>
    <w:rsid w:val="00885BAC"/>
    <w:rsid w:val="008A550E"/>
    <w:rsid w:val="008A5E21"/>
    <w:rsid w:val="008B07F9"/>
    <w:rsid w:val="008B0DC8"/>
    <w:rsid w:val="008B2615"/>
    <w:rsid w:val="008C551F"/>
    <w:rsid w:val="008D06F5"/>
    <w:rsid w:val="008D7787"/>
    <w:rsid w:val="008F3C81"/>
    <w:rsid w:val="00916DE9"/>
    <w:rsid w:val="00921E35"/>
    <w:rsid w:val="00925C9E"/>
    <w:rsid w:val="00930020"/>
    <w:rsid w:val="00934DB2"/>
    <w:rsid w:val="00940395"/>
    <w:rsid w:val="009577BC"/>
    <w:rsid w:val="00963625"/>
    <w:rsid w:val="0096751C"/>
    <w:rsid w:val="009A0B98"/>
    <w:rsid w:val="009B0D79"/>
    <w:rsid w:val="009B79BB"/>
    <w:rsid w:val="009C0493"/>
    <w:rsid w:val="009C1DB8"/>
    <w:rsid w:val="009C46AE"/>
    <w:rsid w:val="009E3439"/>
    <w:rsid w:val="009F0A0B"/>
    <w:rsid w:val="009F3D04"/>
    <w:rsid w:val="009F3D7C"/>
    <w:rsid w:val="00A0256B"/>
    <w:rsid w:val="00A02CBF"/>
    <w:rsid w:val="00A03818"/>
    <w:rsid w:val="00A04574"/>
    <w:rsid w:val="00A1246B"/>
    <w:rsid w:val="00A12E8F"/>
    <w:rsid w:val="00A2176A"/>
    <w:rsid w:val="00A37954"/>
    <w:rsid w:val="00A505E9"/>
    <w:rsid w:val="00A56174"/>
    <w:rsid w:val="00A6189B"/>
    <w:rsid w:val="00A92B66"/>
    <w:rsid w:val="00AA6DBE"/>
    <w:rsid w:val="00AB4C2D"/>
    <w:rsid w:val="00AB66B4"/>
    <w:rsid w:val="00AD7348"/>
    <w:rsid w:val="00AE3932"/>
    <w:rsid w:val="00AE59EB"/>
    <w:rsid w:val="00AF10FA"/>
    <w:rsid w:val="00AF2F69"/>
    <w:rsid w:val="00B10836"/>
    <w:rsid w:val="00B23F7D"/>
    <w:rsid w:val="00B51C91"/>
    <w:rsid w:val="00B63CB9"/>
    <w:rsid w:val="00BB0206"/>
    <w:rsid w:val="00BB0723"/>
    <w:rsid w:val="00BC0148"/>
    <w:rsid w:val="00BC02C7"/>
    <w:rsid w:val="00BC3ECA"/>
    <w:rsid w:val="00BD281C"/>
    <w:rsid w:val="00BD308F"/>
    <w:rsid w:val="00BD3AEF"/>
    <w:rsid w:val="00BF6761"/>
    <w:rsid w:val="00C049DE"/>
    <w:rsid w:val="00C07CBE"/>
    <w:rsid w:val="00C201F8"/>
    <w:rsid w:val="00C23F65"/>
    <w:rsid w:val="00C255B6"/>
    <w:rsid w:val="00C27C15"/>
    <w:rsid w:val="00C3266A"/>
    <w:rsid w:val="00C45653"/>
    <w:rsid w:val="00C47F46"/>
    <w:rsid w:val="00C52DE5"/>
    <w:rsid w:val="00C70EB3"/>
    <w:rsid w:val="00C845CA"/>
    <w:rsid w:val="00C92A5A"/>
    <w:rsid w:val="00C94266"/>
    <w:rsid w:val="00CA7CE1"/>
    <w:rsid w:val="00CB59A3"/>
    <w:rsid w:val="00CB5A66"/>
    <w:rsid w:val="00CB618F"/>
    <w:rsid w:val="00CB7831"/>
    <w:rsid w:val="00CD191F"/>
    <w:rsid w:val="00CD39F2"/>
    <w:rsid w:val="00CE3497"/>
    <w:rsid w:val="00CF6A9D"/>
    <w:rsid w:val="00D011FC"/>
    <w:rsid w:val="00D01FD8"/>
    <w:rsid w:val="00D04263"/>
    <w:rsid w:val="00D0484C"/>
    <w:rsid w:val="00D1119D"/>
    <w:rsid w:val="00D1416C"/>
    <w:rsid w:val="00D20540"/>
    <w:rsid w:val="00D23B68"/>
    <w:rsid w:val="00D23EC2"/>
    <w:rsid w:val="00D26027"/>
    <w:rsid w:val="00D34FBD"/>
    <w:rsid w:val="00D356C1"/>
    <w:rsid w:val="00D4204F"/>
    <w:rsid w:val="00D42D4C"/>
    <w:rsid w:val="00D462CC"/>
    <w:rsid w:val="00D54BD3"/>
    <w:rsid w:val="00D6621C"/>
    <w:rsid w:val="00D7713F"/>
    <w:rsid w:val="00D84E3D"/>
    <w:rsid w:val="00D96D35"/>
    <w:rsid w:val="00DA64A2"/>
    <w:rsid w:val="00DA6604"/>
    <w:rsid w:val="00DF199A"/>
    <w:rsid w:val="00DF70EF"/>
    <w:rsid w:val="00E0727A"/>
    <w:rsid w:val="00E0751D"/>
    <w:rsid w:val="00E26CB3"/>
    <w:rsid w:val="00E27C44"/>
    <w:rsid w:val="00E3630A"/>
    <w:rsid w:val="00E517BA"/>
    <w:rsid w:val="00E54E3B"/>
    <w:rsid w:val="00E637A0"/>
    <w:rsid w:val="00E6462A"/>
    <w:rsid w:val="00E7639E"/>
    <w:rsid w:val="00E85AFC"/>
    <w:rsid w:val="00EA14C5"/>
    <w:rsid w:val="00EA575B"/>
    <w:rsid w:val="00EC0185"/>
    <w:rsid w:val="00EC6760"/>
    <w:rsid w:val="00EC7996"/>
    <w:rsid w:val="00ED7CB9"/>
    <w:rsid w:val="00EE419C"/>
    <w:rsid w:val="00EF32F4"/>
    <w:rsid w:val="00EF3311"/>
    <w:rsid w:val="00F01F3A"/>
    <w:rsid w:val="00F11390"/>
    <w:rsid w:val="00F14946"/>
    <w:rsid w:val="00F20222"/>
    <w:rsid w:val="00F44C3A"/>
    <w:rsid w:val="00F5175E"/>
    <w:rsid w:val="00F74BD0"/>
    <w:rsid w:val="00F75437"/>
    <w:rsid w:val="00F77F0C"/>
    <w:rsid w:val="00F81E8B"/>
    <w:rsid w:val="00F91508"/>
    <w:rsid w:val="00FC3D1D"/>
    <w:rsid w:val="00FD0F71"/>
    <w:rsid w:val="00FD192B"/>
    <w:rsid w:val="00FD52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D98F528-6284-41E8-8726-BFFB4BAE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36"/>
    <w:rPr>
      <w:sz w:val="24"/>
      <w:szCs w:val="24"/>
    </w:rPr>
  </w:style>
  <w:style w:type="paragraph" w:styleId="Ttulo1">
    <w:name w:val="heading 1"/>
    <w:basedOn w:val="Normal"/>
    <w:next w:val="Normal"/>
    <w:qFormat/>
    <w:rsid w:val="00B10836"/>
    <w:pPr>
      <w:keepNext/>
      <w:jc w:val="center"/>
      <w:outlineLvl w:val="0"/>
    </w:pPr>
    <w:rPr>
      <w:b/>
      <w:szCs w:val="20"/>
    </w:rPr>
  </w:style>
  <w:style w:type="paragraph" w:styleId="Ttulo2">
    <w:name w:val="heading 2"/>
    <w:basedOn w:val="Normal"/>
    <w:next w:val="Normal"/>
    <w:qFormat/>
    <w:rsid w:val="00B10836"/>
    <w:pPr>
      <w:keepNext/>
      <w:outlineLvl w:val="1"/>
    </w:pPr>
    <w:rPr>
      <w:b/>
      <w:bCs/>
      <w:szCs w:val="20"/>
    </w:rPr>
  </w:style>
  <w:style w:type="paragraph" w:styleId="Ttulo3">
    <w:name w:val="heading 3"/>
    <w:basedOn w:val="Normal"/>
    <w:next w:val="Normal"/>
    <w:qFormat/>
    <w:rsid w:val="00B10836"/>
    <w:pPr>
      <w:keepNext/>
      <w:jc w:val="center"/>
      <w:outlineLvl w:val="2"/>
    </w:pPr>
    <w:rPr>
      <w:rFonts w:ascii="Arial" w:hAnsi="Arial" w:cs="Arial"/>
      <w:b/>
      <w:bCs/>
      <w:sz w:val="28"/>
      <w:szCs w:val="20"/>
    </w:rPr>
  </w:style>
  <w:style w:type="paragraph" w:styleId="Ttulo4">
    <w:name w:val="heading 4"/>
    <w:basedOn w:val="Normal"/>
    <w:next w:val="Normal"/>
    <w:qFormat/>
    <w:rsid w:val="00B10836"/>
    <w:pPr>
      <w:keepNext/>
      <w:outlineLvl w:val="3"/>
    </w:pPr>
    <w:rPr>
      <w:rFonts w:ascii="Arial" w:hAnsi="Arial" w:cs="Arial"/>
      <w:b/>
      <w:bCs/>
      <w:sz w:val="22"/>
      <w:szCs w:val="20"/>
    </w:rPr>
  </w:style>
  <w:style w:type="paragraph" w:styleId="Ttulo5">
    <w:name w:val="heading 5"/>
    <w:basedOn w:val="Normal"/>
    <w:next w:val="Normal"/>
    <w:qFormat/>
    <w:rsid w:val="00B10836"/>
    <w:pPr>
      <w:keepNext/>
      <w:outlineLvl w:val="4"/>
    </w:pPr>
    <w:rPr>
      <w:rFonts w:ascii="Arial" w:hAnsi="Arial" w:cs="Arial"/>
      <w:szCs w:val="20"/>
    </w:rPr>
  </w:style>
  <w:style w:type="paragraph" w:styleId="Ttulo6">
    <w:name w:val="heading 6"/>
    <w:basedOn w:val="Normal"/>
    <w:next w:val="Normal"/>
    <w:qFormat/>
    <w:rsid w:val="00B10836"/>
    <w:pPr>
      <w:keepNext/>
      <w:jc w:val="center"/>
      <w:outlineLvl w:val="5"/>
    </w:pPr>
    <w:rPr>
      <w:szCs w:val="20"/>
    </w:rPr>
  </w:style>
  <w:style w:type="paragraph" w:styleId="Ttulo7">
    <w:name w:val="heading 7"/>
    <w:basedOn w:val="Normal"/>
    <w:next w:val="Normal"/>
    <w:qFormat/>
    <w:rsid w:val="00B10836"/>
    <w:pPr>
      <w:keepNext/>
      <w:outlineLvl w:val="6"/>
    </w:pPr>
    <w:rPr>
      <w:smallCaps/>
      <w:sz w:val="28"/>
    </w:rPr>
  </w:style>
  <w:style w:type="paragraph" w:styleId="Ttulo8">
    <w:name w:val="heading 8"/>
    <w:basedOn w:val="Normal"/>
    <w:next w:val="Normal"/>
    <w:qFormat/>
    <w:rsid w:val="00B10836"/>
    <w:pPr>
      <w:keepNext/>
      <w:jc w:val="center"/>
      <w:outlineLvl w:val="7"/>
    </w:pPr>
    <w:rPr>
      <w:smallCaps/>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autoRedefine/>
    <w:rsid w:val="00B10836"/>
    <w:pPr>
      <w:numPr>
        <w:numId w:val="1"/>
      </w:numPr>
      <w:suppressAutoHyphens/>
    </w:pPr>
    <w:rPr>
      <w:lang w:eastAsia="ar-SA"/>
    </w:rPr>
  </w:style>
  <w:style w:type="paragraph" w:styleId="Cabealho">
    <w:name w:val="header"/>
    <w:basedOn w:val="Normal"/>
    <w:rsid w:val="00B10836"/>
    <w:pPr>
      <w:tabs>
        <w:tab w:val="center" w:pos="4320"/>
        <w:tab w:val="right" w:pos="8640"/>
      </w:tabs>
      <w:suppressAutoHyphens/>
    </w:pPr>
    <w:rPr>
      <w:lang w:eastAsia="ar-SA"/>
    </w:rPr>
  </w:style>
  <w:style w:type="paragraph" w:styleId="Rodap">
    <w:name w:val="footer"/>
    <w:basedOn w:val="Normal"/>
    <w:rsid w:val="00B10836"/>
    <w:pPr>
      <w:tabs>
        <w:tab w:val="center" w:pos="4320"/>
        <w:tab w:val="right" w:pos="8640"/>
      </w:tabs>
      <w:suppressAutoHyphens/>
    </w:pPr>
    <w:rPr>
      <w:lang w:eastAsia="ar-SA"/>
    </w:rPr>
  </w:style>
  <w:style w:type="paragraph" w:styleId="Corpodetexto">
    <w:name w:val="Body Text"/>
    <w:basedOn w:val="Normal"/>
    <w:rsid w:val="00B10836"/>
    <w:pPr>
      <w:jc w:val="both"/>
    </w:pPr>
  </w:style>
  <w:style w:type="paragraph" w:styleId="Recuodecorpodetexto">
    <w:name w:val="Body Text Indent"/>
    <w:basedOn w:val="Normal"/>
    <w:rsid w:val="00B10836"/>
    <w:pPr>
      <w:ind w:left="3969"/>
      <w:jc w:val="both"/>
    </w:pPr>
    <w:rPr>
      <w:szCs w:val="20"/>
    </w:rPr>
  </w:style>
  <w:style w:type="paragraph" w:styleId="NormalWeb">
    <w:name w:val="Normal (Web)"/>
    <w:basedOn w:val="Normal"/>
    <w:rsid w:val="00B10836"/>
    <w:pPr>
      <w:spacing w:before="100" w:beforeAutospacing="1" w:after="100" w:afterAutospacing="1"/>
    </w:pPr>
  </w:style>
  <w:style w:type="paragraph" w:styleId="Corpodetexto2">
    <w:name w:val="Body Text 2"/>
    <w:basedOn w:val="Normal"/>
    <w:rsid w:val="00B10836"/>
    <w:pPr>
      <w:spacing w:before="100" w:beforeAutospacing="1" w:after="100" w:afterAutospacing="1"/>
    </w:pPr>
  </w:style>
  <w:style w:type="character" w:styleId="Hyperlink">
    <w:name w:val="Hyperlink"/>
    <w:basedOn w:val="Fontepargpadro"/>
    <w:rsid w:val="00B10836"/>
    <w:rPr>
      <w:color w:val="0000FF"/>
      <w:u w:val="single"/>
    </w:rPr>
  </w:style>
  <w:style w:type="paragraph" w:styleId="Ttulo">
    <w:name w:val="Title"/>
    <w:basedOn w:val="Normal"/>
    <w:qFormat/>
    <w:rsid w:val="00B10836"/>
    <w:pPr>
      <w:jc w:val="center"/>
    </w:pPr>
    <w:rPr>
      <w:rFonts w:ascii="Arial" w:hAnsi="Arial" w:cs="Arial"/>
      <w:b/>
      <w:bCs/>
    </w:rPr>
  </w:style>
  <w:style w:type="paragraph" w:styleId="Subttulo">
    <w:name w:val="Subtitle"/>
    <w:basedOn w:val="Normal"/>
    <w:qFormat/>
    <w:rsid w:val="00B10836"/>
    <w:pPr>
      <w:jc w:val="center"/>
    </w:pPr>
    <w:rPr>
      <w:rFonts w:ascii="Arial" w:hAnsi="Arial"/>
      <w:b/>
      <w:sz w:val="36"/>
      <w:szCs w:val="20"/>
    </w:rPr>
  </w:style>
  <w:style w:type="paragraph" w:customStyle="1" w:styleId="PADRAO">
    <w:name w:val="PADRAO"/>
    <w:basedOn w:val="Normal"/>
    <w:rsid w:val="00B10836"/>
    <w:pPr>
      <w:jc w:val="both"/>
    </w:pPr>
    <w:rPr>
      <w:szCs w:val="20"/>
    </w:rPr>
  </w:style>
  <w:style w:type="character" w:styleId="Forte">
    <w:name w:val="Strong"/>
    <w:basedOn w:val="Fontepargpadro"/>
    <w:uiPriority w:val="22"/>
    <w:qFormat/>
    <w:rsid w:val="00B10836"/>
    <w:rPr>
      <w:b/>
      <w:bCs/>
    </w:rPr>
  </w:style>
  <w:style w:type="paragraph" w:styleId="Corpodetexto3">
    <w:name w:val="Body Text 3"/>
    <w:basedOn w:val="Normal"/>
    <w:rsid w:val="00B10836"/>
    <w:rPr>
      <w:rFonts w:ascii="Arial" w:hAnsi="Arial" w:cs="Arial"/>
      <w:sz w:val="22"/>
      <w:szCs w:val="20"/>
    </w:rPr>
  </w:style>
  <w:style w:type="table" w:styleId="Tabelacomgrade">
    <w:name w:val="Table Grid"/>
    <w:basedOn w:val="Tabelanormal"/>
    <w:rsid w:val="0018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13F52"/>
    <w:pPr>
      <w:ind w:left="720"/>
      <w:contextualSpacing/>
    </w:pPr>
  </w:style>
  <w:style w:type="character" w:styleId="nfase">
    <w:name w:val="Emphasis"/>
    <w:basedOn w:val="Fontepargpadro"/>
    <w:uiPriority w:val="20"/>
    <w:qFormat/>
    <w:rsid w:val="009F3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8593">
      <w:bodyDiv w:val="1"/>
      <w:marLeft w:val="0"/>
      <w:marRight w:val="0"/>
      <w:marTop w:val="0"/>
      <w:marBottom w:val="0"/>
      <w:divBdr>
        <w:top w:val="none" w:sz="0" w:space="0" w:color="auto"/>
        <w:left w:val="none" w:sz="0" w:space="0" w:color="auto"/>
        <w:bottom w:val="none" w:sz="0" w:space="0" w:color="auto"/>
        <w:right w:val="none" w:sz="0" w:space="0" w:color="auto"/>
      </w:divBdr>
      <w:divsChild>
        <w:div w:id="885798825">
          <w:marLeft w:val="0"/>
          <w:marRight w:val="0"/>
          <w:marTop w:val="0"/>
          <w:marBottom w:val="0"/>
          <w:divBdr>
            <w:top w:val="none" w:sz="0" w:space="0" w:color="auto"/>
            <w:left w:val="none" w:sz="0" w:space="0" w:color="auto"/>
            <w:bottom w:val="none" w:sz="0" w:space="0" w:color="auto"/>
            <w:right w:val="none" w:sz="0" w:space="0" w:color="auto"/>
          </w:divBdr>
          <w:divsChild>
            <w:div w:id="502087359">
              <w:marLeft w:val="0"/>
              <w:marRight w:val="0"/>
              <w:marTop w:val="0"/>
              <w:marBottom w:val="0"/>
              <w:divBdr>
                <w:top w:val="none" w:sz="0" w:space="0" w:color="auto"/>
                <w:left w:val="none" w:sz="0" w:space="0" w:color="auto"/>
                <w:bottom w:val="none" w:sz="0" w:space="0" w:color="auto"/>
                <w:right w:val="none" w:sz="0" w:space="0" w:color="auto"/>
              </w:divBdr>
              <w:divsChild>
                <w:div w:id="850219988">
                  <w:marLeft w:val="0"/>
                  <w:marRight w:val="0"/>
                  <w:marTop w:val="0"/>
                  <w:marBottom w:val="0"/>
                  <w:divBdr>
                    <w:top w:val="none" w:sz="0" w:space="0" w:color="auto"/>
                    <w:left w:val="none" w:sz="0" w:space="0" w:color="auto"/>
                    <w:bottom w:val="none" w:sz="0" w:space="0" w:color="auto"/>
                    <w:right w:val="none" w:sz="0" w:space="0" w:color="auto"/>
                  </w:divBdr>
                  <w:divsChild>
                    <w:div w:id="174209977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Documento_do_Microsoft_Word_97_-_20031.doc"/><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1.%20PAPEL%20TIMBRADO%20UDESC%20e%20ESAG%20NOV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7B81-708E-4DFA-AD68-C90AAD3B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PAPEL TIMBRADO UDESC e ESAG NOVO</Template>
  <TotalTime>1</TotalTime>
  <Pages>6</Pages>
  <Words>2236</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MINUTA DE RESOLUÇÃO</vt:lpstr>
    </vt:vector>
  </TitlesOfParts>
  <Company>udesc</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RESOLUÇÃO</dc:title>
  <dc:creator>Cecília Milanez Coelho</dc:creator>
  <cp:lastModifiedBy>WANESSA DAIBERT COIMBRA RIBEIRO</cp:lastModifiedBy>
  <cp:revision>2</cp:revision>
  <cp:lastPrinted>2011-03-04T19:20:00Z</cp:lastPrinted>
  <dcterms:created xsi:type="dcterms:W3CDTF">2018-11-09T18:37:00Z</dcterms:created>
  <dcterms:modified xsi:type="dcterms:W3CDTF">2018-11-09T18:37:00Z</dcterms:modified>
</cp:coreProperties>
</file>