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00D9819D"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FC4C09" w:rsidRPr="00FC4C09">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E9DC89E" w:rsidR="00AB23E9" w:rsidRPr="004249C8" w:rsidRDefault="00AB23E9" w:rsidP="00AB23E9">
      <w:pPr>
        <w:tabs>
          <w:tab w:val="left" w:pos="2552"/>
        </w:tabs>
        <w:jc w:val="both"/>
        <w:rPr>
          <w:rFonts w:asciiTheme="minorHAnsi" w:hAnsiTheme="minorHAnsi" w:cstheme="minorHAnsi"/>
          <w:bCs/>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CC7390">
        <w:rPr>
          <w:rFonts w:asciiTheme="minorHAnsi" w:hAnsiTheme="minorHAnsi" w:cstheme="minorHAnsi"/>
          <w:b/>
        </w:rPr>
        <w:t xml:space="preserve">, </w:t>
      </w:r>
      <w:r w:rsidR="00CC7390">
        <w:rPr>
          <w:rFonts w:asciiTheme="minorHAnsi" w:hAnsiTheme="minorHAnsi" w:cstheme="minorHAnsi"/>
          <w:bCs/>
        </w:rPr>
        <w:t>c</w:t>
      </w:r>
      <w:r w:rsidR="004249C8" w:rsidRPr="004249C8">
        <w:rPr>
          <w:rFonts w:asciiTheme="minorHAnsi" w:hAnsiTheme="minorHAnsi" w:cstheme="minorHAnsi"/>
          <w:bCs/>
        </w:rPr>
        <w:t>onforme data do sistema e</w:t>
      </w:r>
      <w:r w:rsidR="004249C8">
        <w:rPr>
          <w:rFonts w:asciiTheme="minorHAnsi" w:hAnsiTheme="minorHAnsi" w:cstheme="minorHAnsi"/>
          <w:bCs/>
        </w:rPr>
        <w:t>-LIC.</w:t>
      </w:r>
    </w:p>
    <w:p w14:paraId="1BFDC12C" w14:textId="28915D6F"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CC7390">
        <w:rPr>
          <w:rFonts w:ascii="Calibri" w:hAnsi="Calibri" w:cs="Calibri"/>
          <w:b/>
        </w:rPr>
        <w:t xml:space="preserve">, </w:t>
      </w:r>
      <w:r w:rsidR="00CC7390">
        <w:rPr>
          <w:rFonts w:ascii="Calibri" w:hAnsi="Calibri" w:cs="Calibri"/>
          <w:bCs/>
        </w:rPr>
        <w:t>c</w:t>
      </w:r>
      <w:r w:rsidR="004249C8" w:rsidRPr="004249C8">
        <w:rPr>
          <w:rFonts w:asciiTheme="minorHAnsi" w:hAnsiTheme="minorHAnsi" w:cstheme="minorHAnsi"/>
          <w:bCs/>
        </w:rPr>
        <w:t xml:space="preserve">onforme data </w:t>
      </w:r>
      <w:r w:rsidR="00A32570">
        <w:rPr>
          <w:rFonts w:asciiTheme="minorHAnsi" w:hAnsiTheme="minorHAnsi" w:cstheme="minorHAnsi"/>
          <w:bCs/>
        </w:rPr>
        <w:t xml:space="preserve">do </w:t>
      </w:r>
      <w:r w:rsidR="004249C8" w:rsidRPr="004249C8">
        <w:rPr>
          <w:rFonts w:asciiTheme="minorHAnsi" w:hAnsiTheme="minorHAnsi" w:cstheme="minorHAnsi"/>
          <w:bCs/>
        </w:rPr>
        <w:t>sistema e</w:t>
      </w:r>
      <w:r w:rsidR="004249C8">
        <w:rPr>
          <w:rFonts w:asciiTheme="minorHAnsi" w:hAnsiTheme="minorHAnsi" w:cstheme="minorHAnsi"/>
          <w:bCs/>
        </w:rPr>
        <w:t>-LIC.</w:t>
      </w:r>
    </w:p>
    <w:p w14:paraId="70E86862" w14:textId="2D4C5174"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CC7390">
        <w:rPr>
          <w:rFonts w:ascii="Calibri" w:hAnsi="Calibri" w:cs="Calibri"/>
          <w:b/>
        </w:rPr>
        <w:t xml:space="preserve">, </w:t>
      </w:r>
      <w:r w:rsidR="00CC7390" w:rsidRPr="00CC7390">
        <w:rPr>
          <w:rFonts w:ascii="Calibri" w:hAnsi="Calibri" w:cs="Calibri"/>
          <w:bCs/>
        </w:rPr>
        <w:t>c</w:t>
      </w:r>
      <w:r w:rsidR="004249C8" w:rsidRPr="004249C8">
        <w:rPr>
          <w:rFonts w:asciiTheme="minorHAnsi" w:hAnsiTheme="minorHAnsi" w:cstheme="minorHAnsi"/>
          <w:bCs/>
        </w:rPr>
        <w:t>onforme do sistema e</w:t>
      </w:r>
      <w:r w:rsidR="004249C8">
        <w:rPr>
          <w:rFonts w:asciiTheme="minorHAnsi" w:hAnsiTheme="minorHAnsi" w:cstheme="minorHAnsi"/>
          <w:bCs/>
        </w:rPr>
        <w:t>-LIC.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0"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0"/>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570149C" w14:textId="4800EB5B" w:rsidR="00E93709" w:rsidRPr="00F55C43" w:rsidRDefault="00E93709" w:rsidP="00FE4B45">
      <w:pPr>
        <w:jc w:val="both"/>
        <w:rPr>
          <w:rStyle w:val="Forte"/>
          <w:rFonts w:ascii="Calibri" w:hAnsi="Calibri" w:cs="Calibri"/>
        </w:rPr>
      </w:pPr>
      <w:r w:rsidRPr="00E93709">
        <w:rPr>
          <w:rStyle w:val="Forte"/>
          <w:rFonts w:ascii="Calibri" w:hAnsi="Calibri" w:cs="Calibri"/>
          <w:highlight w:val="yellow"/>
        </w:rPr>
        <w:t xml:space="preserve">6.2.1 – </w:t>
      </w:r>
      <w:r w:rsidRPr="00E93709">
        <w:rPr>
          <w:rStyle w:val="Forte"/>
          <w:rFonts w:ascii="Calibri" w:hAnsi="Calibri" w:cs="Calibri"/>
          <w:b w:val="0"/>
          <w:bCs w:val="0"/>
          <w:highlight w:val="yellow"/>
        </w:rPr>
        <w:t>Caso o objeto a ser contratado envolva cessão de mão de obra e a empresa contratada seja Optante do Simples Nacional, por se tratar de Ata de Registro de Preços, no momento da emissão da primeira nota fiscal deverá realizar o desenquadramento do Simples Nacional p</w:t>
      </w:r>
      <w:r w:rsidR="007114DF">
        <w:rPr>
          <w:rStyle w:val="Forte"/>
          <w:rFonts w:ascii="Calibri" w:hAnsi="Calibri" w:cs="Calibri"/>
          <w:b w:val="0"/>
          <w:bCs w:val="0"/>
          <w:highlight w:val="yellow"/>
        </w:rPr>
        <w:t>a</w:t>
      </w:r>
      <w:r w:rsidRPr="00E93709">
        <w:rPr>
          <w:rStyle w:val="Forte"/>
          <w:rFonts w:ascii="Calibri" w:hAnsi="Calibri" w:cs="Calibri"/>
          <w:b w:val="0"/>
          <w:bCs w:val="0"/>
          <w:highlight w:val="yellow"/>
        </w:rPr>
        <w:t xml:space="preserve">ra atendimento da legislação prevista no art. 17, </w:t>
      </w:r>
      <w:r w:rsidR="007114DF" w:rsidRPr="007114DF">
        <w:rPr>
          <w:rFonts w:ascii="Calibri" w:hAnsi="Calibri" w:cs="Calibri"/>
          <w:highlight w:val="yellow"/>
        </w:rPr>
        <w:t>inciso VI e XII</w:t>
      </w:r>
      <w:r w:rsidRPr="00E93709">
        <w:rPr>
          <w:rStyle w:val="Forte"/>
          <w:rFonts w:ascii="Calibri" w:hAnsi="Calibri" w:cs="Calibri"/>
          <w:b w:val="0"/>
          <w:bCs w:val="0"/>
          <w:highlight w:val="yellow"/>
        </w:rPr>
        <w:t>, da Lei Complementar nº 123/2006.</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474DD4A8"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a) </w:t>
      </w:r>
      <w:r w:rsidRPr="000812A5">
        <w:rPr>
          <w:rFonts w:asciiTheme="minorHAnsi" w:hAnsiTheme="minorHAnsi" w:cstheme="minorHAnsi"/>
        </w:rPr>
        <w:t>Indicando o valor unitário de cada item, expresso em reais, com no máximo 02 (duas) casas decimais, no campo “valor da proposta”;</w:t>
      </w:r>
    </w:p>
    <w:p w14:paraId="0FE40BD9"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b) </w:t>
      </w:r>
      <w:r w:rsidRPr="000812A5">
        <w:rPr>
          <w:rFonts w:asciiTheme="minorHAnsi" w:hAnsiTheme="minorHAnsi" w:cstheme="minorHAnsi"/>
        </w:rPr>
        <w:t>Indicando a Marca/Modelo/Procedência do objeto cotado no campo correspondente a cada item, somente as informações solicitadas pelo sistema para cada item/lote;</w:t>
      </w:r>
    </w:p>
    <w:p w14:paraId="65A64611" w14:textId="48684945" w:rsidR="000812A5" w:rsidRPr="000812A5" w:rsidRDefault="000812A5" w:rsidP="000812A5">
      <w:pPr>
        <w:rPr>
          <w:b/>
          <w:bCs/>
        </w:rPr>
      </w:pPr>
      <w:r w:rsidRPr="00B521B3">
        <w:rPr>
          <w:rFonts w:asciiTheme="minorHAnsi" w:hAnsiTheme="minorHAnsi" w:cstheme="minorHAnsi"/>
          <w:b/>
          <w:bCs/>
        </w:rPr>
        <w:t xml:space="preserve">c) </w:t>
      </w:r>
      <w:r w:rsidRPr="00B521B3">
        <w:rPr>
          <w:rFonts w:asciiTheme="minorHAnsi" w:hAnsiTheme="minorHAnsi" w:cstheme="minorHAnsi"/>
        </w:rPr>
        <w:t>Propostas</w:t>
      </w:r>
      <w:r w:rsidRPr="00B521B3">
        <w:rPr>
          <w:rFonts w:asciiTheme="minorHAnsi" w:hAnsiTheme="minorHAnsi" w:cstheme="minorHAnsi"/>
          <w:b/>
          <w:bCs/>
        </w:rPr>
        <w:t xml:space="preserve"> cadastradas no sistema com valores superestimados tipo por exemplo (R$ 9.999.999.999.999,00) </w:t>
      </w:r>
      <w:r w:rsidR="00B521B3" w:rsidRPr="00B521B3">
        <w:rPr>
          <w:rFonts w:asciiTheme="minorHAnsi" w:hAnsiTheme="minorHAnsi" w:cstheme="minorHAnsi"/>
          <w:b/>
          <w:bCs/>
        </w:rPr>
        <w:t>poderão ser</w:t>
      </w:r>
      <w:r w:rsidRPr="00B521B3">
        <w:rPr>
          <w:rFonts w:asciiTheme="minorHAnsi" w:hAnsiTheme="minorHAnsi" w:cstheme="minorHAnsi"/>
          <w:b/>
          <w:bCs/>
        </w:rPr>
        <w:t xml:space="preserve"> desclassificadas pelo Pregoeiro/Agente de Contratação no momento da abertura das propostas para análise, </w:t>
      </w:r>
      <w:r w:rsidRPr="00B521B3">
        <w:rPr>
          <w:rFonts w:asciiTheme="minorHAnsi" w:hAnsiTheme="minorHAnsi" w:cstheme="minorHAnsi"/>
        </w:rPr>
        <w:t>pelo motivo que propostas cadastradas com esses valores impedem o envio do Processo Licitatório ao Tribunal de Contas de Santa Catarina – TCE SC</w:t>
      </w:r>
      <w:r w:rsidRPr="00B521B3">
        <w:t>.</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lastRenderedPageBreak/>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lastRenderedPageBreak/>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4" w:name="_Hlk190173300"/>
      <w:bookmarkStart w:id="5" w:name="_Hlk66878051"/>
      <w:r w:rsidRPr="00344B7E">
        <w:rPr>
          <w:rFonts w:ascii="Calibri" w:hAnsi="Calibri" w:cs="Calibri"/>
          <w:b/>
          <w:bCs/>
        </w:rPr>
        <w:t>7.6.1 –</w:t>
      </w:r>
      <w:r>
        <w:rPr>
          <w:rFonts w:ascii="Calibri" w:hAnsi="Calibri" w:cs="Calibri"/>
        </w:rPr>
        <w:t xml:space="preserve"> </w:t>
      </w:r>
      <w:bookmarkStart w:id="6" w:name="_Hlk190173263"/>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6"/>
    <w:bookmarkEnd w:id="4"/>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lastRenderedPageBreak/>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lastRenderedPageBreak/>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061D2F6B" w14:textId="4480A18D" w:rsidR="000F5EBF" w:rsidRPr="00BC766A" w:rsidRDefault="000F5EBF" w:rsidP="00EF424C">
      <w:pPr>
        <w:tabs>
          <w:tab w:val="left" w:pos="2552"/>
        </w:tabs>
        <w:ind w:firstLine="284"/>
        <w:jc w:val="both"/>
        <w:rPr>
          <w:rFonts w:asciiTheme="minorHAnsi" w:eastAsia="MS Mincho" w:hAnsiTheme="minorHAnsi" w:cstheme="minorHAnsi"/>
        </w:rPr>
      </w:pPr>
      <w:r w:rsidRPr="000F5EBF">
        <w:rPr>
          <w:rFonts w:asciiTheme="minorHAnsi" w:eastAsia="MS Mincho" w:hAnsiTheme="minorHAnsi" w:cstheme="minorHAnsi"/>
          <w:b/>
          <w:bCs/>
        </w:rPr>
        <w:t>8.1.1.4 -</w:t>
      </w:r>
      <w:r>
        <w:rPr>
          <w:rFonts w:asciiTheme="minorHAnsi" w:eastAsia="MS Mincho" w:hAnsiTheme="minorHAnsi" w:cstheme="minorHAnsi"/>
        </w:rPr>
        <w:t xml:space="preserve"> </w:t>
      </w:r>
      <w:r w:rsidRPr="000F5EBF">
        <w:rPr>
          <w:rFonts w:asciiTheme="minorHAnsi" w:eastAsia="MS Mincho" w:hAnsiTheme="minorHAnsi" w:cstheme="minorHAnsi"/>
        </w:rPr>
        <w:t>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 xml:space="preserve">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w:t>
      </w:r>
      <w:r w:rsidRPr="00E83BA1">
        <w:rPr>
          <w:rFonts w:ascii="Calibri" w:hAnsi="Calibri" w:cs="Calibri"/>
        </w:rPr>
        <w:lastRenderedPageBreak/>
        <w:t>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lastRenderedPageBreak/>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vantajosidade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r>
        <w:rPr>
          <w:rFonts w:ascii="Calibri" w:hAnsi="Calibri" w:cs="Calibri"/>
        </w:rPr>
        <w:t>Udesc</w:t>
      </w:r>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lastRenderedPageBreak/>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as aquisições adicionais não poderão exceder, por 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313539DA"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 xml:space="preserve">pela contratada, </w:t>
      </w:r>
      <w:r w:rsidRPr="006F4098">
        <w:rPr>
          <w:rFonts w:ascii="Calibri" w:hAnsi="Calibri"/>
          <w:bCs/>
          <w:highlight w:val="yellow"/>
        </w:rPr>
        <w:t xml:space="preserve">observado o interregno mínimo de um ano </w:t>
      </w:r>
      <w:r w:rsidR="00EC273A" w:rsidRPr="006F4098">
        <w:rPr>
          <w:rFonts w:ascii="Calibri" w:hAnsi="Calibri"/>
          <w:bCs/>
          <w:highlight w:val="yellow"/>
        </w:rPr>
        <w:t>a contar do início de sua vigência</w:t>
      </w:r>
      <w:r w:rsidRPr="006F4098">
        <w:rPr>
          <w:rFonts w:ascii="Calibri" w:hAnsi="Calibri"/>
          <w:bCs/>
          <w:highlight w:val="yellow"/>
        </w:rPr>
        <w:t>.</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4EC66380"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w:t>
      </w:r>
      <w:r w:rsidR="00EC273A" w:rsidRPr="00915B9F">
        <w:rPr>
          <w:rFonts w:ascii="Calibri" w:hAnsi="Calibri"/>
          <w:bCs/>
          <w:highlight w:val="yellow"/>
        </w:rPr>
        <w:t xml:space="preserve">a contar </w:t>
      </w:r>
      <w:r w:rsidR="00915B9F" w:rsidRPr="00915B9F">
        <w:rPr>
          <w:rFonts w:ascii="Calibri" w:hAnsi="Calibri"/>
          <w:bCs/>
          <w:highlight w:val="yellow"/>
        </w:rPr>
        <w:t>da data do orçamento estimado</w:t>
      </w:r>
      <w:r w:rsidRPr="00915B9F">
        <w:rPr>
          <w:rFonts w:ascii="Calibri" w:hAnsi="Calibri"/>
          <w:bCs/>
          <w:highlight w:val="yellow"/>
        </w:rPr>
        <w:t>;</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 xml:space="preserve">quando </w:t>
      </w:r>
      <w:proofErr w:type="gramStart"/>
      <w:r w:rsidR="00E71A01">
        <w:rPr>
          <w:rFonts w:ascii="Calibri" w:hAnsi="Calibri" w:cs="Calibri"/>
          <w:szCs w:val="24"/>
        </w:rPr>
        <w:t>cabível</w:t>
      </w:r>
      <w:r w:rsidR="00E71A01">
        <w:rPr>
          <w:rFonts w:ascii="Calibri" w:hAnsi="Calibri" w:cs="Calibri"/>
        </w:rPr>
        <w:t>)/</w:t>
      </w:r>
      <w:proofErr w:type="gramEnd"/>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lastRenderedPageBreak/>
        <w:t>12.6 –</w:t>
      </w:r>
      <w:r>
        <w:rPr>
          <w:rFonts w:ascii="Calibri" w:hAnsi="Calibri" w:cs="Calibri"/>
        </w:rPr>
        <w:t xml:space="preserve"> A Udesc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lastRenderedPageBreak/>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lastRenderedPageBreak/>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915B9F"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End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4D20EA6E"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4446FFE6"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489E6C01"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FC4C09" w:rsidRPr="00FC4C09">
        <w:rPr>
          <w:rFonts w:ascii="Calibri" w:hAnsi="Calibri"/>
          <w:sz w:val="24"/>
          <w:highlight w:val="yellow"/>
          <w14:shadow w14:blurRad="0" w14:dist="0" w14:dir="0" w14:sx="0" w14:sy="0" w14:kx="0" w14:ky="0" w14:algn="none">
            <w14:srgbClr w14:val="000000"/>
          </w14:shadow>
        </w:rPr>
        <w:t>6</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6AB2EB26"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FC4C09" w:rsidRPr="00FC4C09">
        <w:rPr>
          <w:rFonts w:ascii="Calibri" w:hAnsi="Calibri" w:cs="Calibri"/>
          <w:bCs/>
          <w:sz w:val="24"/>
          <w:highlight w:val="yellow"/>
        </w:rPr>
        <w:t>6</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7"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7"/>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O prazo de vigência da ARP poderá ser prorrogado por igual período, com a comprovação da vantajosidade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915B9F"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6546D006"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FC4C09" w:rsidRPr="00FC4C09">
        <w:rPr>
          <w:rFonts w:ascii="Calibri" w:hAnsi="Calibri"/>
          <w:sz w:val="24"/>
          <w:highlight w:val="yellow"/>
          <w14:shadow w14:blurRad="0" w14:dist="0" w14:dir="0" w14:sx="0" w14:sy="0" w14:kx="0" w14:ky="0" w14:algn="none">
            <w14:srgbClr w14:val="000000"/>
          </w14:shadow>
        </w:rPr>
        <w:t>6</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CE1A6C1"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 xml:space="preserve">O valor do contrato poderá ser reajustado, desde que solicitado formalmente pela contratada, </w:t>
      </w:r>
      <w:r w:rsidR="002239FA" w:rsidRPr="00B94472">
        <w:rPr>
          <w:rFonts w:ascii="Calibri" w:hAnsi="Calibri"/>
          <w:bCs/>
          <w:sz w:val="22"/>
          <w:szCs w:val="22"/>
          <w:highlight w:val="yellow"/>
        </w:rPr>
        <w:t>observado o interregno mínimo de um ano a contar do início de sua vigência</w:t>
      </w:r>
      <w:r w:rsidR="002239FA" w:rsidRPr="00B14C12">
        <w:rPr>
          <w:rFonts w:ascii="Calibri" w:hAnsi="Calibri"/>
          <w:bCs/>
          <w:sz w:val="22"/>
          <w:szCs w:val="22"/>
        </w:rPr>
        <w:t xml:space="preserve"> </w:t>
      </w:r>
      <w:r w:rsidRPr="00B14C12">
        <w:rPr>
          <w:rFonts w:ascii="Calibri" w:hAnsi="Calibri"/>
          <w:bCs/>
          <w:sz w:val="22"/>
          <w:szCs w:val="22"/>
        </w:rPr>
        <w:t>e da seguinte forma:</w:t>
      </w:r>
    </w:p>
    <w:p w14:paraId="5BEB4517" w14:textId="372F8D07" w:rsidR="00F971E0" w:rsidRPr="00B14C12" w:rsidRDefault="000D368A" w:rsidP="000D368A">
      <w:pPr>
        <w:jc w:val="both"/>
        <w:rPr>
          <w:rFonts w:ascii="Calibri" w:hAnsi="Calibri"/>
          <w:bCs/>
          <w:sz w:val="22"/>
          <w:szCs w:val="22"/>
        </w:rPr>
      </w:pPr>
      <w:r>
        <w:rPr>
          <w:rFonts w:ascii="Calibri" w:hAnsi="Calibri"/>
          <w:b/>
          <w:sz w:val="22"/>
          <w:szCs w:val="22"/>
        </w:rPr>
        <w:t>IV</w:t>
      </w:r>
      <w:r w:rsidR="00F971E0" w:rsidRPr="009F01F0">
        <w:rPr>
          <w:rFonts w:ascii="Calibri" w:hAnsi="Calibri"/>
          <w:bCs/>
          <w:sz w:val="22"/>
          <w:szCs w:val="22"/>
        </w:rPr>
        <w:t xml:space="preserve"> </w:t>
      </w:r>
      <w:r>
        <w:rPr>
          <w:rFonts w:ascii="Calibri" w:hAnsi="Calibri"/>
          <w:bCs/>
          <w:sz w:val="22"/>
          <w:szCs w:val="22"/>
        </w:rPr>
        <w:t xml:space="preserve">- </w:t>
      </w:r>
      <w:r w:rsidR="00F971E0" w:rsidRPr="009F01F0">
        <w:rPr>
          <w:rFonts w:ascii="Calibri" w:hAnsi="Calibri"/>
          <w:bCs/>
          <w:sz w:val="22"/>
          <w:szCs w:val="22"/>
        </w:rPr>
        <w:t xml:space="preserve">O índice de reajuste será o </w:t>
      </w:r>
      <w:r w:rsidR="00F971E0" w:rsidRPr="00B034D3">
        <w:rPr>
          <w:rFonts w:ascii="Calibri" w:hAnsi="Calibri"/>
          <w:bCs/>
          <w:sz w:val="22"/>
          <w:szCs w:val="22"/>
          <w:highlight w:val="yellow"/>
        </w:rPr>
        <w:t>Índice Nacional de Preços ao Consumidor Amplo - IPCA</w:t>
      </w:r>
      <w:r w:rsidR="00F971E0" w:rsidRPr="009F01F0">
        <w:rPr>
          <w:rFonts w:ascii="Calibri" w:hAnsi="Calibri"/>
          <w:bCs/>
          <w:sz w:val="22"/>
          <w:szCs w:val="22"/>
        </w:rPr>
        <w:t>, ou índice que vier a substituí-lo;</w:t>
      </w:r>
    </w:p>
    <w:p w14:paraId="6BC670AC" w14:textId="74D6416E" w:rsidR="00F971E0" w:rsidRPr="00B14C12" w:rsidRDefault="000D368A" w:rsidP="000D368A">
      <w:pPr>
        <w:jc w:val="both"/>
        <w:rPr>
          <w:rFonts w:ascii="Calibri" w:hAnsi="Calibri"/>
          <w:bCs/>
          <w:sz w:val="22"/>
          <w:szCs w:val="22"/>
        </w:rPr>
      </w:pPr>
      <w:r>
        <w:rPr>
          <w:rFonts w:ascii="Calibri" w:hAnsi="Calibri"/>
          <w:b/>
          <w:sz w:val="22"/>
          <w:szCs w:val="22"/>
        </w:rPr>
        <w:t xml:space="preserve">V - </w:t>
      </w:r>
      <w:r w:rsidR="00F971E0" w:rsidRPr="00B14C12">
        <w:rPr>
          <w:rFonts w:ascii="Calibri" w:hAnsi="Calibri"/>
          <w:bCs/>
          <w:sz w:val="22"/>
          <w:szCs w:val="22"/>
        </w:rPr>
        <w:t xml:space="preserve">Será utilizado o acumulado do índice dos últimos 12 meses </w:t>
      </w:r>
      <w:r w:rsidR="00915B9F" w:rsidRPr="00915B9F">
        <w:rPr>
          <w:rFonts w:ascii="Calibri" w:hAnsi="Calibri"/>
          <w:bCs/>
          <w:highlight w:val="yellow"/>
        </w:rPr>
        <w:t>a contar da data do orçamento estimado</w:t>
      </w:r>
      <w:r w:rsidR="00F971E0" w:rsidRPr="00B94472">
        <w:rPr>
          <w:rFonts w:ascii="Calibri" w:hAnsi="Calibri"/>
          <w:bCs/>
          <w:sz w:val="22"/>
          <w:szCs w:val="22"/>
          <w:highlight w:val="yellow"/>
        </w:rPr>
        <w:t>;</w:t>
      </w:r>
    </w:p>
    <w:p w14:paraId="36DD7736" w14:textId="4DA65AB5" w:rsidR="00F971E0" w:rsidRPr="00B14C12" w:rsidRDefault="000D368A" w:rsidP="000D368A">
      <w:pPr>
        <w:jc w:val="both"/>
        <w:rPr>
          <w:rFonts w:ascii="Calibri" w:hAnsi="Calibri"/>
          <w:bCs/>
          <w:sz w:val="22"/>
          <w:szCs w:val="22"/>
        </w:rPr>
      </w:pPr>
      <w:r>
        <w:rPr>
          <w:rFonts w:ascii="Calibri" w:hAnsi="Calibri"/>
          <w:b/>
          <w:sz w:val="22"/>
          <w:szCs w:val="22"/>
        </w:rPr>
        <w:t>VI -</w:t>
      </w:r>
      <w:r w:rsidR="00F971E0" w:rsidRPr="00B14C12">
        <w:rPr>
          <w:rFonts w:ascii="Calibri" w:hAnsi="Calibri"/>
          <w:bCs/>
          <w:sz w:val="22"/>
          <w:szCs w:val="22"/>
        </w:rPr>
        <w:t xml:space="preserve"> Os reajustes a que o contratado </w:t>
      </w:r>
      <w:proofErr w:type="spellStart"/>
      <w:r w:rsidR="00F971E0" w:rsidRPr="00B14C12">
        <w:rPr>
          <w:rFonts w:ascii="Calibri" w:hAnsi="Calibri"/>
          <w:bCs/>
          <w:sz w:val="22"/>
          <w:szCs w:val="22"/>
        </w:rPr>
        <w:t>fizer</w:t>
      </w:r>
      <w:proofErr w:type="spellEnd"/>
      <w:r w:rsidR="00F971E0"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B995209" w14:textId="738FE9C1" w:rsidR="00F971E0" w:rsidRPr="009B21AF" w:rsidRDefault="000D368A" w:rsidP="000D368A">
      <w:pPr>
        <w:pStyle w:val="EspSubTitulo1Char"/>
        <w:suppressAutoHyphens/>
        <w:spacing w:before="0" w:after="0"/>
        <w:rPr>
          <w:rFonts w:ascii="Calibri" w:hAnsi="Calibri" w:cs="Calibri"/>
          <w:bCs/>
          <w:szCs w:val="22"/>
        </w:rPr>
      </w:pPr>
      <w:r>
        <w:rPr>
          <w:rFonts w:ascii="Calibri" w:hAnsi="Calibri" w:cs="Calibri"/>
          <w:b/>
          <w:szCs w:val="22"/>
        </w:rPr>
        <w:t>VII</w:t>
      </w:r>
      <w:r w:rsidR="00F971E0" w:rsidRPr="009B21AF">
        <w:rPr>
          <w:rFonts w:ascii="Calibri" w:hAnsi="Calibri" w:cs="Calibri"/>
          <w:b/>
          <w:szCs w:val="22"/>
        </w:rPr>
        <w:t xml:space="preserve"> </w:t>
      </w:r>
      <w:r>
        <w:rPr>
          <w:rFonts w:ascii="Calibri" w:hAnsi="Calibri" w:cs="Calibri"/>
          <w:b/>
          <w:szCs w:val="22"/>
        </w:rPr>
        <w:t>-</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8" w:name="_Hlk92890956"/>
      <w:bookmarkStart w:id="9"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307998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III</w:t>
      </w:r>
      <w:r w:rsidR="000D368A">
        <w:rPr>
          <w:rFonts w:ascii="Calibri" w:hAnsi="Calibri" w:cs="Calibri"/>
          <w:bCs/>
          <w:color w:val="000000"/>
          <w:sz w:val="22"/>
          <w:szCs w:val="22"/>
        </w:rPr>
        <w:t xml:space="preserve"> </w:t>
      </w:r>
      <w:r w:rsidRPr="00787F42">
        <w:rPr>
          <w:rFonts w:ascii="Calibri" w:hAnsi="Calibri" w:cs="Calibri"/>
          <w:bCs/>
          <w:color w:val="000000"/>
          <w:sz w:val="22"/>
          <w:szCs w:val="22"/>
        </w:rPr>
        <w:t xml:space="preserve">-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8"/>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9"/>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915B9F"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0"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0"/>
    <w:p w14:paraId="4A169FA6" w14:textId="77777777" w:rsidR="00F803EB" w:rsidRPr="00E90298" w:rsidRDefault="00F803EB" w:rsidP="00F803EB">
      <w:pPr>
        <w:jc w:val="center"/>
        <w:rPr>
          <w:rFonts w:ascii="Calibri" w:hAnsi="Calibri" w:cs="Arial"/>
          <w:bCs/>
          <w:sz w:val="10"/>
          <w:szCs w:val="10"/>
        </w:rPr>
      </w:pPr>
    </w:p>
    <w:p w14:paraId="60F7720D" w14:textId="494C00CA"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FC4C09" w:rsidRPr="00FC4C09">
        <w:rPr>
          <w:rFonts w:ascii="Calibri" w:hAnsi="Calibri" w:cs="Arial"/>
          <w:bCs w:val="0"/>
          <w:szCs w:val="22"/>
          <w:highlight w:val="yellow"/>
        </w:rPr>
        <w:t>2</w:t>
      </w:r>
      <w:r w:rsidR="00E70B18" w:rsidRPr="00E70B18">
        <w:rPr>
          <w:rFonts w:ascii="Calibri" w:hAnsi="Calibri" w:cs="Arial"/>
          <w:bCs w:val="0"/>
          <w:szCs w:val="22"/>
          <w:highlight w:val="yellow"/>
        </w:rPr>
        <w:t>6</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55724118"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FC4C09">
        <w:rPr>
          <w:rFonts w:ascii="Calibri" w:hAnsi="Calibri" w:cs="Arial"/>
          <w:sz w:val="20"/>
          <w:szCs w:val="20"/>
        </w:rPr>
        <w:t>6</w:t>
      </w:r>
    </w:p>
    <w:p w14:paraId="11E63A01" w14:textId="53EFE4A3"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FC4C09">
        <w:rPr>
          <w:rFonts w:ascii="Calibri" w:hAnsi="Calibri"/>
          <w:sz w:val="20"/>
          <w:szCs w:val="20"/>
        </w:rPr>
        <w:t>6</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1EFCD7D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w:t>
      </w:r>
      <w:r w:rsidR="00F2392A" w:rsidRPr="00FC4C09">
        <w:rPr>
          <w:rFonts w:ascii="Calibri" w:hAnsi="Calibri"/>
          <w:b w:val="0"/>
          <w:szCs w:val="22"/>
          <w:highlight w:val="yellow"/>
          <w:lang w:val="pt-PT"/>
        </w:rPr>
        <w:t>0</w:t>
      </w:r>
      <w:r w:rsidR="00095A81" w:rsidRPr="00FC4C09">
        <w:rPr>
          <w:rFonts w:ascii="Calibri" w:hAnsi="Calibri"/>
          <w:b w:val="0"/>
          <w:szCs w:val="22"/>
          <w:highlight w:val="yellow"/>
          <w:lang w:val="pt-PT"/>
        </w:rPr>
        <w:t>2</w:t>
      </w:r>
      <w:r w:rsidR="00FC4C09" w:rsidRPr="00FC4C09">
        <w:rPr>
          <w:rFonts w:ascii="Calibri" w:hAnsi="Calibri"/>
          <w:b w:val="0"/>
          <w:szCs w:val="22"/>
          <w:highlight w:val="yellow"/>
          <w:lang w:val="pt-PT"/>
        </w:rPr>
        <w:t>6</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AE7910" w:rsidRDefault="00AE7910">
      <w:r>
        <w:separator/>
      </w:r>
    </w:p>
  </w:endnote>
  <w:endnote w:type="continuationSeparator" w:id="0">
    <w:p w14:paraId="7E2AAA9C" w14:textId="77777777" w:rsidR="00AE7910" w:rsidRDefault="00AE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B79" w14:textId="6008EBB8" w:rsidR="00AE7910" w:rsidRDefault="00AE7910"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00FC4C09">
      <w:rPr>
        <w:sz w:val="14"/>
      </w:rPr>
      <w:t>26</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AE7910" w:rsidRPr="00562F8F" w:rsidRDefault="00AE7910"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AE7910" w:rsidRDefault="00AE7910">
      <w:r>
        <w:separator/>
      </w:r>
    </w:p>
  </w:footnote>
  <w:footnote w:type="continuationSeparator" w:id="0">
    <w:p w14:paraId="18331152" w14:textId="77777777" w:rsidR="00AE7910" w:rsidRDefault="00AE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A5AB" w14:textId="77777777" w:rsidR="00AE7910" w:rsidRDefault="00AE7910">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E7910" w:rsidRPr="006A59DF" w:rsidRDefault="00AE7910">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AE7910" w:rsidRDefault="00AE7910"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E7910" w:rsidRDefault="00AE79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21653">
    <w:abstractNumId w:val="0"/>
  </w:num>
  <w:num w:numId="2" w16cid:durableId="1353454526">
    <w:abstractNumId w:val="1"/>
  </w:num>
  <w:num w:numId="3" w16cid:durableId="1728724113">
    <w:abstractNumId w:val="2"/>
  </w:num>
  <w:num w:numId="4" w16cid:durableId="946426316">
    <w:abstractNumId w:val="6"/>
  </w:num>
  <w:num w:numId="5" w16cid:durableId="1198935749">
    <w:abstractNumId w:val="13"/>
  </w:num>
  <w:num w:numId="6" w16cid:durableId="290674435">
    <w:abstractNumId w:val="8"/>
  </w:num>
  <w:num w:numId="7" w16cid:durableId="286936064">
    <w:abstractNumId w:val="5"/>
  </w:num>
  <w:num w:numId="8" w16cid:durableId="1191652247">
    <w:abstractNumId w:val="7"/>
  </w:num>
  <w:num w:numId="9" w16cid:durableId="1846939667">
    <w:abstractNumId w:val="10"/>
  </w:num>
  <w:num w:numId="10" w16cid:durableId="505169035">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725577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63925474">
    <w:abstractNumId w:val="4"/>
  </w:num>
  <w:num w:numId="13" w16cid:durableId="150034740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1897355567">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53477599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72610570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83900300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1718049786">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74957581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5508256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37705096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122074453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6198711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49570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48034468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772239521">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205333785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1534884386">
    <w:abstractNumId w:val="3"/>
  </w:num>
  <w:num w:numId="29" w16cid:durableId="135824141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06590337">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8223362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07233429">
    <w:abstractNumId w:val="11"/>
  </w:num>
  <w:num w:numId="33" w16cid:durableId="154082017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6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44F98"/>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12A5"/>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368A"/>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0F5EBF"/>
    <w:rsid w:val="00100316"/>
    <w:rsid w:val="00101C58"/>
    <w:rsid w:val="0010254F"/>
    <w:rsid w:val="00102561"/>
    <w:rsid w:val="00102F10"/>
    <w:rsid w:val="001041FB"/>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4492"/>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239FA"/>
    <w:rsid w:val="002349A1"/>
    <w:rsid w:val="00235C7D"/>
    <w:rsid w:val="002363E7"/>
    <w:rsid w:val="002366B2"/>
    <w:rsid w:val="002379D5"/>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1FF8"/>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C7B98"/>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9C8"/>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A5440"/>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583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0D05"/>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32F"/>
    <w:rsid w:val="0068089A"/>
    <w:rsid w:val="0068096F"/>
    <w:rsid w:val="006820C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098"/>
    <w:rsid w:val="006F49DF"/>
    <w:rsid w:val="006F4DEE"/>
    <w:rsid w:val="006F60D3"/>
    <w:rsid w:val="006F6C53"/>
    <w:rsid w:val="00700A72"/>
    <w:rsid w:val="007014C3"/>
    <w:rsid w:val="00701C64"/>
    <w:rsid w:val="0070267A"/>
    <w:rsid w:val="00702A89"/>
    <w:rsid w:val="00706F02"/>
    <w:rsid w:val="00706F54"/>
    <w:rsid w:val="007078BE"/>
    <w:rsid w:val="00710CE9"/>
    <w:rsid w:val="007114DF"/>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09A3"/>
    <w:rsid w:val="007F1EBE"/>
    <w:rsid w:val="007F2AF5"/>
    <w:rsid w:val="007F4A02"/>
    <w:rsid w:val="007F5F44"/>
    <w:rsid w:val="007F6A57"/>
    <w:rsid w:val="00803AED"/>
    <w:rsid w:val="00803FF1"/>
    <w:rsid w:val="008047F1"/>
    <w:rsid w:val="00806CD1"/>
    <w:rsid w:val="0080794C"/>
    <w:rsid w:val="00815CA4"/>
    <w:rsid w:val="00822C31"/>
    <w:rsid w:val="00827044"/>
    <w:rsid w:val="00830189"/>
    <w:rsid w:val="0083222B"/>
    <w:rsid w:val="00834D69"/>
    <w:rsid w:val="00835012"/>
    <w:rsid w:val="008376EB"/>
    <w:rsid w:val="00840E9D"/>
    <w:rsid w:val="008508AB"/>
    <w:rsid w:val="00851288"/>
    <w:rsid w:val="00851DD8"/>
    <w:rsid w:val="00852605"/>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3C76"/>
    <w:rsid w:val="008750C3"/>
    <w:rsid w:val="0088189B"/>
    <w:rsid w:val="0088476D"/>
    <w:rsid w:val="00893586"/>
    <w:rsid w:val="00896CFB"/>
    <w:rsid w:val="008979F6"/>
    <w:rsid w:val="00897A2A"/>
    <w:rsid w:val="008A10C4"/>
    <w:rsid w:val="008A19DD"/>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8F6EA5"/>
    <w:rsid w:val="00904216"/>
    <w:rsid w:val="009065E8"/>
    <w:rsid w:val="00907ACE"/>
    <w:rsid w:val="00912CA0"/>
    <w:rsid w:val="009134AC"/>
    <w:rsid w:val="009139B5"/>
    <w:rsid w:val="00913C73"/>
    <w:rsid w:val="00915A6D"/>
    <w:rsid w:val="00915B9F"/>
    <w:rsid w:val="009175EF"/>
    <w:rsid w:val="00921212"/>
    <w:rsid w:val="00922018"/>
    <w:rsid w:val="00923175"/>
    <w:rsid w:val="0092563B"/>
    <w:rsid w:val="00930EA8"/>
    <w:rsid w:val="00930EBC"/>
    <w:rsid w:val="00931169"/>
    <w:rsid w:val="00934C1D"/>
    <w:rsid w:val="00936C00"/>
    <w:rsid w:val="00937A23"/>
    <w:rsid w:val="00937F04"/>
    <w:rsid w:val="009418F0"/>
    <w:rsid w:val="00941AAF"/>
    <w:rsid w:val="00943144"/>
    <w:rsid w:val="00944A9B"/>
    <w:rsid w:val="00950231"/>
    <w:rsid w:val="00952055"/>
    <w:rsid w:val="00953B28"/>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1E4D"/>
    <w:rsid w:val="00A32570"/>
    <w:rsid w:val="00A32B0B"/>
    <w:rsid w:val="00A3653A"/>
    <w:rsid w:val="00A36C4C"/>
    <w:rsid w:val="00A414C7"/>
    <w:rsid w:val="00A42BD5"/>
    <w:rsid w:val="00A46A13"/>
    <w:rsid w:val="00A51CCB"/>
    <w:rsid w:val="00A53A55"/>
    <w:rsid w:val="00A54375"/>
    <w:rsid w:val="00A54DA0"/>
    <w:rsid w:val="00A569F4"/>
    <w:rsid w:val="00A619A0"/>
    <w:rsid w:val="00A61BAF"/>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046"/>
    <w:rsid w:val="00AE042A"/>
    <w:rsid w:val="00AE110C"/>
    <w:rsid w:val="00AE2F99"/>
    <w:rsid w:val="00AE4074"/>
    <w:rsid w:val="00AE4541"/>
    <w:rsid w:val="00AE4645"/>
    <w:rsid w:val="00AE67EB"/>
    <w:rsid w:val="00AE7910"/>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255B7"/>
    <w:rsid w:val="00B3044B"/>
    <w:rsid w:val="00B30777"/>
    <w:rsid w:val="00B30C7E"/>
    <w:rsid w:val="00B31C3E"/>
    <w:rsid w:val="00B35136"/>
    <w:rsid w:val="00B36EBC"/>
    <w:rsid w:val="00B4287E"/>
    <w:rsid w:val="00B428BB"/>
    <w:rsid w:val="00B42D7B"/>
    <w:rsid w:val="00B44A55"/>
    <w:rsid w:val="00B44B3A"/>
    <w:rsid w:val="00B46098"/>
    <w:rsid w:val="00B513DE"/>
    <w:rsid w:val="00B521B3"/>
    <w:rsid w:val="00B524F9"/>
    <w:rsid w:val="00B62D6D"/>
    <w:rsid w:val="00B630C3"/>
    <w:rsid w:val="00B63CC8"/>
    <w:rsid w:val="00B679ED"/>
    <w:rsid w:val="00B67A0A"/>
    <w:rsid w:val="00B7207A"/>
    <w:rsid w:val="00B735B1"/>
    <w:rsid w:val="00B755AD"/>
    <w:rsid w:val="00B8160A"/>
    <w:rsid w:val="00B83E7E"/>
    <w:rsid w:val="00B84631"/>
    <w:rsid w:val="00B84C28"/>
    <w:rsid w:val="00B906AE"/>
    <w:rsid w:val="00B9110A"/>
    <w:rsid w:val="00B9153C"/>
    <w:rsid w:val="00B91C9E"/>
    <w:rsid w:val="00B91D1D"/>
    <w:rsid w:val="00B9261D"/>
    <w:rsid w:val="00B92EA0"/>
    <w:rsid w:val="00B94164"/>
    <w:rsid w:val="00B94472"/>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36AD"/>
    <w:rsid w:val="00BE53C3"/>
    <w:rsid w:val="00BE5C5B"/>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C7390"/>
    <w:rsid w:val="00CD146B"/>
    <w:rsid w:val="00CD19F8"/>
    <w:rsid w:val="00CD363F"/>
    <w:rsid w:val="00CD7514"/>
    <w:rsid w:val="00CE0EFA"/>
    <w:rsid w:val="00CE11A2"/>
    <w:rsid w:val="00CE240F"/>
    <w:rsid w:val="00CE2596"/>
    <w:rsid w:val="00CE60B2"/>
    <w:rsid w:val="00CF1A90"/>
    <w:rsid w:val="00CF21F0"/>
    <w:rsid w:val="00CF26FC"/>
    <w:rsid w:val="00CF2CB7"/>
    <w:rsid w:val="00CF3081"/>
    <w:rsid w:val="00D00E77"/>
    <w:rsid w:val="00D01A0E"/>
    <w:rsid w:val="00D01DC0"/>
    <w:rsid w:val="00D02F2F"/>
    <w:rsid w:val="00D05485"/>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4E48"/>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0B18"/>
    <w:rsid w:val="00E71A01"/>
    <w:rsid w:val="00E76A00"/>
    <w:rsid w:val="00E826BA"/>
    <w:rsid w:val="00E8363A"/>
    <w:rsid w:val="00E84E55"/>
    <w:rsid w:val="00E85A27"/>
    <w:rsid w:val="00E8700E"/>
    <w:rsid w:val="00E8722E"/>
    <w:rsid w:val="00E917EE"/>
    <w:rsid w:val="00E92A6E"/>
    <w:rsid w:val="00E9311C"/>
    <w:rsid w:val="00E93709"/>
    <w:rsid w:val="00E937AF"/>
    <w:rsid w:val="00E94CE5"/>
    <w:rsid w:val="00E94DFB"/>
    <w:rsid w:val="00E95864"/>
    <w:rsid w:val="00E95D26"/>
    <w:rsid w:val="00E979FF"/>
    <w:rsid w:val="00EA465E"/>
    <w:rsid w:val="00EB3FC9"/>
    <w:rsid w:val="00EB75EA"/>
    <w:rsid w:val="00EB7782"/>
    <w:rsid w:val="00EB7956"/>
    <w:rsid w:val="00EC273A"/>
    <w:rsid w:val="00EC60E0"/>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03DC"/>
    <w:rsid w:val="00F5113B"/>
    <w:rsid w:val="00F52323"/>
    <w:rsid w:val="00F52CEA"/>
    <w:rsid w:val="00F535AF"/>
    <w:rsid w:val="00F549D1"/>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4C09"/>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44F98"/>
    <w:rsid w:val="001041FB"/>
    <w:rsid w:val="00163184"/>
    <w:rsid w:val="002611AB"/>
    <w:rsid w:val="00277965"/>
    <w:rsid w:val="00361FF8"/>
    <w:rsid w:val="003C7B98"/>
    <w:rsid w:val="003F7607"/>
    <w:rsid w:val="004B2F91"/>
    <w:rsid w:val="00505832"/>
    <w:rsid w:val="0054441A"/>
    <w:rsid w:val="005D0D05"/>
    <w:rsid w:val="005F14F9"/>
    <w:rsid w:val="006738B0"/>
    <w:rsid w:val="0068032F"/>
    <w:rsid w:val="00695DD5"/>
    <w:rsid w:val="006A5B0C"/>
    <w:rsid w:val="006D7639"/>
    <w:rsid w:val="006F60D3"/>
    <w:rsid w:val="00712F71"/>
    <w:rsid w:val="008F6EA5"/>
    <w:rsid w:val="00904216"/>
    <w:rsid w:val="00930EA8"/>
    <w:rsid w:val="009A05A2"/>
    <w:rsid w:val="00A1342A"/>
    <w:rsid w:val="00A3182D"/>
    <w:rsid w:val="00AA7AFB"/>
    <w:rsid w:val="00B4559A"/>
    <w:rsid w:val="00BA2BC2"/>
    <w:rsid w:val="00DC2A55"/>
    <w:rsid w:val="00E17B52"/>
    <w:rsid w:val="00EC60E0"/>
    <w:rsid w:val="00F11930"/>
    <w:rsid w:val="00F2680D"/>
    <w:rsid w:val="00F3313F"/>
    <w:rsid w:val="00F50A63"/>
    <w:rsid w:val="00F5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5B0C"/>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A1DA-7E1C-43D5-8F96-B0415793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11324</Words>
  <Characters>61151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72331</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3</cp:revision>
  <cp:lastPrinted>2026-02-02T16:58:00Z</cp:lastPrinted>
  <dcterms:created xsi:type="dcterms:W3CDTF">2026-06-18T18:42:00Z</dcterms:created>
  <dcterms:modified xsi:type="dcterms:W3CDTF">2026-06-18T18:47:00Z</dcterms:modified>
</cp:coreProperties>
</file>